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7234703"/>
      <w:bookmarkStart w:id="1" w:name="_Toc6138"/>
      <w:bookmarkStart w:id="2" w:name="_Toc298937276"/>
      <w:bookmarkStart w:id="3" w:name="_Toc309995578"/>
      <w:bookmarkStart w:id="4" w:name="_Toc298937188"/>
      <w:bookmarkStart w:id="5" w:name="_Toc298936801"/>
      <w:bookmarkStart w:id="6" w:name="_Toc298937100"/>
      <w:bookmarkStart w:id="7" w:name="_Toc309995472"/>
      <w:bookmarkStart w:id="8" w:name="_Toc304824969"/>
      <w:bookmarkStart w:id="9" w:name="_Toc304402664"/>
      <w:bookmarkStart w:id="10" w:name="_Toc298937357"/>
      <w:bookmarkStart w:id="11" w:name="_Toc499110426"/>
      <w:bookmarkStart w:id="12" w:name="_Toc298937201"/>
      <w:bookmarkStart w:id="13" w:name="_Toc304828066"/>
      <w:bookmarkStart w:id="14" w:name="_Toc298938635"/>
      <w:bookmarkStart w:id="15" w:name="_Toc298937167"/>
      <w:bookmarkStart w:id="16" w:name="_Toc304825081"/>
      <w:bookmarkStart w:id="17" w:name="_Toc309995390"/>
      <w:bookmarkStart w:id="18" w:name="_Toc298937462"/>
      <w:bookmarkStart w:id="19" w:name="_Toc309993180"/>
      <w:bookmarkStart w:id="20" w:name="_Toc298923383"/>
      <w:bookmarkStart w:id="21" w:name="_Toc298937322"/>
      <w:bookmarkStart w:id="22" w:name="_Toc298937152"/>
      <w:bookmarkStart w:id="23" w:name="_Toc298937419"/>
      <w:bookmarkStart w:id="24" w:name="_Toc310002637"/>
      <w:bookmarkStart w:id="25" w:name="_Toc298938783"/>
      <w:bookmarkStart w:id="26" w:name="_Toc298937609"/>
      <w:bookmarkStart w:id="27" w:name="_Toc298936924"/>
      <w:bookmarkStart w:id="28" w:name="_Toc309994551"/>
      <w:bookmarkStart w:id="29" w:name="_Toc309995999"/>
      <w:bookmarkStart w:id="30" w:name="_Toc304825008"/>
      <w:bookmarkStart w:id="31" w:name="_Toc309997040"/>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超大跨悬索桥主缆架设施工质量控制规范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超大跨悬索桥主缆架设施工质量控制规范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02ED0CC6">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本标准编写旨在规范超大跨悬索桥主缆架设施工的质量控制要求，明确主缆索股架设、紧缆、缠丝、防腐施工等关键工序的质量控制指标、检验方法、验收标准和施工监控要求，为超大跨悬索桥主缆架设施工提供统一的技术依据，保障主缆架设精度和施工质量，确保桥梁结构安全性和耐久性，推动悬索桥施工技术向高精度、高质量、高可靠性方向发展</w:t>
      </w:r>
      <w:r>
        <w:rPr>
          <w:rFonts w:hint="eastAsia" w:ascii="仿宋" w:hAnsi="仿宋" w:eastAsia="仿宋" w:cs="仿宋"/>
          <w:sz w:val="21"/>
          <w:szCs w:val="21"/>
        </w:rPr>
        <w:t>。</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统一超大跨悬索桥主缆架设施工的质量控制要求，提升主缆架设施工的标准化水平；有利于规范索股架设、线形调整、紧缆、缠丝、防腐等关键工序的质量检验和验收，提高主缆施工质量和结构耐久性；可为行业提供统一的技术遵循，填补超大跨悬索桥主缆架设施工质量控制标准的空白，完善我国悬索桥施工标准体系，为超大跨径桥梁建设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超大跨悬索桥的主缆是桥梁结构的主要承重构件，主缆架设施工质量直接关系到桥梁的安全性、耐久性和服役寿命。随着我国桥梁建设技术的快速发展，主跨1500米以上的超大跨悬索桥日益增多，主缆架设工艺日趋复杂，施工精度要求不断提高。目前，主缆架设施工中普遍存在索股架设精度控制难度大、温度效应影响显著、基准索股定位偏差累积、紧缆孔隙率控制不严、防护施工质量参差不齐等问题。现行国家标准和行业标准中对主缆架设施工质量控制的专项规定较少，缺乏针对超大跨径悬索桥主缆架设的系统性质量控制规范。制定本标准可填补这一空白，为超大跨悬索桥主缆架设施工提供全过程的质量控制依据，保障桥梁建设质量</w:t>
      </w:r>
      <w:r>
        <w:rPr>
          <w:rFonts w:hint="eastAsia" w:ascii="仿宋" w:hAnsi="仿宋" w:eastAsia="仿宋" w:cs="仿宋"/>
          <w:sz w:val="21"/>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本文件由中交路桥建设有限公司等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仿宋" w:cs="仿宋"/>
                <w:szCs w:val="21"/>
                <w:lang w:val="en-US" w:eastAsia="zh-CN"/>
              </w:rPr>
            </w:pPr>
            <w:r>
              <w:rPr>
                <w:rFonts w:hint="eastAsia" w:ascii="仿宋" w:hAnsi="仿宋" w:eastAsia="仿宋" w:cs="仿宋"/>
                <w:szCs w:val="21"/>
              </w:rPr>
              <w:t>中交路桥建设有限公司</w:t>
            </w:r>
            <w:r>
              <w:rPr>
                <w:rFonts w:hint="eastAsia" w:ascii="仿宋" w:hAnsi="仿宋" w:eastAsia="仿宋" w:cs="仿宋"/>
                <w:szCs w:val="21"/>
                <w:lang w:val="en-US" w:eastAsia="zh-CN"/>
              </w:rPr>
              <w:t>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提供应用数据与工程实践经验，提供检测验证数据。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编制组系统梳理了国内外悬索桥主缆架设施工相关标准，包括GB/T 17101、JT/T 395、JTG/T 3650-2020、JTG/T 3650-01-2022、JTG/T 3650-02-2019、JTG F80/1等现行标准。调研了国内多座超大跨悬索桥（如主跨超过1500m的悬索桥）主缆架设施工案例，收集了索股架设、紧缆、缠丝、防腐等关键工序的质量控制数据和工程经验，形成调研分析报告。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组建标准起草工作组，按照GB/T 1.1—2020搭建标准框架，细化术语定义、基本规定、测量与监控、施工准备、主缆索股架设、主缆紧缆施工、主缆缠丝施工、主缆防腐施工、质量检验与验收、安全与环保等技术内容，结合行业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通过行业协会、线上平台等渠道向桥梁施工单位、设计单位、监理单位、检测机构、科研院所等相关单位及专家征求意见，梳理汇总反馈建议，对草案进行修改完善，形成征求意见稿。</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将征求意见稿及编制说明、意见汇总处理表等材料报送团体标准审查委员会，组织专家进行会议审查或函审，根据审查意见进一步修改形成</w:t>
      </w:r>
      <w:r>
        <w:rPr>
          <w:rFonts w:hint="eastAsia" w:ascii="仿宋" w:hAnsi="仿宋" w:eastAsia="仿宋" w:cs="仿宋"/>
          <w:szCs w:val="21"/>
          <w:lang w:val="en-US" w:eastAsia="zh-CN"/>
        </w:rPr>
        <w:t>报批</w:t>
      </w:r>
      <w:r>
        <w:rPr>
          <w:rFonts w:hint="eastAsia" w:ascii="仿宋" w:hAnsi="仿宋" w:eastAsia="仿宋" w:cs="仿宋"/>
          <w:szCs w:val="21"/>
        </w:rPr>
        <w:t>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w:t>
      </w:r>
      <w:r>
        <w:rPr>
          <w:rFonts w:hint="eastAsia" w:ascii="仿宋" w:hAnsi="仿宋" w:eastAsia="仿宋" w:cs="仿宋"/>
          <w:szCs w:val="21"/>
          <w:lang w:val="en-US" w:eastAsia="zh-CN"/>
        </w:rPr>
        <w:t>报批</w:t>
      </w:r>
      <w:r>
        <w:rPr>
          <w:rFonts w:hint="eastAsia" w:ascii="仿宋" w:hAnsi="仿宋" w:eastAsia="仿宋" w:cs="仿宋"/>
          <w:szCs w:val="21"/>
        </w:rPr>
        <w:t>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08167EA7">
      <w:pPr>
        <w:pStyle w:val="30"/>
        <w:rPr>
          <w:rFonts w:hint="eastAsia" w:ascii="仿宋" w:hAnsi="仿宋" w:eastAsia="仿宋" w:cs="仿宋"/>
          <w:szCs w:val="21"/>
        </w:rPr>
      </w:pPr>
      <w:r>
        <w:rPr>
          <w:rFonts w:hint="eastAsia" w:ascii="仿宋" w:hAnsi="仿宋" w:eastAsia="仿宋" w:cs="仿宋"/>
          <w:szCs w:val="21"/>
        </w:rPr>
        <w:t>1. 试验验证分析、综述报告</w:t>
      </w:r>
    </w:p>
    <w:p w14:paraId="076CD0CD">
      <w:pPr>
        <w:pStyle w:val="30"/>
        <w:rPr>
          <w:rFonts w:hint="eastAsia" w:ascii="仿宋" w:hAnsi="仿宋" w:eastAsia="仿宋" w:cs="仿宋"/>
          <w:szCs w:val="21"/>
        </w:rPr>
      </w:pPr>
      <w:r>
        <w:rPr>
          <w:rFonts w:hint="eastAsia" w:ascii="仿宋" w:hAnsi="仿宋" w:eastAsia="仿宋" w:cs="仿宋"/>
          <w:szCs w:val="21"/>
        </w:rPr>
        <w:t>本标准技术内容基于国内多座超大跨悬索桥主缆架设施工的工程实践验证。编制组收集了主跨1500m级以上悬索桥主缆架设施工中的索股垂度调整数据、紧缆空隙率检测数据、缠丝张力监测数据、防腐涂装质量检验数据等，对标准规定的各项质量控制指标进行了验证。</w:t>
      </w:r>
    </w:p>
    <w:p w14:paraId="16F3AA0D">
      <w:pPr>
        <w:pStyle w:val="30"/>
        <w:rPr>
          <w:rFonts w:hint="eastAsia" w:ascii="仿宋" w:hAnsi="仿宋" w:eastAsia="仿宋" w:cs="仿宋"/>
          <w:szCs w:val="21"/>
        </w:rPr>
      </w:pPr>
      <w:r>
        <w:rPr>
          <w:rFonts w:hint="eastAsia" w:ascii="仿宋" w:hAnsi="仿宋" w:eastAsia="仿宋" w:cs="仿宋"/>
          <w:szCs w:val="21"/>
        </w:rPr>
        <w:t>验证结果表明：本标准规定的质量控制指标科学合理，可有效控制主缆架设施工质量。标准中规定的施工监控要求和检验方法经过工程验证，可操作性强。</w:t>
      </w:r>
    </w:p>
    <w:p w14:paraId="18AA6B22">
      <w:pPr>
        <w:pStyle w:val="30"/>
        <w:rPr>
          <w:rFonts w:hint="eastAsia" w:ascii="仿宋" w:hAnsi="仿宋" w:eastAsia="仿宋" w:cs="仿宋"/>
          <w:szCs w:val="21"/>
        </w:rPr>
      </w:pPr>
      <w:r>
        <w:rPr>
          <w:rFonts w:hint="eastAsia" w:ascii="仿宋" w:hAnsi="仿宋" w:eastAsia="仿宋" w:cs="仿宋"/>
          <w:szCs w:val="21"/>
        </w:rPr>
        <w:t>2. 技术经济论证</w:t>
      </w:r>
    </w:p>
    <w:p w14:paraId="2CE5FA87">
      <w:pPr>
        <w:pStyle w:val="30"/>
        <w:rPr>
          <w:rFonts w:hint="eastAsia" w:ascii="仿宋" w:hAnsi="仿宋" w:eastAsia="仿宋" w:cs="仿宋"/>
          <w:szCs w:val="21"/>
        </w:rPr>
      </w:pPr>
      <w:r>
        <w:rPr>
          <w:rFonts w:hint="eastAsia" w:ascii="仿宋" w:hAnsi="仿宋" w:eastAsia="仿宋" w:cs="仿宋"/>
          <w:szCs w:val="21"/>
        </w:rPr>
        <w:t>技术上，本标准整合了超大跨悬索桥主缆架设施工的关键质量控制技术，包括精密测量技术、温度效应修正技术、索股线形调整技术、紧缆孔隙率控制技术、缠丝张力控制技术、防腐涂装质量控制技术等，形成了系统的质量控制体系。</w:t>
      </w:r>
    </w:p>
    <w:p w14:paraId="6F8EA9BE">
      <w:pPr>
        <w:pStyle w:val="30"/>
        <w:rPr>
          <w:rFonts w:hint="eastAsia" w:ascii="仿宋" w:hAnsi="仿宋" w:eastAsia="仿宋" w:cs="仿宋"/>
          <w:szCs w:val="21"/>
        </w:rPr>
      </w:pPr>
    </w:p>
    <w:p w14:paraId="1381DED2">
      <w:pPr>
        <w:pStyle w:val="30"/>
        <w:rPr>
          <w:rFonts w:hint="eastAsia" w:ascii="仿宋" w:hAnsi="仿宋" w:eastAsia="仿宋" w:cs="仿宋"/>
          <w:szCs w:val="21"/>
        </w:rPr>
      </w:pPr>
      <w:r>
        <w:rPr>
          <w:rFonts w:hint="eastAsia" w:ascii="仿宋" w:hAnsi="仿宋" w:eastAsia="仿宋" w:cs="仿宋"/>
          <w:szCs w:val="21"/>
        </w:rPr>
        <w:t>经济上，标准实施可有效减少主缆架设施工中的返工和修补成本，提高主缆架设一次合格率，缩短施工周期，降低施工总成本。同时，提高主缆施工质量可延长桥梁使用寿命，降低全寿命周期维护费用。</w:t>
      </w:r>
    </w:p>
    <w:p w14:paraId="5B6E8463">
      <w:pPr>
        <w:pStyle w:val="30"/>
        <w:rPr>
          <w:rFonts w:hint="eastAsia" w:ascii="仿宋" w:hAnsi="仿宋" w:eastAsia="仿宋" w:cs="仿宋"/>
          <w:szCs w:val="21"/>
        </w:rPr>
      </w:pPr>
      <w:r>
        <w:rPr>
          <w:rFonts w:hint="eastAsia" w:ascii="仿宋" w:hAnsi="仿宋" w:eastAsia="仿宋" w:cs="仿宋"/>
          <w:szCs w:val="21"/>
        </w:rPr>
        <w:t>3. 预期的经济效益</w:t>
      </w:r>
    </w:p>
    <w:p w14:paraId="0DE9E9FD">
      <w:pPr>
        <w:pStyle w:val="30"/>
        <w:rPr>
          <w:rFonts w:hint="eastAsia" w:ascii="仿宋" w:hAnsi="仿宋" w:eastAsia="仿宋" w:cs="仿宋"/>
          <w:szCs w:val="21"/>
        </w:rPr>
      </w:pPr>
      <w:r>
        <w:rPr>
          <w:rFonts w:hint="eastAsia" w:ascii="仿宋" w:hAnsi="仿宋" w:eastAsia="仿宋" w:cs="仿宋"/>
          <w:szCs w:val="21"/>
        </w:rPr>
        <w:t>标准实施后将产生显著经济效益：一是提高主缆架设施工一次合格率，减少返工损失；二是规范施工监控和质量检验，避免因质量问题导致的工期延误；三是提高主缆耐久性，延长桥梁大修周期，降低全寿命运维成本；四是促进悬索桥施工技术进步，提升我国桥梁建设国际竞争力。</w:t>
      </w:r>
    </w:p>
    <w:p w14:paraId="7B8E6D30">
      <w:pPr>
        <w:pStyle w:val="30"/>
        <w:numPr>
          <w:ilvl w:val="0"/>
          <w:numId w:val="15"/>
        </w:numPr>
        <w:rPr>
          <w:rFonts w:hint="eastAsia" w:ascii="仿宋" w:hAnsi="仿宋" w:eastAsia="仿宋" w:cs="仿宋"/>
          <w:szCs w:val="21"/>
        </w:rPr>
      </w:pPr>
      <w:r>
        <w:rPr>
          <w:rFonts w:hint="eastAsia" w:ascii="仿宋" w:hAnsi="仿宋" w:eastAsia="仿宋" w:cs="仿宋"/>
          <w:szCs w:val="21"/>
        </w:rPr>
        <w:t>社会效益和生态效益</w:t>
      </w:r>
    </w:p>
    <w:p w14:paraId="4DDA3634">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本标准可有效提升超大跨悬索桥主缆架设施工质量，保障桥梁结构安全，减少因施工质量问题导致的桥梁病害和安全隐患，保障人民群众生命财产安全；推动悬索桥施工技术向高精度、高质量方向发展，提升我国桥梁建设水平；通过提高施工质量延长桥梁使用寿命，减少资源消耗，符合绿色建造和可持续发展理念，具有显著的社会效益和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55F94E03">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本文件共分为12章，主要技术内容如下：</w:t>
      </w:r>
    </w:p>
    <w:p w14:paraId="0308D6F1">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第1章 范围：规定了本文件的适用范围和适用对象。</w:t>
      </w:r>
    </w:p>
    <w:p w14:paraId="432ACA32">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第2章 规范性引用文件：列出了本文件引用的国家标准、行业标准。</w:t>
      </w:r>
    </w:p>
    <w:p w14:paraId="1CC7D755">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第3章 术语和定义：对超大跨悬</w:t>
      </w:r>
      <w:bookmarkStart w:id="34" w:name="_GoBack"/>
      <w:bookmarkEnd w:id="34"/>
      <w:r>
        <w:rPr>
          <w:rFonts w:hint="eastAsia" w:ascii="仿宋" w:hAnsi="仿宋" w:eastAsia="仿宋" w:cs="仿宋"/>
          <w:szCs w:val="21"/>
          <w:lang w:val="en-US" w:eastAsia="zh-CN"/>
        </w:rPr>
        <w:t>索桥、主缆、预制平行钢丝索股（PPWS）、基准索股、猫道、索股调整、空隙率、不圆度、紧缆机、缠丝、索股牵引、索股入鞍、背索、主缆垂跨比、基准温度等核心术语进行了定义。</w:t>
      </w:r>
    </w:p>
    <w:p w14:paraId="46BEF20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第4章 基本规定：规定了一般原则、施工监控要求、气候条件要求、质量管理体系等。</w:t>
      </w:r>
    </w:p>
    <w:p w14:paraId="69BFA265">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第5章 测量与监控：规定了一般要求、线形测量、索力测量、温度效应监控、监控数据分析等要求，并以表格形式给出了主缆空缆状态跨中标高允许偏差。</w:t>
      </w:r>
    </w:p>
    <w:p w14:paraId="33F52A7C">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第6章 施工准备：规定了技术准备、索股进场验收、猫道验收、导向装置与设备检查、锚固系统检查等要求。</w:t>
      </w:r>
    </w:p>
    <w:p w14:paraId="3646164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第7章 主缆索股架设：规定了一般要求、基准索股架设、索股牵引、索股入鞍、索股垂度调整、索股防护等要求，并以表格形式给出了索股垂度允许偏差。</w:t>
      </w:r>
    </w:p>
    <w:p w14:paraId="38819624">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第8章 主缆紧缆施工：规定了一般要求、预紧缆、正式紧缆、索股嵌套控制等要求，并以表格形式给出了紧缆后空隙率要求和不圆度要求。</w:t>
      </w:r>
    </w:p>
    <w:p w14:paraId="10714AF5">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第9章 主缆缠丝施工：规定了一般要求、缠丝材料、缠丝操作、缠丝质量要求、缠丝质量检验等要求。</w:t>
      </w:r>
    </w:p>
    <w:p w14:paraId="736F94AE">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第10章 主缆防腐施工：规定了一般要求、涂装体系、烘干除湿系统安装、防腐施工质量检验等要求。</w:t>
      </w:r>
    </w:p>
    <w:p w14:paraId="07DD736A">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第11章 质量检验与验收：规定了一般要求、主缆索股架设质量检验、主缆紧缆质量检验、主缆缠丝质量检验、主缆防腐涂装质量检验、交工验收等要求，并以表格形式给出了各项质量检验项目的标准和检验方法。</w:t>
      </w:r>
    </w:p>
    <w:p w14:paraId="4B662DE8">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第12章 安全与环保：规定了施工安全要求和环境保护要求。。</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822ABC4"/>
    <w:multiLevelType w:val="singleLevel"/>
    <w:tmpl w:val="3822ABC4"/>
    <w:lvl w:ilvl="0" w:tentative="0">
      <w:start w:val="4"/>
      <w:numFmt w:val="decimal"/>
      <w:suff w:val="space"/>
      <w:lvlText w:val="%1."/>
      <w:lvlJc w:val="left"/>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1"/>
  </w:num>
  <w:num w:numId="3">
    <w:abstractNumId w:val="12"/>
  </w:num>
  <w:num w:numId="4">
    <w:abstractNumId w:val="14"/>
  </w:num>
  <w:num w:numId="5">
    <w:abstractNumId w:val="2"/>
  </w:num>
  <w:num w:numId="6">
    <w:abstractNumId w:val="10"/>
  </w:num>
  <w:num w:numId="7">
    <w:abstractNumId w:val="0"/>
  </w:num>
  <w:num w:numId="8">
    <w:abstractNumId w:val="3"/>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AA6CEC"/>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211877"/>
    <w:rsid w:val="0C8D427D"/>
    <w:rsid w:val="0CC7751C"/>
    <w:rsid w:val="0CD342B6"/>
    <w:rsid w:val="0D6A7E17"/>
    <w:rsid w:val="0DA9093F"/>
    <w:rsid w:val="0E290DBD"/>
    <w:rsid w:val="0E4D4CDF"/>
    <w:rsid w:val="0E9B6AB7"/>
    <w:rsid w:val="0EB75EDE"/>
    <w:rsid w:val="0FB926D7"/>
    <w:rsid w:val="0FF63984"/>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B4735F"/>
    <w:rsid w:val="16F84A8E"/>
    <w:rsid w:val="173B6C95"/>
    <w:rsid w:val="178D48F7"/>
    <w:rsid w:val="17B42CFB"/>
    <w:rsid w:val="196E7664"/>
    <w:rsid w:val="19D4303C"/>
    <w:rsid w:val="1A6A4539"/>
    <w:rsid w:val="1A9A2047"/>
    <w:rsid w:val="1ACA58A8"/>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6B3BA8"/>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4414F3"/>
    <w:rsid w:val="30CA5BDB"/>
    <w:rsid w:val="30E86825"/>
    <w:rsid w:val="30FA337A"/>
    <w:rsid w:val="311961A0"/>
    <w:rsid w:val="326655EE"/>
    <w:rsid w:val="327B69E7"/>
    <w:rsid w:val="33624199"/>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A5EBA"/>
    <w:rsid w:val="3B0C28D2"/>
    <w:rsid w:val="3B3011F7"/>
    <w:rsid w:val="3B963D3A"/>
    <w:rsid w:val="3D8739B6"/>
    <w:rsid w:val="3F0E0FB1"/>
    <w:rsid w:val="3F575F4A"/>
    <w:rsid w:val="40624A0E"/>
    <w:rsid w:val="40657ACF"/>
    <w:rsid w:val="41862C17"/>
    <w:rsid w:val="41BF5866"/>
    <w:rsid w:val="41D4737F"/>
    <w:rsid w:val="41EE70DB"/>
    <w:rsid w:val="41F16D17"/>
    <w:rsid w:val="42397461"/>
    <w:rsid w:val="42943327"/>
    <w:rsid w:val="431F3CCE"/>
    <w:rsid w:val="443D7F59"/>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7B5851"/>
    <w:rsid w:val="4EE07EA5"/>
    <w:rsid w:val="4F1D47D7"/>
    <w:rsid w:val="4F2F0767"/>
    <w:rsid w:val="4F6221DE"/>
    <w:rsid w:val="4F93291E"/>
    <w:rsid w:val="4FAE1D52"/>
    <w:rsid w:val="4FC0715B"/>
    <w:rsid w:val="50DD469C"/>
    <w:rsid w:val="51A67184"/>
    <w:rsid w:val="52283103"/>
    <w:rsid w:val="527C727C"/>
    <w:rsid w:val="52950BE5"/>
    <w:rsid w:val="52C17D91"/>
    <w:rsid w:val="53B37335"/>
    <w:rsid w:val="53EC3BAC"/>
    <w:rsid w:val="549A6186"/>
    <w:rsid w:val="55281DAF"/>
    <w:rsid w:val="55423387"/>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864B12"/>
    <w:rsid w:val="5A9329EF"/>
    <w:rsid w:val="5B076365"/>
    <w:rsid w:val="5BD72D72"/>
    <w:rsid w:val="5C10118B"/>
    <w:rsid w:val="5C2A169D"/>
    <w:rsid w:val="5CA05EB7"/>
    <w:rsid w:val="5E381B59"/>
    <w:rsid w:val="5E6C7D00"/>
    <w:rsid w:val="5EBE1A6C"/>
    <w:rsid w:val="5F3828C7"/>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FA55F5"/>
    <w:rsid w:val="7524023C"/>
    <w:rsid w:val="75605DEF"/>
    <w:rsid w:val="75F705EE"/>
    <w:rsid w:val="76276979"/>
    <w:rsid w:val="767173B7"/>
    <w:rsid w:val="76A74C81"/>
    <w:rsid w:val="76AC5DF9"/>
    <w:rsid w:val="77401CA7"/>
    <w:rsid w:val="77F17B85"/>
    <w:rsid w:val="78202F3D"/>
    <w:rsid w:val="784813C5"/>
    <w:rsid w:val="786C45B6"/>
    <w:rsid w:val="78A07E1A"/>
    <w:rsid w:val="78AB3FAF"/>
    <w:rsid w:val="790F4618"/>
    <w:rsid w:val="795456E5"/>
    <w:rsid w:val="79C25BC5"/>
    <w:rsid w:val="79D54FEF"/>
    <w:rsid w:val="79DF5F38"/>
    <w:rsid w:val="7A86111E"/>
    <w:rsid w:val="7B223D6B"/>
    <w:rsid w:val="7C260CFC"/>
    <w:rsid w:val="7C2E01C3"/>
    <w:rsid w:val="7C413482"/>
    <w:rsid w:val="7C6605B8"/>
    <w:rsid w:val="7CD90CCA"/>
    <w:rsid w:val="7D453845"/>
    <w:rsid w:val="7D754A9C"/>
    <w:rsid w:val="7DE44C08"/>
    <w:rsid w:val="7E082795"/>
    <w:rsid w:val="7F0451F0"/>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3352</Words>
  <Characters>3400</Characters>
  <Lines>67</Lines>
  <Paragraphs>74</Paragraphs>
  <TotalTime>17</TotalTime>
  <ScaleCrop>false</ScaleCrop>
  <LinksUpToDate>false</LinksUpToDate>
  <CharactersWithSpaces>3425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2026-04-24T06:26:58Z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3DFB93A1B7734C6AAC9D5D82DEEB3DD5_13</vt:lpwstr>
  </property>
  <property fmtid="{D5CDD505-2E9C-101B-9397-08002B2CF9AE}" pid="4" name="KSOTemplateDocerSaveRecord">
    <vt:lpwstr>eyJoZGlkIjoiMTY4OTVhMzE4OTk4YjFkOWQyZmQ2NGM4ODg1MjRjOGEiLCJ1c2VySWQiOiIxNzIwMDUxMzI4In0=</vt:lpwstr>
  </property>
</Properties>
</file>