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FC8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17F36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0E156B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21.020</w:t>
            </w:r>
            <w:r>
              <w:rPr>
                <w:rFonts w:ascii="黑体" w:hAnsi="黑体" w:eastAsia="黑体"/>
                <w:sz w:val="21"/>
                <w:szCs w:val="21"/>
              </w:rPr>
              <w:fldChar w:fldCharType="end"/>
            </w:r>
            <w:bookmarkEnd w:id="0"/>
          </w:p>
        </w:tc>
      </w:tr>
      <w:tr w14:paraId="505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6FDED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CCC5A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CC3C0E8">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WDPA"/>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CWDPA</w:t>
                  </w:r>
                  <w:r>
                    <w:rPr>
                      <w:rFonts w:ascii="Times New Roman" w:hAnsi="Times New Roman" w:eastAsia="宋体" w:cs="Times New Roman"/>
                      <w:b/>
                      <w:w w:val="130"/>
                      <w:sz w:val="96"/>
                      <w:lang w:val="en-US" w:eastAsia="zh-CN" w:bidi="ar-SA"/>
                    </w:rPr>
                    <w:fldChar w:fldCharType="end"/>
                  </w:r>
                  <w:bookmarkEnd w:id="1"/>
                </w:p>
              </w:tc>
            </w:tr>
          </w:tbl>
          <w:p w14:paraId="26CAE25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 04</w:t>
            </w:r>
            <w:r>
              <w:rPr>
                <w:rFonts w:ascii="黑体" w:hAnsi="黑体" w:eastAsia="黑体"/>
                <w:sz w:val="21"/>
                <w:szCs w:val="21"/>
              </w:rPr>
              <w:fldChar w:fldCharType="end"/>
            </w:r>
            <w:bookmarkEnd w:id="2"/>
          </w:p>
        </w:tc>
      </w:tr>
    </w:tbl>
    <w:p w14:paraId="4CBB21B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2084982">
      <w:pPr>
        <w:pStyle w:val="195"/>
        <w:framePr/>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bookmarkStart w:id="6"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6"/>
    </w:p>
    <w:p w14:paraId="52F8E1A2">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0F4E2C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AD182E">
      <w:pPr>
        <w:pStyle w:val="50"/>
        <w:framePr w:w="9639" w:h="6976" w:hRule="exact" w:hSpace="0" w:vSpace="0" w:wrap="around" w:hAnchor="page" w:y="6408"/>
        <w:jc w:val="center"/>
        <w:rPr>
          <w:rFonts w:hint="eastAsia" w:ascii="黑体" w:hAnsi="黑体" w:eastAsia="黑体"/>
          <w:b w:val="0"/>
          <w:bCs w:val="0"/>
          <w:w w:val="100"/>
        </w:rPr>
      </w:pPr>
    </w:p>
    <w:p w14:paraId="34856A6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产品机械结构通用设计技术规范</w:t>
      </w:r>
      <w:r>
        <w:fldChar w:fldCharType="end"/>
      </w:r>
      <w:bookmarkEnd w:id="8"/>
    </w:p>
    <w:p w14:paraId="7D5025D8">
      <w:pPr>
        <w:framePr w:w="9639" w:h="6974" w:hRule="exact" w:wrap="around" w:vAnchor="page" w:hAnchor="page" w:x="1419" w:y="6408" w:anchorLock="1"/>
        <w:ind w:left="-1418"/>
      </w:pPr>
    </w:p>
    <w:p w14:paraId="06C8B84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general design of product mechanical structure</w:t>
      </w:r>
      <w:r>
        <w:rPr>
          <w:rFonts w:eastAsia="黑体"/>
          <w:szCs w:val="28"/>
        </w:rPr>
        <w:fldChar w:fldCharType="end"/>
      </w:r>
      <w:bookmarkEnd w:id="9"/>
    </w:p>
    <w:p w14:paraId="5D52F394">
      <w:pPr>
        <w:framePr w:w="9639" w:h="6974" w:hRule="exact" w:wrap="around" w:vAnchor="page" w:hAnchor="page" w:x="1419" w:y="6408" w:anchorLock="1"/>
        <w:spacing w:line="760" w:lineRule="exact"/>
        <w:ind w:left="-1418"/>
      </w:pPr>
    </w:p>
    <w:p w14:paraId="525768E7">
      <w:pPr>
        <w:pStyle w:val="125"/>
        <w:framePr w:w="9639" w:h="6974" w:hRule="exact" w:wrap="around" w:vAnchor="page" w:hAnchor="page" w:x="1419" w:y="6408" w:anchorLock="1"/>
        <w:textAlignment w:val="bottom"/>
        <w:rPr>
          <w:rFonts w:eastAsia="黑体"/>
          <w:szCs w:val="28"/>
        </w:rPr>
      </w:pPr>
    </w:p>
    <w:p w14:paraId="7E60549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099E33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3AADD3C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9A322C2">
      <w:pPr>
        <w:pStyle w:val="193"/>
        <w:framePr w:wrap="around" w:y="14176"/>
      </w:pPr>
      <w:bookmarkStart w:id="13"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2794AA9">
      <w:pPr>
        <w:pStyle w:val="194"/>
        <w:framePr w:wrap="around" w:y="14176"/>
      </w:pPr>
      <w:bookmarkStart w:id="16"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42321B99">
      <w:pPr>
        <w:pStyle w:val="151"/>
        <w:framePr w:h="584" w:hRule="exact" w:hSpace="181" w:vSpace="181" w:wrap="around" w:y="14800"/>
        <w:rPr>
          <w:rFonts w:hint="eastAsia" w:hAnsi="黑体"/>
        </w:rPr>
      </w:pPr>
      <w:bookmarkStart w:id="19" w:name="fm"/>
      <w:r>
        <w:rPr>
          <w:rFonts w:ascii="黑体" w:hAnsi="黑体" w:eastAsia="黑体" w:cs="Times New Roman"/>
          <w:b w:val="0"/>
          <w:w w:val="100"/>
          <w:sz w:val="28"/>
          <w:lang w:val="en-US" w:eastAsia="zh-CN" w:bidi="ar-SA"/>
        </w:rPr>
        <w:fldChar w:fldCharType="begin">
          <w:ffData>
            <w:name w:val="fm"/>
            <w:enabled/>
            <w:calcOnExit w:val="0"/>
            <w:textInput>
              <w:default w:val="中国西部开发促进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中国西部开发促进会</w:t>
      </w:r>
      <w:r>
        <w:rPr>
          <w:rFonts w:ascii="黑体" w:hAnsi="黑体" w:eastAsia="黑体" w:cs="Times New Roman"/>
          <w:b w:val="0"/>
          <w:w w:val="100"/>
          <w:sz w:val="28"/>
          <w:lang w:val="en-US" w:eastAsia="zh-CN" w:bidi="ar-SA"/>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7598D2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61F1D21">
      <w:pPr>
        <w:pStyle w:val="91"/>
        <w:spacing w:after="360"/>
        <w:rPr>
          <w:rFonts w:hint="eastAsia"/>
        </w:rPr>
      </w:pPr>
      <w:bookmarkStart w:id="20" w:name="BookMark1"/>
      <w:r>
        <w:rPr>
          <w:rFonts w:hint="eastAsia"/>
          <w:spacing w:val="320"/>
        </w:rPr>
        <w:t>目</w:t>
      </w:r>
      <w:r>
        <w:rPr>
          <w:rFonts w:hint="eastAsia"/>
        </w:rPr>
        <w:t>次</w:t>
      </w:r>
    </w:p>
    <w:p w14:paraId="7C8392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"_Toc226107258"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_Toc226107258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EA4004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"_Toc226107259"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_Toc226107259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4AB0E4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_Toc226107260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5001B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_Toc226107261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5E21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"_Toc226107262" </w:instrText>
      </w:r>
      <w:r>
        <w:fldChar w:fldCharType="separate"/>
      </w:r>
      <w:r>
        <w:rPr>
          <w:rStyle w:val="32"/>
          <w:rFonts w:hint="eastAsia"/>
        </w:rPr>
        <w:t>4</w:t>
      </w:r>
      <w:r>
        <w:rPr>
          <w:rStyle w:val="32"/>
        </w:rPr>
        <w:t xml:space="preserve"> </w:t>
      </w:r>
      <w:r>
        <w:rPr>
          <w:rStyle w:val="32"/>
          <w:rFonts w:hint="eastAsia"/>
        </w:rPr>
        <w:t xml:space="preserve"> 设计原则</w:t>
      </w:r>
      <w:r>
        <w:rPr>
          <w:rFonts w:hint="eastAsia"/>
        </w:rPr>
        <w:tab/>
      </w:r>
      <w:r>
        <w:rPr>
          <w:rFonts w:hint="eastAsia"/>
        </w:rPr>
        <w:fldChar w:fldCharType="begin"/>
      </w:r>
      <w:r>
        <w:rPr>
          <w:rFonts w:hint="eastAsia"/>
        </w:rPr>
        <w:instrText xml:space="preserve"> </w:instrText>
      </w:r>
      <w:r>
        <w:instrText xml:space="preserve">PAGEREF _Toc226107262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39B27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"_Toc226107263" </w:instrText>
      </w:r>
      <w:r>
        <w:fldChar w:fldCharType="separate"/>
      </w:r>
      <w:r>
        <w:rPr>
          <w:rStyle w:val="32"/>
          <w:rFonts w:hint="eastAsia"/>
        </w:rPr>
        <w:t>5</w:t>
      </w:r>
      <w:r>
        <w:rPr>
          <w:rStyle w:val="32"/>
        </w:rPr>
        <w:t xml:space="preserve"> </w:t>
      </w:r>
      <w:r>
        <w:rPr>
          <w:rStyle w:val="32"/>
          <w:rFonts w:hint="eastAsia"/>
        </w:rPr>
        <w:t xml:space="preserve"> 设计流程</w:t>
      </w:r>
      <w:r>
        <w:rPr>
          <w:rFonts w:hint="eastAsia"/>
        </w:rPr>
        <w:tab/>
      </w:r>
      <w:r>
        <w:rPr>
          <w:rFonts w:hint="eastAsia"/>
        </w:rPr>
        <w:fldChar w:fldCharType="begin"/>
      </w:r>
      <w:r>
        <w:rPr>
          <w:rFonts w:hint="eastAsia"/>
        </w:rPr>
        <w:instrText xml:space="preserve"> </w:instrText>
      </w:r>
      <w:r>
        <w:instrText xml:space="preserve">PAGEREF _Toc226107263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B7FE7A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"_Toc226107264" </w:instrText>
      </w:r>
      <w:r>
        <w:fldChar w:fldCharType="separate"/>
      </w:r>
      <w:r>
        <w:rPr>
          <w:rStyle w:val="32"/>
          <w:rFonts w:hint="eastAsia"/>
        </w:rPr>
        <w:t>6</w:t>
      </w:r>
      <w:r>
        <w:rPr>
          <w:rStyle w:val="32"/>
        </w:rPr>
        <w:t xml:space="preserve"> </w:t>
      </w:r>
      <w:r>
        <w:rPr>
          <w:rStyle w:val="32"/>
          <w:rFonts w:hint="eastAsia"/>
        </w:rPr>
        <w:t xml:space="preserve"> 设计要求</w:t>
      </w:r>
      <w:r>
        <w:rPr>
          <w:rFonts w:hint="eastAsia"/>
        </w:rPr>
        <w:tab/>
      </w:r>
      <w:r>
        <w:rPr>
          <w:rFonts w:hint="eastAsia"/>
        </w:rPr>
        <w:fldChar w:fldCharType="begin"/>
      </w:r>
      <w:r>
        <w:rPr>
          <w:rFonts w:hint="eastAsia"/>
        </w:rPr>
        <w:instrText xml:space="preserve"> </w:instrText>
      </w:r>
      <w:r>
        <w:instrText xml:space="preserve">PAGEREF _Toc226107264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4E5DD1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"_Toc226107265" </w:instrText>
      </w:r>
      <w:r>
        <w:fldChar w:fldCharType="separate"/>
      </w:r>
      <w:r>
        <w:rPr>
          <w:rStyle w:val="32"/>
          <w:rFonts w:hint="eastAsia"/>
        </w:rPr>
        <w:t>7</w:t>
      </w:r>
      <w:r>
        <w:rPr>
          <w:rStyle w:val="32"/>
        </w:rPr>
        <w:t xml:space="preserve"> </w:t>
      </w:r>
      <w:r>
        <w:rPr>
          <w:rStyle w:val="32"/>
          <w:rFonts w:hint="eastAsia"/>
        </w:rPr>
        <w:t xml:space="preserve"> 新能源设计</w:t>
      </w:r>
      <w:r>
        <w:rPr>
          <w:rFonts w:hint="eastAsia"/>
        </w:rPr>
        <w:tab/>
      </w:r>
      <w:r>
        <w:rPr>
          <w:rFonts w:hint="eastAsia"/>
        </w:rPr>
        <w:fldChar w:fldCharType="begin"/>
      </w:r>
      <w:r>
        <w:rPr>
          <w:rFonts w:hint="eastAsia"/>
        </w:rPr>
        <w:instrText xml:space="preserve"> </w:instrText>
      </w:r>
      <w:r>
        <w:instrText xml:space="preserve">PAGEREF _Toc226107265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192F0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2785FAA3">
      <w:pPr>
        <w:pStyle w:val="89"/>
        <w:spacing w:before="900" w:after="360"/>
      </w:pPr>
      <w:bookmarkStart w:id="21" w:name="_Toc226107258"/>
      <w:bookmarkStart w:id="22" w:name="BookMark2"/>
      <w:r>
        <w:rPr>
          <w:rFonts w:hint="eastAsia"/>
          <w:spacing w:val="320"/>
        </w:rPr>
        <w:t>前</w:t>
      </w:r>
      <w:r>
        <w:rPr>
          <w:rFonts w:hint="eastAsia"/>
        </w:rPr>
        <w:t>言</w:t>
      </w:r>
      <w:bookmarkEnd w:id="21"/>
    </w:p>
    <w:p w14:paraId="31D5CA31">
      <w:pPr>
        <w:pStyle w:val="56"/>
        <w:ind w:firstLine="420"/>
      </w:pPr>
      <w:r>
        <w:rPr>
          <w:rFonts w:hint="eastAsia"/>
        </w:rPr>
        <w:t>本文件按照GB/T 1.1—2020《标准化工作导则  第1部分：标准化文件的结构和起草规则》的规定起草。</w:t>
      </w:r>
    </w:p>
    <w:p w14:paraId="1D932199">
      <w:pPr>
        <w:pStyle w:val="56"/>
        <w:ind w:firstLine="420"/>
      </w:pPr>
      <w:r>
        <w:rPr>
          <w:rFonts w:hint="eastAsia"/>
        </w:rPr>
        <w:t>请注意本文件的某些内容可能涉及专利。本文件的发布机构不承担识别专利的责任。</w:t>
      </w:r>
    </w:p>
    <w:p w14:paraId="3A5D9960">
      <w:pPr>
        <w:pStyle w:val="56"/>
        <w:ind w:firstLine="420"/>
      </w:pPr>
      <w:r>
        <w:rPr>
          <w:rFonts w:hint="eastAsia"/>
        </w:rPr>
        <w:t>本文件由孚能科技（镇江</w:t>
      </w:r>
      <w:bookmarkStart w:id="53" w:name="_GoBack"/>
      <w:bookmarkEnd w:id="53"/>
      <w:r>
        <w:rPr>
          <w:rFonts w:hint="eastAsia"/>
        </w:rPr>
        <w:t>）有限公司提出。</w:t>
      </w:r>
    </w:p>
    <w:p w14:paraId="15051888">
      <w:pPr>
        <w:pStyle w:val="56"/>
        <w:ind w:firstLine="420"/>
      </w:pPr>
      <w:r>
        <w:rPr>
          <w:rFonts w:hint="eastAsia"/>
        </w:rPr>
        <w:t>本文件由中国西部开发促进会归口。</w:t>
      </w:r>
    </w:p>
    <w:p w14:paraId="0DDF6960">
      <w:pPr>
        <w:pStyle w:val="56"/>
        <w:ind w:firstLine="420"/>
        <w:rPr>
          <w:rFonts w:hint="eastAsia" w:eastAsia="宋体"/>
          <w:lang w:val="en-US" w:eastAsia="zh-CN"/>
        </w:rPr>
      </w:pPr>
      <w:r>
        <w:rPr>
          <w:rFonts w:hint="eastAsia"/>
        </w:rPr>
        <w:t>本文件起草单位：孚能科技（镇江）有限公司</w:t>
      </w:r>
      <w:r>
        <w:rPr>
          <w:rFonts w:hint="eastAsia"/>
          <w:lang w:eastAsia="zh-CN"/>
        </w:rPr>
        <w:t>。</w:t>
      </w:r>
    </w:p>
    <w:p w14:paraId="2BB6B8F9">
      <w:pPr>
        <w:pStyle w:val="56"/>
        <w:ind w:firstLine="420"/>
      </w:pPr>
      <w:r>
        <w:rPr>
          <w:rFonts w:hint="eastAsia"/>
        </w:rPr>
        <w:t>本文件主要起草人：</w:t>
      </w:r>
    </w:p>
    <w:p w14:paraId="7C4106FA">
      <w:pPr>
        <w:pStyle w:val="56"/>
        <w:ind w:firstLine="420"/>
      </w:pPr>
    </w:p>
    <w:p w14:paraId="1931116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61880EF1">
      <w:pPr>
        <w:spacing w:line="20" w:lineRule="exact"/>
        <w:jc w:val="center"/>
        <w:rPr>
          <w:rFonts w:hint="eastAsia" w:ascii="黑体" w:hAnsi="黑体" w:eastAsia="黑体"/>
          <w:sz w:val="32"/>
          <w:szCs w:val="32"/>
        </w:rPr>
      </w:pPr>
      <w:bookmarkStart w:id="23" w:name="BookMark4"/>
    </w:p>
    <w:p w14:paraId="3BB2193B">
      <w:pPr>
        <w:spacing w:line="20" w:lineRule="exact"/>
        <w:jc w:val="center"/>
        <w:rPr>
          <w:rFonts w:hint="eastAsia" w:ascii="黑体" w:hAnsi="黑体" w:eastAsia="黑体"/>
          <w:sz w:val="32"/>
          <w:szCs w:val="32"/>
        </w:rPr>
      </w:pPr>
    </w:p>
    <w:sdt>
      <w:sdtPr>
        <w:tag w:val="NEW_STAND_NAME"/>
        <w:id w:val="595910757"/>
        <w:lock w:val="sdtLocked"/>
        <w:placeholder>
          <w:docPart w:val="CA1C62B38A9047C59F5189D7D13D3965"/>
        </w:placeholder>
      </w:sdtPr>
      <w:sdtContent>
        <w:p w14:paraId="3A7EB291">
          <w:pPr>
            <w:pStyle w:val="177"/>
            <w:spacing w:before="240" w:beforeLines="100" w:after="528" w:afterLines="220"/>
            <w:rPr>
              <w:rFonts w:hint="eastAsia"/>
            </w:rPr>
          </w:pPr>
          <w:bookmarkStart w:id="24" w:name="NEW_STAND_NAME"/>
          <w:r>
            <w:rPr>
              <w:rFonts w:hint="eastAsia"/>
            </w:rPr>
            <w:t>产品机械结构通用设计技术规范</w:t>
          </w:r>
        </w:p>
      </w:sdtContent>
    </w:sdt>
    <w:bookmarkEnd w:id="24"/>
    <w:p w14:paraId="29953F1E">
      <w:pPr>
        <w:pStyle w:val="104"/>
        <w:spacing w:before="240" w:after="240"/>
      </w:pPr>
      <w:bookmarkStart w:id="25" w:name="_Toc24884211"/>
      <w:bookmarkStart w:id="26" w:name="_Toc26986771"/>
      <w:bookmarkStart w:id="27" w:name="_Toc226107259"/>
      <w:bookmarkStart w:id="28" w:name="_Toc97192964"/>
      <w:bookmarkStart w:id="29" w:name="_Toc26648465"/>
      <w:bookmarkStart w:id="30" w:name="_Toc17233325"/>
      <w:bookmarkStart w:id="31" w:name="_Toc26986530"/>
      <w:bookmarkStart w:id="32" w:name="_Toc17233333"/>
      <w:bookmarkStart w:id="33" w:name="_Toc24884218"/>
      <w:bookmarkStart w:id="34" w:name="_Toc26718930"/>
      <w:r>
        <w:rPr>
          <w:rFonts w:hint="eastAsia"/>
        </w:rPr>
        <w:t>范围</w:t>
      </w:r>
      <w:bookmarkEnd w:id="25"/>
      <w:bookmarkEnd w:id="26"/>
      <w:bookmarkEnd w:id="27"/>
      <w:bookmarkEnd w:id="28"/>
      <w:bookmarkEnd w:id="29"/>
      <w:bookmarkEnd w:id="30"/>
      <w:bookmarkEnd w:id="31"/>
      <w:bookmarkEnd w:id="32"/>
      <w:bookmarkEnd w:id="33"/>
      <w:bookmarkEnd w:id="34"/>
    </w:p>
    <w:p w14:paraId="6189DD93">
      <w:pPr>
        <w:pStyle w:val="56"/>
        <w:ind w:firstLine="420"/>
      </w:pPr>
      <w:bookmarkStart w:id="35" w:name="_Toc24884212"/>
      <w:bookmarkStart w:id="36" w:name="_Toc26648466"/>
      <w:bookmarkStart w:id="37" w:name="_Toc17233334"/>
      <w:bookmarkStart w:id="38" w:name="_Toc24884219"/>
      <w:bookmarkStart w:id="39" w:name="_Toc17233326"/>
      <w:r>
        <w:rPr>
          <w:rFonts w:hint="eastAsia"/>
        </w:rPr>
        <w:t>本文件规定了产品机械结构设计的设计原则、设计流程、设计要求、新能源设计。</w:t>
      </w:r>
    </w:p>
    <w:p w14:paraId="50C971BE">
      <w:pPr>
        <w:pStyle w:val="56"/>
        <w:ind w:firstLine="420"/>
      </w:pPr>
      <w:r>
        <w:rPr>
          <w:rFonts w:hint="eastAsia"/>
        </w:rPr>
        <w:t>本文件适用于产品机械结构设计。</w:t>
      </w:r>
    </w:p>
    <w:p w14:paraId="55D965A4">
      <w:pPr>
        <w:pStyle w:val="104"/>
        <w:spacing w:before="240" w:after="240"/>
      </w:pPr>
      <w:bookmarkStart w:id="40" w:name="_Toc26718931"/>
      <w:bookmarkStart w:id="41" w:name="_Toc226107260"/>
      <w:bookmarkStart w:id="42" w:name="_Toc26986772"/>
      <w:bookmarkStart w:id="43" w:name="_Toc26986531"/>
      <w:bookmarkStart w:id="44" w:name="_Toc9719296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C2C963BD5CE4B0AB6D1FC20E1836C5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1D15C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B7D9D8">
      <w:pPr>
        <w:pStyle w:val="56"/>
        <w:ind w:firstLine="420"/>
        <w:rPr>
          <w:rFonts w:hint="eastAsia"/>
        </w:rPr>
      </w:pPr>
      <w:r>
        <w:t>GB/T 1184</w:t>
      </w:r>
      <w:r>
        <w:rPr>
          <w:rFonts w:hint="eastAsia"/>
        </w:rPr>
        <w:t xml:space="preserve"> 形状和位置公差 未注公差值</w:t>
      </w:r>
    </w:p>
    <w:p w14:paraId="27CDE9DF">
      <w:pPr>
        <w:pStyle w:val="56"/>
        <w:ind w:firstLine="420"/>
        <w:rPr>
          <w:rFonts w:hint="eastAsia"/>
        </w:rPr>
      </w:pPr>
      <w:r>
        <w:t>GB/T 1804</w:t>
      </w:r>
      <w:r>
        <w:rPr>
          <w:rFonts w:hint="eastAsia"/>
        </w:rPr>
        <w:t xml:space="preserve"> 一般公差 未注公差的线性和角度尺寸的公差</w:t>
      </w:r>
    </w:p>
    <w:p w14:paraId="025804F2">
      <w:pPr>
        <w:pStyle w:val="56"/>
        <w:ind w:firstLine="420"/>
      </w:pPr>
      <w:r>
        <w:t>GB/T 2423</w:t>
      </w:r>
      <w:r>
        <w:rPr>
          <w:rFonts w:hint="eastAsia"/>
        </w:rPr>
        <w:t>.1~</w:t>
      </w:r>
      <w:r>
        <w:t xml:space="preserve"> GB/T 2423</w:t>
      </w:r>
      <w:r>
        <w:rPr>
          <w:rFonts w:hint="eastAsia"/>
        </w:rPr>
        <w:t xml:space="preserve">.102 </w:t>
      </w:r>
      <w:r>
        <w:t>电工电子产品环境试验</w:t>
      </w:r>
    </w:p>
    <w:p w14:paraId="04CB3452">
      <w:pPr>
        <w:pStyle w:val="56"/>
        <w:ind w:firstLine="420"/>
        <w:rPr>
          <w:rFonts w:hint="eastAsia"/>
        </w:rPr>
      </w:pPr>
      <w:r>
        <w:t>GB/T 4208</w:t>
      </w:r>
      <w:r>
        <w:rPr>
          <w:rFonts w:hint="eastAsia"/>
        </w:rPr>
        <w:t xml:space="preserve"> 外壳防护等级（IP代码）</w:t>
      </w:r>
    </w:p>
    <w:p w14:paraId="4DFDC8F8">
      <w:pPr>
        <w:pStyle w:val="56"/>
        <w:ind w:firstLine="420"/>
        <w:rPr>
          <w:rFonts w:hint="eastAsia"/>
        </w:rPr>
      </w:pPr>
      <w:r>
        <w:t>GB/T 4458</w:t>
      </w:r>
      <w:r>
        <w:rPr>
          <w:rFonts w:hint="eastAsia"/>
        </w:rPr>
        <w:t>.1~</w:t>
      </w:r>
      <w:r>
        <w:fldChar w:fldCharType="begin"/>
      </w:r>
      <w:r>
        <w:instrText xml:space="preserve"> HYPERLINK "http://www.csres.com/detail/66160.html" \t "_blank" </w:instrText>
      </w:r>
      <w:r>
        <w:fldChar w:fldCharType="separate"/>
      </w:r>
      <w:r>
        <w:rPr>
          <w:rStyle w:val="32"/>
          <w:rFonts w:hint="eastAsia"/>
        </w:rPr>
        <w:t>GB/T 4458.5</w:t>
      </w:r>
      <w:r>
        <w:rPr>
          <w:rStyle w:val="32"/>
          <w:rFonts w:hint="eastAsia"/>
        </w:rPr>
        <w:fldChar w:fldCharType="end"/>
      </w:r>
      <w:r>
        <w:rPr>
          <w:rFonts w:hint="eastAsia"/>
        </w:rPr>
        <w:t xml:space="preserve"> 机械制图</w:t>
      </w:r>
    </w:p>
    <w:p w14:paraId="1E291B95">
      <w:pPr>
        <w:pStyle w:val="56"/>
        <w:ind w:firstLine="420"/>
        <w:rPr>
          <w:rFonts w:hint="eastAsia"/>
        </w:rPr>
      </w:pPr>
      <w:r>
        <w:t>GB 38031</w:t>
      </w:r>
      <w:r>
        <w:rPr>
          <w:rFonts w:hint="eastAsia"/>
        </w:rPr>
        <w:t xml:space="preserve">  电动汽车用动力蓄电池安全要求</w:t>
      </w:r>
    </w:p>
    <w:p w14:paraId="3B59DC76">
      <w:pPr>
        <w:pStyle w:val="104"/>
        <w:spacing w:before="240" w:after="240"/>
      </w:pPr>
      <w:bookmarkStart w:id="45" w:name="_Toc97192966"/>
      <w:bookmarkStart w:id="46" w:name="_Toc226107261"/>
      <w:r>
        <w:rPr>
          <w:rFonts w:hint="eastAsia"/>
          <w:szCs w:val="21"/>
        </w:rPr>
        <w:t>术语和定义</w:t>
      </w:r>
      <w:bookmarkEnd w:id="45"/>
      <w:bookmarkEnd w:id="46"/>
    </w:p>
    <w:sdt>
      <w:sdtPr>
        <w:id w:val="-1909835108"/>
        <w:placeholder>
          <w:docPart w:val="93BB6EF5A8FC473CA181FE2053DB76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6B6460">
          <w:pPr>
            <w:pStyle w:val="56"/>
            <w:ind w:firstLine="420"/>
          </w:pPr>
          <w:bookmarkStart w:id="47" w:name="_Toc26986532"/>
          <w:bookmarkEnd w:id="47"/>
          <w:r>
            <w:t>下列术语和定义适用于本文件。</w:t>
          </w:r>
        </w:p>
      </w:sdtContent>
    </w:sdt>
    <w:p w14:paraId="7C71A3D2">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机械结构 m</w:t>
      </w:r>
      <w:r>
        <w:rPr>
          <w:rFonts w:ascii="黑体" w:hAnsi="黑体" w:eastAsia="黑体"/>
        </w:rPr>
        <w:t>echanical structure</w:t>
      </w:r>
    </w:p>
    <w:p w14:paraId="3C345EB7">
      <w:pPr>
        <w:pStyle w:val="56"/>
        <w:ind w:firstLine="420"/>
      </w:pPr>
      <w:r>
        <w:rPr>
          <w:rFonts w:hint="eastAsia"/>
        </w:rPr>
        <w:t>指产品中由机械零部件通过一定的连接方式组合而成，用于承受载荷、固定零部件、实现特定功能并满足防护要求的物理实体。</w:t>
      </w:r>
    </w:p>
    <w:p w14:paraId="60CC1B8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高压互锁 </w:t>
      </w:r>
      <w:r>
        <w:rPr>
          <w:rFonts w:ascii="黑体" w:hAnsi="黑体" w:eastAsia="黑体"/>
        </w:rPr>
        <w:t>High Voltage Inter-lock</w:t>
      </w:r>
      <w:r>
        <w:rPr>
          <w:rFonts w:hint="eastAsia" w:ascii="黑体" w:hAnsi="黑体" w:eastAsia="黑体"/>
        </w:rPr>
        <w:t>，HVIL</w:t>
      </w:r>
    </w:p>
    <w:p w14:paraId="2EA6AA6F">
      <w:pPr>
        <w:pStyle w:val="56"/>
        <w:ind w:firstLine="420"/>
      </w:pPr>
      <w:r>
        <w:t>一种通过低压回路监控高压连接器状态的诊断结构设计。</w:t>
      </w:r>
    </w:p>
    <w:p w14:paraId="4B601E4C">
      <w:pPr>
        <w:pStyle w:val="104"/>
        <w:spacing w:before="240" w:after="240"/>
      </w:pPr>
      <w:bookmarkStart w:id="48" w:name="_Toc226107262"/>
      <w:r>
        <w:rPr>
          <w:rFonts w:hint="eastAsia"/>
        </w:rPr>
        <w:t>设计原则</w:t>
      </w:r>
      <w:bookmarkEnd w:id="48"/>
    </w:p>
    <w:p w14:paraId="54776D1C">
      <w:pPr>
        <w:pStyle w:val="105"/>
        <w:spacing w:before="120" w:after="120"/>
      </w:pPr>
      <w:r>
        <w:rPr>
          <w:rFonts w:hint="eastAsia"/>
        </w:rPr>
        <w:t>安全性优先原则</w:t>
      </w:r>
    </w:p>
    <w:p w14:paraId="04A1A983">
      <w:pPr>
        <w:pStyle w:val="56"/>
        <w:ind w:firstLine="420"/>
      </w:pPr>
      <w:r>
        <w:rPr>
          <w:rFonts w:hint="eastAsia"/>
        </w:rPr>
        <w:t>结构设计应将人员安全、设备安全及环境安全置于首位。对于动力电池结构，应重点考虑高压绝缘、防触电、防热失控蔓延及机械滥用（挤压、针刺、跌落）下的结构完整性。</w:t>
      </w:r>
    </w:p>
    <w:p w14:paraId="545024AB">
      <w:pPr>
        <w:pStyle w:val="105"/>
        <w:spacing w:before="120" w:after="120"/>
      </w:pPr>
      <w:r>
        <w:rPr>
          <w:rFonts w:hint="eastAsia"/>
        </w:rPr>
        <w:t>功能与可靠性原则</w:t>
      </w:r>
    </w:p>
    <w:p w14:paraId="219B98D4">
      <w:pPr>
        <w:pStyle w:val="56"/>
        <w:ind w:firstLine="420"/>
      </w:pPr>
      <w:r>
        <w:rPr>
          <w:rFonts w:hint="eastAsia"/>
        </w:rPr>
        <w:t>结构设计应满足产品定义的所有功能要求。在规定的使用寿命期内，结构应能承受预期的机械载荷、环境应力（温度、湿度、振动、冲击）而不发生失效。</w:t>
      </w:r>
    </w:p>
    <w:p w14:paraId="3F319B2B">
      <w:pPr>
        <w:pStyle w:val="105"/>
        <w:spacing w:before="120" w:after="120"/>
      </w:pPr>
      <w:r>
        <w:rPr>
          <w:rFonts w:hint="eastAsia"/>
        </w:rPr>
        <w:t>可制造性与可装配性（DFM/DFA）原则</w:t>
      </w:r>
    </w:p>
    <w:p w14:paraId="6D1A9ECE">
      <w:pPr>
        <w:pStyle w:val="56"/>
        <w:ind w:firstLine="420"/>
      </w:pPr>
      <w:r>
        <w:rPr>
          <w:rFonts w:hint="eastAsia"/>
        </w:rPr>
        <w:t>结构应便于加工（如钣金折弯、模具成型）和自动化/人工装配。应优先采用模块化设计，减少零件种类，避免出现狭小操作空间和复杂装配路径。</w:t>
      </w:r>
    </w:p>
    <w:p w14:paraId="2BBEEF2F">
      <w:pPr>
        <w:pStyle w:val="105"/>
        <w:spacing w:before="120" w:after="120"/>
      </w:pPr>
      <w:r>
        <w:rPr>
          <w:rFonts w:hint="eastAsia"/>
        </w:rPr>
        <w:t>轻量化与经济性原则</w:t>
      </w:r>
    </w:p>
    <w:p w14:paraId="56EA9BAA">
      <w:pPr>
        <w:pStyle w:val="56"/>
        <w:ind w:firstLine="420"/>
      </w:pPr>
      <w:r>
        <w:rPr>
          <w:rFonts w:hint="eastAsia"/>
        </w:rPr>
        <w:t>在满足强度、刚度和安全要求的前提下，通过拓扑优化、材料优选（如采用高强度钢、铝合金、复合材料）和结构简化，实现产品轻量化。同时，应综合考虑材料成本、制造成本和维护成本，实现最优性价比。</w:t>
      </w:r>
    </w:p>
    <w:p w14:paraId="41CAC4D2">
      <w:pPr>
        <w:pStyle w:val="105"/>
        <w:spacing w:before="120" w:after="120"/>
      </w:pPr>
      <w:r>
        <w:rPr>
          <w:rFonts w:hint="eastAsia"/>
        </w:rPr>
        <w:t>标准化与通用化原则</w:t>
      </w:r>
    </w:p>
    <w:p w14:paraId="1AED86BB">
      <w:pPr>
        <w:pStyle w:val="56"/>
        <w:ind w:firstLine="420"/>
      </w:pPr>
      <w:r>
        <w:rPr>
          <w:rFonts w:hint="eastAsia"/>
        </w:rPr>
        <w:t>优先选用标准件（螺钉、垫圈、卡扣等）、通用件和模块。设计特征（如螺纹规格、定位销尺寸、R角）应尽量统一，以降低采购和库存成本，提高维护便利性。</w:t>
      </w:r>
    </w:p>
    <w:p w14:paraId="41773608">
      <w:pPr>
        <w:pStyle w:val="104"/>
        <w:spacing w:before="240" w:after="240"/>
      </w:pPr>
      <w:bookmarkStart w:id="49" w:name="_Toc226107263"/>
      <w:r>
        <w:rPr>
          <w:rFonts w:hint="eastAsia"/>
        </w:rPr>
        <w:t>设计流程</w:t>
      </w:r>
      <w:bookmarkEnd w:id="49"/>
    </w:p>
    <w:p w14:paraId="6BA69BE0">
      <w:pPr>
        <w:pStyle w:val="105"/>
        <w:spacing w:before="120" w:after="120"/>
      </w:pPr>
      <w:r>
        <w:rPr>
          <w:rFonts w:hint="eastAsia"/>
        </w:rPr>
        <w:t>需求分析与输入</w:t>
      </w:r>
    </w:p>
    <w:p w14:paraId="788D32A4">
      <w:pPr>
        <w:pStyle w:val="165"/>
      </w:pPr>
      <w:r>
        <w:rPr>
          <w:rFonts w:hint="eastAsia"/>
        </w:rPr>
        <w:t>设计启动前，应全面收集并明确与产品机械结构相关的各类输入信息，确保设计目标清晰、边界条件完整。</w:t>
      </w:r>
    </w:p>
    <w:p w14:paraId="3D4FC014">
      <w:pPr>
        <w:pStyle w:val="165"/>
      </w:pPr>
      <w:r>
        <w:rPr>
          <w:rFonts w:hint="eastAsia"/>
        </w:rPr>
        <w:t>输入信息应包括但不限于以下内容：</w:t>
      </w:r>
    </w:p>
    <w:p w14:paraId="0CA8E688">
      <w:pPr>
        <w:pStyle w:val="132"/>
      </w:pPr>
      <w:r>
        <w:rPr>
          <w:rFonts w:hint="eastAsia"/>
        </w:rPr>
        <w:t>产品功能与性能指标：产品应实现的功能、关键性能参数（如承载能力、运动精度、使用寿命等）；</w:t>
      </w:r>
    </w:p>
    <w:p w14:paraId="1981C1B4">
      <w:pPr>
        <w:pStyle w:val="132"/>
      </w:pPr>
      <w:r>
        <w:rPr>
          <w:rFonts w:hint="eastAsia"/>
        </w:rPr>
        <w:t>使用环境条件：产品预期使用的环境温度、湿度、海拔、防护等级、腐蚀性介质、振动与冲击等级等，应按GB/T 2423系列标准对环境试验条件的规定进行；</w:t>
      </w:r>
    </w:p>
    <w:p w14:paraId="2CB10481">
      <w:pPr>
        <w:pStyle w:val="132"/>
      </w:pPr>
      <w:r>
        <w:rPr>
          <w:rFonts w:hint="eastAsia"/>
        </w:rPr>
        <w:t>法规与认证要求：产品需满足的强制性法规、行业准入要求及特定认证标准（如安全、电磁兼容、环保等）；</w:t>
      </w:r>
    </w:p>
    <w:p w14:paraId="7D665E89">
      <w:pPr>
        <w:pStyle w:val="132"/>
      </w:pPr>
      <w:r>
        <w:rPr>
          <w:rFonts w:hint="eastAsia"/>
        </w:rPr>
        <w:t>成本目标：产品的目标成本、零部件成本分解及全生命周期成本控制要求；</w:t>
      </w:r>
    </w:p>
    <w:p w14:paraId="1C0D512C">
      <w:pPr>
        <w:pStyle w:val="132"/>
      </w:pPr>
      <w:r>
        <w:rPr>
          <w:rFonts w:hint="eastAsia"/>
        </w:rPr>
        <w:t>项目时间节点：各设计阶段的关键里程碑、样机交付节点及量产时间规划。</w:t>
      </w:r>
    </w:p>
    <w:p w14:paraId="1CA34914">
      <w:pPr>
        <w:pStyle w:val="165"/>
      </w:pPr>
      <w:r>
        <w:rPr>
          <w:rFonts w:hint="eastAsia"/>
        </w:rPr>
        <w:t>对于具有特定应用场景的产品（如新能源动力电池），除上述通用输入外，宜进一步明确以下内容：</w:t>
      </w:r>
    </w:p>
    <w:p w14:paraId="47A10052">
      <w:pPr>
        <w:pStyle w:val="132"/>
      </w:pPr>
      <w:r>
        <w:rPr>
          <w:rFonts w:hint="eastAsia"/>
        </w:rPr>
        <w:t>接口定义：与上下游系统或整机的机械接口、电气接口、热接口及通信接口；</w:t>
      </w:r>
    </w:p>
    <w:p w14:paraId="488E4CE9">
      <w:pPr>
        <w:pStyle w:val="132"/>
      </w:pPr>
      <w:r>
        <w:rPr>
          <w:rFonts w:hint="eastAsia"/>
        </w:rPr>
        <w:t>关键参数：如电池产品的电量、能量密度、充放电倍率、热管理需求等；</w:t>
      </w:r>
    </w:p>
    <w:p w14:paraId="4CFF9FDD">
      <w:pPr>
        <w:pStyle w:val="132"/>
      </w:pPr>
      <w:r>
        <w:rPr>
          <w:rFonts w:hint="eastAsia"/>
        </w:rPr>
        <w:t>安全标准：适用的安全测试标准（如机械滥用、热扩散、高压防护等）的具体条款。</w:t>
      </w:r>
    </w:p>
    <w:p w14:paraId="21FCF9D9">
      <w:pPr>
        <w:pStyle w:val="165"/>
      </w:pPr>
      <w:r>
        <w:rPr>
          <w:rFonts w:hint="eastAsia"/>
        </w:rPr>
        <w:t>所有输入信息应形成正式的输入文件，经相关人员确认后作为后续设计活动的依据。输入文件的变更应按配置管理程序执行。</w:t>
      </w:r>
    </w:p>
    <w:p w14:paraId="6D052D74">
      <w:pPr>
        <w:pStyle w:val="105"/>
        <w:spacing w:before="120" w:after="120"/>
      </w:pPr>
      <w:r>
        <w:rPr>
          <w:rFonts w:hint="eastAsia"/>
        </w:rPr>
        <w:t>概念设计与布局</w:t>
      </w:r>
    </w:p>
    <w:p w14:paraId="246F9EBB">
      <w:pPr>
        <w:pStyle w:val="165"/>
      </w:pPr>
      <w:r>
        <w:rPr>
          <w:rFonts w:hint="eastAsia"/>
        </w:rPr>
        <w:t>在需求分析的基础上，应开展概念设计工作，提出满足需求的初步结构方案，并进行多方案比较与优选。</w:t>
      </w:r>
    </w:p>
    <w:p w14:paraId="6B7E3B9B">
      <w:pPr>
        <w:pStyle w:val="165"/>
      </w:pPr>
      <w:r>
        <w:rPr>
          <w:rFonts w:hint="eastAsia"/>
        </w:rPr>
        <w:t>概念设计阶段应完成以下主要活动：</w:t>
      </w:r>
    </w:p>
    <w:p w14:paraId="70F341FA">
      <w:pPr>
        <w:pStyle w:val="132"/>
      </w:pPr>
      <w:r>
        <w:rPr>
          <w:rFonts w:hint="eastAsia"/>
        </w:rPr>
        <w:t>系统级布局：确定产品的主要功能模块及其相对位置关系，形成初步的总体布局方案。布局应考虑装配可行性、维修可达性、散热路径及受力传递路径；</w:t>
      </w:r>
    </w:p>
    <w:p w14:paraId="3DA66BC2">
      <w:pPr>
        <w:pStyle w:val="132"/>
      </w:pPr>
      <w:r>
        <w:rPr>
          <w:rFonts w:hint="eastAsia"/>
        </w:rPr>
        <w:t>模块划分：将产品分解为若干功能模块或组件，明确各模块之间的接口关系与配合要求；</w:t>
      </w:r>
    </w:p>
    <w:p w14:paraId="4D2CC6C7">
      <w:pPr>
        <w:pStyle w:val="132"/>
      </w:pPr>
      <w:r>
        <w:rPr>
          <w:rFonts w:hint="eastAsia"/>
        </w:rPr>
        <w:t>材料与工艺初选：根据产品的功能需求、使用环境及成本目标，初步选定主要零部件的材料及成型工艺（如钣金、压铸、注塑、型材等）。</w:t>
      </w:r>
    </w:p>
    <w:p w14:paraId="1B72A7BC">
      <w:pPr>
        <w:pStyle w:val="165"/>
      </w:pPr>
      <w:r>
        <w:rPr>
          <w:rFonts w:hint="eastAsia"/>
        </w:rPr>
        <w:t>布局方案应进行初步的空间干涉检查和运动学分析，确保各模块在规定的运动范围内无干涉。对于复杂系统，可借助三维建模软件进行初步的数字化布局验证。</w:t>
      </w:r>
    </w:p>
    <w:p w14:paraId="5719EC55">
      <w:pPr>
        <w:pStyle w:val="105"/>
        <w:spacing w:before="120" w:after="120"/>
      </w:pPr>
      <w:r>
        <w:rPr>
          <w:rFonts w:hint="eastAsia"/>
        </w:rPr>
        <w:t>详细设计与建模</w:t>
      </w:r>
    </w:p>
    <w:p w14:paraId="53849556">
      <w:pPr>
        <w:pStyle w:val="165"/>
      </w:pPr>
      <w:r>
        <w:rPr>
          <w:rFonts w:hint="eastAsia"/>
        </w:rPr>
        <w:t>概念方案经确认后，应开展详细设计工作，形成完整的三维模型和二维工程图样。</w:t>
      </w:r>
    </w:p>
    <w:p w14:paraId="6507A382">
      <w:pPr>
        <w:pStyle w:val="165"/>
      </w:pPr>
      <w:r>
        <w:rPr>
          <w:rFonts w:hint="eastAsia"/>
        </w:rPr>
        <w:t>三维建模应符合以下要求：</w:t>
      </w:r>
    </w:p>
    <w:p w14:paraId="5696F047">
      <w:pPr>
        <w:pStyle w:val="132"/>
      </w:pPr>
      <w:r>
        <w:rPr>
          <w:rFonts w:hint="eastAsia"/>
        </w:rPr>
        <w:t>采用统一的建模规范，包括图层设置、命名规则、坐标系定义等；</w:t>
      </w:r>
    </w:p>
    <w:p w14:paraId="6B276EEF">
      <w:pPr>
        <w:pStyle w:val="132"/>
      </w:pPr>
      <w:r>
        <w:rPr>
          <w:rFonts w:hint="eastAsia"/>
        </w:rPr>
        <w:t>零部件的几何特征应完整、准确，关键配合面应单独建模并标注；</w:t>
      </w:r>
    </w:p>
    <w:p w14:paraId="0A1533A4">
      <w:pPr>
        <w:pStyle w:val="132"/>
      </w:pPr>
      <w:r>
        <w:rPr>
          <w:rFonts w:hint="eastAsia"/>
        </w:rPr>
        <w:t>装配模型应体现零部件之间的装配关系、约束类型及运动关系；</w:t>
      </w:r>
    </w:p>
    <w:p w14:paraId="1D13F069">
      <w:pPr>
        <w:pStyle w:val="132"/>
      </w:pPr>
      <w:r>
        <w:rPr>
          <w:rFonts w:hint="eastAsia"/>
        </w:rPr>
        <w:t>应进行干涉检查，确保所有零部件在静态和动态条件下均无干涉。</w:t>
      </w:r>
    </w:p>
    <w:p w14:paraId="49B64957">
      <w:pPr>
        <w:pStyle w:val="165"/>
      </w:pPr>
      <w:r>
        <w:rPr>
          <w:rFonts w:hint="eastAsia"/>
        </w:rPr>
        <w:t>二维工程图样应完整表达设计意图，包括但不限于：</w:t>
      </w:r>
    </w:p>
    <w:p w14:paraId="34BD604A">
      <w:pPr>
        <w:pStyle w:val="132"/>
      </w:pPr>
      <w:r>
        <w:rPr>
          <w:rFonts w:hint="eastAsia"/>
        </w:rPr>
        <w:t>必要的视图（主视图、俯视图、侧视图、剖视图、局部放大图等）；</w:t>
      </w:r>
    </w:p>
    <w:p w14:paraId="54E38ABA">
      <w:pPr>
        <w:pStyle w:val="132"/>
      </w:pPr>
      <w:r>
        <w:rPr>
          <w:rFonts w:hint="eastAsia"/>
        </w:rPr>
        <w:t>尺寸标注（功能尺寸、安装尺寸、外形尺寸等）应符合GB/T 4458等相关标准的规定；</w:t>
      </w:r>
    </w:p>
    <w:p w14:paraId="221FEC31">
      <w:pPr>
        <w:pStyle w:val="132"/>
      </w:pPr>
      <w:r>
        <w:rPr>
          <w:rFonts w:hint="eastAsia"/>
        </w:rPr>
        <w:t>几何公差（形状公差、位置公差）应按GB/T 1184的规定进行标注，确保功能要求的可测量性；</w:t>
      </w:r>
    </w:p>
    <w:p w14:paraId="5EBD58E4">
      <w:pPr>
        <w:pStyle w:val="132"/>
      </w:pPr>
      <w:r>
        <w:rPr>
          <w:rFonts w:hint="eastAsia"/>
        </w:rPr>
        <w:t>表面处理要求（涂层、镀层、阳极氧化等）应明确标注；</w:t>
      </w:r>
    </w:p>
    <w:p w14:paraId="2183C75F">
      <w:pPr>
        <w:pStyle w:val="132"/>
      </w:pPr>
      <w:r>
        <w:rPr>
          <w:rFonts w:hint="eastAsia"/>
        </w:rPr>
        <w:t>技术要求在图纸空白处集中列出，包括材料牌号、热处理要求、无损检测要求、未注公差等级等。</w:t>
      </w:r>
    </w:p>
    <w:p w14:paraId="097B4F32">
      <w:pPr>
        <w:pStyle w:val="105"/>
        <w:spacing w:before="120" w:after="120"/>
      </w:pPr>
      <w:r>
        <w:rPr>
          <w:rFonts w:hint="eastAsia"/>
        </w:rPr>
        <w:t>仿真分析（CAE）</w:t>
      </w:r>
    </w:p>
    <w:p w14:paraId="477A9E13">
      <w:pPr>
        <w:pStyle w:val="165"/>
      </w:pPr>
      <w:r>
        <w:rPr>
          <w:rFonts w:hint="eastAsia"/>
        </w:rPr>
        <w:t>对于关键承载结构、运动机构及受热影响显著的零部件，应进行计算机辅助工程（CAE）仿真分析，在设计阶段预测产品性能。</w:t>
      </w:r>
    </w:p>
    <w:p w14:paraId="49DF1D98">
      <w:pPr>
        <w:pStyle w:val="165"/>
      </w:pPr>
      <w:r>
        <w:rPr>
          <w:rFonts w:hint="eastAsia"/>
        </w:rPr>
        <w:t>仿真分析宜涵盖以下内容：</w:t>
      </w:r>
    </w:p>
    <w:p w14:paraId="1E65FD23">
      <w:pPr>
        <w:pStyle w:val="132"/>
      </w:pPr>
      <w:r>
        <w:rPr>
          <w:rFonts w:hint="eastAsia"/>
        </w:rPr>
        <w:t>结构静力学分析：评估结构在额定载荷及极限载荷下的应力分布与变形情况，校核强度与刚度；</w:t>
      </w:r>
    </w:p>
    <w:p w14:paraId="0B8F085E">
      <w:pPr>
        <w:pStyle w:val="132"/>
      </w:pPr>
      <w:r>
        <w:rPr>
          <w:rFonts w:hint="eastAsia"/>
        </w:rPr>
        <w:t>动力学分析：包括模态分析（识别固有频率与振型）、随机振动分析、冲击响应分析等，验证结构在动态载荷下的可靠性；</w:t>
      </w:r>
    </w:p>
    <w:p w14:paraId="121356FD">
      <w:pPr>
        <w:pStyle w:val="132"/>
      </w:pPr>
      <w:r>
        <w:rPr>
          <w:rFonts w:hint="eastAsia"/>
        </w:rPr>
        <w:t>疲劳分析：评估结构在交变载荷作用下的疲劳寿命；</w:t>
      </w:r>
    </w:p>
    <w:p w14:paraId="24421691">
      <w:pPr>
        <w:pStyle w:val="132"/>
      </w:pPr>
      <w:r>
        <w:rPr>
          <w:rFonts w:hint="eastAsia"/>
        </w:rPr>
        <w:t>热仿真与流体分析：对于存在显著热源的产品，应进行热传导、对流及辐射分析，必要时开展计算流体动力学（CFD）分析，优化散热路径或流道设计。</w:t>
      </w:r>
    </w:p>
    <w:p w14:paraId="41098ED2">
      <w:pPr>
        <w:pStyle w:val="165"/>
      </w:pPr>
      <w:r>
        <w:rPr>
          <w:rFonts w:hint="eastAsia"/>
        </w:rPr>
        <w:t>对于新能源动力电池包等对安全性要求较高的产品，应强制进行以下仿真分析：</w:t>
      </w:r>
    </w:p>
    <w:p w14:paraId="1DEA9475">
      <w:pPr>
        <w:pStyle w:val="132"/>
      </w:pPr>
      <w:r>
        <w:rPr>
          <w:rFonts w:hint="eastAsia"/>
        </w:rPr>
        <w:t>机械冲击与随机振动仿真，验证模组固定、高压连接及箱体结构的可靠性；</w:t>
      </w:r>
    </w:p>
    <w:p w14:paraId="0C113E76">
      <w:pPr>
        <w:pStyle w:val="132"/>
      </w:pPr>
      <w:r>
        <w:rPr>
          <w:rFonts w:hint="eastAsia"/>
        </w:rPr>
        <w:t>挤压与碰撞仿真（如前碰、侧碰、底部球击），验证结构在机械滥用工况下的抗侵入能力和高压安全；</w:t>
      </w:r>
    </w:p>
    <w:p w14:paraId="6D4751EA">
      <w:pPr>
        <w:pStyle w:val="132"/>
      </w:pPr>
      <w:r>
        <w:rPr>
          <w:rFonts w:hint="eastAsia"/>
        </w:rPr>
        <w:t>热失控仿真，评估隔热措施的有效性及泄压通道的畅通性。</w:t>
      </w:r>
    </w:p>
    <w:p w14:paraId="48EDC83E">
      <w:pPr>
        <w:pStyle w:val="165"/>
      </w:pPr>
      <w:r>
        <w:rPr>
          <w:rFonts w:hint="eastAsia"/>
        </w:rPr>
        <w:t>仿真分析应建立合理的有限元模型，明确边界条件、载荷工况及材料属性，分析结果应形成报告，作为设计评审的输入依据。</w:t>
      </w:r>
    </w:p>
    <w:p w14:paraId="40E3B3F6">
      <w:pPr>
        <w:pStyle w:val="105"/>
        <w:spacing w:before="120" w:after="120"/>
      </w:pPr>
      <w:r>
        <w:rPr>
          <w:rFonts w:hint="eastAsia"/>
        </w:rPr>
        <w:t>设计评审</w:t>
      </w:r>
    </w:p>
    <w:p w14:paraId="6A782B03">
      <w:pPr>
        <w:pStyle w:val="165"/>
      </w:pPr>
      <w:r>
        <w:rPr>
          <w:rFonts w:hint="eastAsia"/>
        </w:rPr>
        <w:t>详细设计完成后，应组织设计评审，对设计方案的合理性、完整性及可实施性进行系统性审查。</w:t>
      </w:r>
    </w:p>
    <w:p w14:paraId="4783947B">
      <w:pPr>
        <w:pStyle w:val="165"/>
      </w:pPr>
      <w:r>
        <w:rPr>
          <w:rFonts w:hint="eastAsia"/>
        </w:rPr>
        <w:t>评审宜由跨部门团队参与，包括但不限于设计、工艺、质量、采购、生产制造及售后服务等专业人员。</w:t>
      </w:r>
    </w:p>
    <w:p w14:paraId="1DE4191D">
      <w:pPr>
        <w:pStyle w:val="165"/>
      </w:pPr>
      <w:r>
        <w:rPr>
          <w:rFonts w:hint="eastAsia"/>
        </w:rPr>
        <w:t>设计评审应重点关注以下方面：</w:t>
      </w:r>
    </w:p>
    <w:p w14:paraId="7F50CDB6">
      <w:pPr>
        <w:pStyle w:val="132"/>
      </w:pPr>
      <w:r>
        <w:rPr>
          <w:rFonts w:hint="eastAsia"/>
        </w:rPr>
        <w:t>功能符合性：设计方案是否满足需求分析中明确的各项功能与性能指标；</w:t>
      </w:r>
    </w:p>
    <w:p w14:paraId="05D9C817">
      <w:pPr>
        <w:pStyle w:val="132"/>
      </w:pPr>
      <w:r>
        <w:rPr>
          <w:rFonts w:hint="eastAsia"/>
        </w:rPr>
        <w:t>DFX符合性：设计是否满足可制造性（DFM）、可装配性（DFA）、可测试性（DFT）、可维护性（DFS）及可回收性（DFR）等要求；</w:t>
      </w:r>
    </w:p>
    <w:p w14:paraId="70813B47">
      <w:pPr>
        <w:pStyle w:val="132"/>
      </w:pPr>
      <w:r>
        <w:rPr>
          <w:rFonts w:hint="eastAsia"/>
        </w:rPr>
        <w:t>风险识别：识别设计中存在的技术风险、工艺风险及供应链风险，并制定应对措施；</w:t>
      </w:r>
    </w:p>
    <w:p w14:paraId="369482BC">
      <w:pPr>
        <w:pStyle w:val="132"/>
      </w:pPr>
      <w:r>
        <w:rPr>
          <w:rFonts w:hint="eastAsia"/>
        </w:rPr>
        <w:t>标准符合性：设计是否满足相关国家标准、行业标准及企业内部标准的强制性条款。</w:t>
      </w:r>
    </w:p>
    <w:p w14:paraId="0C02B934">
      <w:pPr>
        <w:pStyle w:val="165"/>
      </w:pPr>
      <w:r>
        <w:rPr>
          <w:rFonts w:hint="eastAsia"/>
        </w:rPr>
        <w:t>评审结论应形成书面记录，明确评审意见、整改要求及责任人与完成时限。评审通过后方可进入样机试制阶段；对于存在重大缺陷的设计，应组织二次评审。</w:t>
      </w:r>
    </w:p>
    <w:p w14:paraId="71FC25B5">
      <w:pPr>
        <w:pStyle w:val="105"/>
        <w:spacing w:before="120" w:after="120"/>
      </w:pPr>
      <w:r>
        <w:rPr>
          <w:rFonts w:hint="eastAsia"/>
        </w:rPr>
        <w:t>样机验证与测试</w:t>
      </w:r>
    </w:p>
    <w:p w14:paraId="676D4168">
      <w:pPr>
        <w:pStyle w:val="165"/>
      </w:pPr>
      <w:r>
        <w:rPr>
          <w:rFonts w:hint="eastAsia"/>
        </w:rPr>
        <w:t>设计评审通过后，应开展样机试制，用于验证设计的可制造性、可装配性及功能性能的符合性。</w:t>
      </w:r>
    </w:p>
    <w:p w14:paraId="09FCFE55">
      <w:pPr>
        <w:pStyle w:val="165"/>
      </w:pPr>
      <w:r>
        <w:rPr>
          <w:rFonts w:hint="eastAsia"/>
        </w:rPr>
        <w:t>样机试制过程中应关注以下内容：</w:t>
      </w:r>
    </w:p>
    <w:p w14:paraId="5D7D3792">
      <w:pPr>
        <w:pStyle w:val="132"/>
      </w:pPr>
      <w:r>
        <w:rPr>
          <w:rFonts w:hint="eastAsia"/>
        </w:rPr>
        <w:t>零部件加工质量是否符合图纸要求；</w:t>
      </w:r>
    </w:p>
    <w:p w14:paraId="02CBADF6">
      <w:pPr>
        <w:pStyle w:val="132"/>
      </w:pPr>
      <w:r>
        <w:rPr>
          <w:rFonts w:hint="eastAsia"/>
        </w:rPr>
        <w:t>装配工艺是否顺畅，是否存在装配干涉或操作空间不足等问题；</w:t>
      </w:r>
    </w:p>
    <w:p w14:paraId="7D3D7D9A">
      <w:pPr>
        <w:pStyle w:val="132"/>
      </w:pPr>
      <w:r>
        <w:rPr>
          <w:rFonts w:hint="eastAsia"/>
        </w:rPr>
        <w:t>关键工序的工艺参数是否合理，必要时进行工艺验证。</w:t>
      </w:r>
    </w:p>
    <w:p w14:paraId="4FEC8A2B">
      <w:pPr>
        <w:pStyle w:val="165"/>
      </w:pPr>
      <w:r>
        <w:rPr>
          <w:rFonts w:hint="eastAsia"/>
        </w:rPr>
        <w:t>样机装配完成后，应开展系统的验证与测试活动，测试内容应覆盖产品设计输入中的所有关键要求。测试类型包括但不限于：</w:t>
      </w:r>
    </w:p>
    <w:p w14:paraId="28A624FA">
      <w:pPr>
        <w:pStyle w:val="132"/>
      </w:pPr>
      <w:r>
        <w:rPr>
          <w:rFonts w:hint="eastAsia"/>
        </w:rPr>
        <w:t>环境适应性测试：应按GB/T 2423系列标准，开展高低温、温湿度循环、盐雾、防护等级等测试；</w:t>
      </w:r>
    </w:p>
    <w:p w14:paraId="62CC5F25">
      <w:pPr>
        <w:pStyle w:val="132"/>
      </w:pPr>
      <w:r>
        <w:rPr>
          <w:rFonts w:hint="eastAsia"/>
        </w:rPr>
        <w:t>机械性能测试：包括振动、冲击、跌落、静载、疲劳等测试；</w:t>
      </w:r>
    </w:p>
    <w:p w14:paraId="01948160">
      <w:pPr>
        <w:pStyle w:val="132"/>
      </w:pPr>
      <w:r>
        <w:rPr>
          <w:rFonts w:hint="eastAsia"/>
        </w:rPr>
        <w:t>电气性能测试（适用于含电气结构的产品）：包括绝缘电阻、耐压、接地连续性等测试；</w:t>
      </w:r>
    </w:p>
    <w:p w14:paraId="18BDF8DD">
      <w:pPr>
        <w:pStyle w:val="132"/>
      </w:pPr>
      <w:r>
        <w:rPr>
          <w:rFonts w:hint="eastAsia"/>
        </w:rPr>
        <w:t>专项安全测试：针对特定产品，如动力电池包应按GB 38031等相关标准开展针刺、过充、热失控扩散等安全测试。</w:t>
      </w:r>
    </w:p>
    <w:p w14:paraId="2EE8A876">
      <w:pPr>
        <w:pStyle w:val="165"/>
      </w:pPr>
      <w:r>
        <w:rPr>
          <w:rFonts w:hint="eastAsia"/>
        </w:rPr>
        <w:t>测试过程应记录原始数据，测试完成后形成测试报告，报告应包含测试条件、测试结果、不合格项分析及改进建议。</w:t>
      </w:r>
    </w:p>
    <w:p w14:paraId="6AE1A6EE">
      <w:pPr>
        <w:pStyle w:val="105"/>
        <w:spacing w:before="120" w:after="120"/>
      </w:pPr>
      <w:r>
        <w:rPr>
          <w:rFonts w:hint="eastAsia"/>
        </w:rPr>
        <w:t>优化与冻结</w:t>
      </w:r>
    </w:p>
    <w:p w14:paraId="2D60ACC1">
      <w:pPr>
        <w:pStyle w:val="165"/>
      </w:pPr>
      <w:r>
        <w:rPr>
          <w:rFonts w:hint="eastAsia"/>
        </w:rPr>
        <w:t>根据样机测试反馈的问题，应对设计方案进行优化改进。优化措施应针对问题的根本原因，并评估其对其他方面的影响。</w:t>
      </w:r>
    </w:p>
    <w:p w14:paraId="7C29713B">
      <w:pPr>
        <w:pStyle w:val="165"/>
      </w:pPr>
      <w:r>
        <w:rPr>
          <w:rFonts w:hint="eastAsia"/>
        </w:rPr>
        <w:t>优化设计应遵循以下原则：</w:t>
      </w:r>
    </w:p>
    <w:p w14:paraId="10D0372D">
      <w:pPr>
        <w:pStyle w:val="132"/>
      </w:pPr>
      <w:r>
        <w:rPr>
          <w:rFonts w:hint="eastAsia"/>
        </w:rPr>
        <w:t>优先通过结构调整解决根本问题，避免仅靠工艺补偿；</w:t>
      </w:r>
    </w:p>
    <w:p w14:paraId="4A85BBE6">
      <w:pPr>
        <w:pStyle w:val="132"/>
      </w:pPr>
      <w:r>
        <w:rPr>
          <w:rFonts w:hint="eastAsia"/>
        </w:rPr>
        <w:t>优化后的设计应重新进行必要的仿真分析或局部测试验证；</w:t>
      </w:r>
    </w:p>
    <w:p w14:paraId="465DFD79">
      <w:pPr>
        <w:pStyle w:val="132"/>
      </w:pPr>
      <w:r>
        <w:rPr>
          <w:rFonts w:hint="eastAsia"/>
        </w:rPr>
        <w:t>设计变更应按变更控制程序执行，确保变更信息的可追溯性。</w:t>
      </w:r>
    </w:p>
    <w:p w14:paraId="751DD976">
      <w:pPr>
        <w:pStyle w:val="165"/>
      </w:pPr>
      <w:r>
        <w:rPr>
          <w:rFonts w:hint="eastAsia"/>
        </w:rPr>
        <w:t>当所有测试项目均通过、设计问题全部关闭后，可进入设计冻结阶段。</w:t>
      </w:r>
    </w:p>
    <w:p w14:paraId="644A00F2">
      <w:pPr>
        <w:pStyle w:val="165"/>
      </w:pPr>
      <w:r>
        <w:rPr>
          <w:rFonts w:hint="eastAsia"/>
        </w:rPr>
        <w:t>设计冻结后，应完成以下技术文件的归档：</w:t>
      </w:r>
    </w:p>
    <w:p w14:paraId="2B293015">
      <w:pPr>
        <w:pStyle w:val="132"/>
      </w:pPr>
      <w:r>
        <w:rPr>
          <w:rFonts w:hint="eastAsia"/>
        </w:rPr>
        <w:t>最终版三维模型及二维工程图样；</w:t>
      </w:r>
    </w:p>
    <w:p w14:paraId="68F71E23">
      <w:pPr>
        <w:pStyle w:val="132"/>
      </w:pPr>
      <w:r>
        <w:rPr>
          <w:rFonts w:hint="eastAsia"/>
        </w:rPr>
        <w:t>物料清单（BOM），包含零部件层级、数量、材料、供应商等信息；</w:t>
      </w:r>
    </w:p>
    <w:p w14:paraId="620ECA1A">
      <w:pPr>
        <w:pStyle w:val="132"/>
      </w:pPr>
      <w:r>
        <w:rPr>
          <w:rFonts w:hint="eastAsia"/>
        </w:rPr>
        <w:t>产品技术规范、测试报告、仿真分析报告；</w:t>
      </w:r>
    </w:p>
    <w:p w14:paraId="1019C796">
      <w:pPr>
        <w:pStyle w:val="132"/>
      </w:pPr>
      <w:r>
        <w:rPr>
          <w:rFonts w:hint="eastAsia"/>
        </w:rPr>
        <w:t>设计评审记录、变更记录。</w:t>
      </w:r>
    </w:p>
    <w:p w14:paraId="326635D0">
      <w:pPr>
        <w:pStyle w:val="165"/>
      </w:pPr>
      <w:r>
        <w:rPr>
          <w:rFonts w:hint="eastAsia"/>
        </w:rPr>
        <w:t>所有归档文件应纳入产品数据管理系统（PDM）或同等受控管理系统，确保版本的唯一性和可追溯性。后续任何设计变更均应按变更管理程序执行。</w:t>
      </w:r>
    </w:p>
    <w:p w14:paraId="1560A461">
      <w:pPr>
        <w:pStyle w:val="104"/>
        <w:spacing w:before="240" w:after="240"/>
      </w:pPr>
      <w:bookmarkStart w:id="50" w:name="_Toc226107264"/>
      <w:r>
        <w:rPr>
          <w:rFonts w:hint="eastAsia"/>
        </w:rPr>
        <w:t>设计要求</w:t>
      </w:r>
      <w:bookmarkEnd w:id="50"/>
    </w:p>
    <w:p w14:paraId="2C48BF22">
      <w:pPr>
        <w:pStyle w:val="105"/>
        <w:spacing w:before="120" w:after="120"/>
      </w:pPr>
      <w:r>
        <w:rPr>
          <w:rFonts w:hint="eastAsia"/>
        </w:rPr>
        <w:t>材料要求</w:t>
      </w:r>
    </w:p>
    <w:p w14:paraId="7FF4F4CD">
      <w:pPr>
        <w:pStyle w:val="65"/>
        <w:spacing w:before="120" w:after="120"/>
      </w:pPr>
      <w:r>
        <w:rPr>
          <w:rFonts w:hint="eastAsia"/>
        </w:rPr>
        <w:t>通用选材原则</w:t>
      </w:r>
    </w:p>
    <w:p w14:paraId="509FA3BD">
      <w:pPr>
        <w:pStyle w:val="164"/>
      </w:pPr>
      <w:r>
        <w:rPr>
          <w:rFonts w:hint="eastAsia"/>
        </w:rPr>
        <w:t>材料的选用应基于产品的功能需求、使用环境、受力状态、制造工艺及成本目标综合确定。设计人员应优先选用企业标准件库中已有的成熟材料，以降低采购与库存成本。</w:t>
      </w:r>
    </w:p>
    <w:p w14:paraId="5AEEFB4F">
      <w:pPr>
        <w:pStyle w:val="164"/>
      </w:pPr>
      <w:r>
        <w:rPr>
          <w:rFonts w:hint="eastAsia"/>
        </w:rPr>
        <w:t>所有材料应提供环保合规性声明，符合国家关于限制使用有害物质的强制性要求。对于出口产品，还应满足目标市场相关的环保法规要求。</w:t>
      </w:r>
    </w:p>
    <w:p w14:paraId="399E269D">
      <w:pPr>
        <w:pStyle w:val="164"/>
      </w:pPr>
      <w:r>
        <w:rPr>
          <w:rFonts w:hint="eastAsia"/>
        </w:rPr>
        <w:t>选材时应考虑材料的耐腐蚀性能。对于可能接触腐蚀性介质或在潮湿环境中使用的产品，应根据预期的腐蚀等级选用耐蚀材料或采取有效的表面防护措施，并通过中性盐雾试验（NSS）验证其耐蚀能力。</w:t>
      </w:r>
    </w:p>
    <w:p w14:paraId="3466B580">
      <w:pPr>
        <w:pStyle w:val="164"/>
      </w:pPr>
      <w:r>
        <w:rPr>
          <w:rFonts w:hint="eastAsia"/>
        </w:rPr>
        <w:t>材料的耐候性应根据产品的使用环境进行评估。长期户外使用的产品，其外露部件应选用耐紫外线老化、耐温变循环的材料。</w:t>
      </w:r>
    </w:p>
    <w:p w14:paraId="3804505F">
      <w:pPr>
        <w:pStyle w:val="164"/>
      </w:pPr>
      <w:r>
        <w:rPr>
          <w:rFonts w:hint="eastAsia"/>
        </w:rPr>
        <w:t>对于涉及电气安全的产品，结构材料的阻燃等级应满足产品应用场景的要求。通常情况下，关键绝缘部件及外壳材料的阻燃等级不宜低于UL94 V-0。</w:t>
      </w:r>
    </w:p>
    <w:p w14:paraId="514F5765">
      <w:pPr>
        <w:pStyle w:val="65"/>
        <w:spacing w:before="120" w:after="120"/>
      </w:pPr>
      <w:r>
        <w:rPr>
          <w:rFonts w:hint="eastAsia"/>
        </w:rPr>
        <w:t>金属材料</w:t>
      </w:r>
    </w:p>
    <w:p w14:paraId="71C0D0FA">
      <w:pPr>
        <w:pStyle w:val="164"/>
      </w:pPr>
      <w:r>
        <w:rPr>
          <w:rFonts w:hint="eastAsia"/>
        </w:rPr>
        <w:t>钣金件的材料选用应综合考虑强度、成形性、表面质量及耐蚀性。冷轧钢板（SPCC）适用于表面需进行喷涂或电镀处理的零件；热镀锌钢板（SGCC）和电镀锌钢板（SECC）适用于对耐蚀性要求较高且表面处理简单的零件。对于有轻量化需求的钣金结构，可选用铝合金薄板。</w:t>
      </w:r>
    </w:p>
    <w:p w14:paraId="52F7CED3">
      <w:pPr>
        <w:pStyle w:val="164"/>
      </w:pPr>
      <w:r>
        <w:rPr>
          <w:rFonts w:hint="eastAsia"/>
        </w:rPr>
        <w:t>结构支撑件宜优先选用铝合金材料，如AL6061-T6或AL6063-T5。AL6061-T6具有较高的强度与良好的切削加工性能，适用于机加工结构件；AL6063-T5具有良好的挤出成形性能，适用于型材类结构件。</w:t>
      </w:r>
    </w:p>
    <w:p w14:paraId="5E0BA5F4">
      <w:pPr>
        <w:pStyle w:val="164"/>
      </w:pPr>
      <w:r>
        <w:rPr>
          <w:rFonts w:hint="eastAsia"/>
        </w:rPr>
        <w:t>高强度连接件应按承载要求选用合适的性能等级。承受较大静载或动载的螺栓连接，宜选用10.9级或12.9级高强度螺栓，并配合相应性能等级的螺母与垫圈。螺栓的选用应符合相关紧固件标准的规定。</w:t>
      </w:r>
    </w:p>
    <w:p w14:paraId="5D45A989">
      <w:pPr>
        <w:pStyle w:val="65"/>
        <w:spacing w:before="120" w:after="120"/>
      </w:pPr>
      <w:r>
        <w:rPr>
          <w:rFonts w:hint="eastAsia"/>
        </w:rPr>
        <w:t>非金属材料</w:t>
      </w:r>
    </w:p>
    <w:p w14:paraId="2C071600">
      <w:pPr>
        <w:pStyle w:val="164"/>
      </w:pPr>
      <w:r>
        <w:rPr>
          <w:rFonts w:hint="eastAsia"/>
        </w:rPr>
        <w:t>密封件的材料应根据使用温度、介质类型、压缩永久变形及寿命要求选用。硅橡胶（VMQ）具有较宽的使用温度范围（-60℃～200℃）和良好的耐候性，适用于高低温交变环境；三元乙丙橡胶（EPDM）具有良好的耐臭氧、耐老化和耐水性能，适用于户外密封应用。</w:t>
      </w:r>
    </w:p>
    <w:p w14:paraId="0A610CDF">
      <w:pPr>
        <w:pStyle w:val="164"/>
      </w:pPr>
      <w:r>
        <w:rPr>
          <w:rFonts w:hint="eastAsia"/>
        </w:rPr>
        <w:t>绝缘件的材料应具备良好的介电强度、机械强度及耐热性。聚碳酸酯（PC）具有较高的冲击韧性和良好的尺寸稳定性；丙烯腈-丁二烯-苯乙烯共聚物（ABS）具有较好的加工性能和表面光泽度；聚苯醚（PPO）具有良好的耐热性和介电性能。选材时应根据具体应用场景确定。</w:t>
      </w:r>
    </w:p>
    <w:p w14:paraId="24F4A743">
      <w:pPr>
        <w:pStyle w:val="164"/>
      </w:pPr>
      <w:r>
        <w:rPr>
          <w:rFonts w:hint="eastAsia"/>
        </w:rPr>
        <w:t>用于新能源动力电池内部的绝缘膜材料，应满足高压绝缘耐压要求，并具备良好的耐电解液腐蚀性能和耐热老化性能。绝缘材料的击穿电压、体积电阻率及漏电起痕指数（CTI）应经测试验证。</w:t>
      </w:r>
    </w:p>
    <w:p w14:paraId="133A396C">
      <w:pPr>
        <w:pStyle w:val="105"/>
        <w:spacing w:before="120" w:after="120"/>
      </w:pPr>
      <w:r>
        <w:rPr>
          <w:rFonts w:hint="eastAsia"/>
        </w:rPr>
        <w:t>尺寸与公差</w:t>
      </w:r>
    </w:p>
    <w:p w14:paraId="02C12D07">
      <w:pPr>
        <w:pStyle w:val="65"/>
        <w:spacing w:before="120" w:after="120"/>
      </w:pPr>
      <w:r>
        <w:rPr>
          <w:rFonts w:hint="eastAsia"/>
        </w:rPr>
        <w:t>一般公差</w:t>
      </w:r>
    </w:p>
    <w:p w14:paraId="55299E36">
      <w:pPr>
        <w:pStyle w:val="164"/>
      </w:pPr>
      <w:r>
        <w:rPr>
          <w:rFonts w:hint="eastAsia"/>
        </w:rPr>
        <w:t>机械结构设计中的未注尺寸公差应按GB/T 1804的规定执行，一般选用中等级（m级）精度。对于非功能尺寸或非配合尺寸，可采用粗糙级（c级）精度以降低制造成本。</w:t>
      </w:r>
    </w:p>
    <w:p w14:paraId="0AEC25FA">
      <w:pPr>
        <w:pStyle w:val="164"/>
      </w:pPr>
      <w:r>
        <w:rPr>
          <w:rFonts w:hint="eastAsia"/>
        </w:rPr>
        <w:t>未注形位公差应按GB/T 1184的规定执行，一般选用K级精度。对于对装配精度或功能实现有影响的几何特征，应在图纸中单独标注形位公差要求。</w:t>
      </w:r>
    </w:p>
    <w:p w14:paraId="7302B2E4">
      <w:pPr>
        <w:pStyle w:val="65"/>
        <w:spacing w:before="120" w:after="120"/>
      </w:pPr>
      <w:r>
        <w:rPr>
          <w:rFonts w:hint="eastAsia"/>
        </w:rPr>
        <w:t>关键尺寸控制</w:t>
      </w:r>
    </w:p>
    <w:p w14:paraId="14D53D2D">
      <w:pPr>
        <w:pStyle w:val="164"/>
      </w:pPr>
      <w:r>
        <w:rPr>
          <w:rFonts w:hint="eastAsia"/>
        </w:rPr>
        <w:t>影响产品装配、功能或安全的关键配合尺寸，应在设计图纸中明确标注公差要求。关键尺寸的识别应基于功能分析和失效模式分析。</w:t>
      </w:r>
    </w:p>
    <w:p w14:paraId="208101F0">
      <w:pPr>
        <w:pStyle w:val="164"/>
      </w:pPr>
      <w:r>
        <w:rPr>
          <w:rFonts w:hint="eastAsia"/>
        </w:rPr>
        <w:t>对于批量生产的产品，关键尺寸应通过统计过程控制方法验证其过程能力。过程能力指数（CPK）的推荐要求不应低于1.33，以确保尺寸质量的稳定性和一致性。</w:t>
      </w:r>
    </w:p>
    <w:p w14:paraId="3AEB0A55">
      <w:pPr>
        <w:pStyle w:val="164"/>
      </w:pPr>
      <w:r>
        <w:rPr>
          <w:rFonts w:hint="eastAsia"/>
        </w:rPr>
        <w:t>对于新能源动力电池结构，以下部位的尺寸应作为关键尺寸进行严格控制：</w:t>
      </w:r>
    </w:p>
    <w:p w14:paraId="7AF3070F">
      <w:pPr>
        <w:pStyle w:val="132"/>
      </w:pPr>
      <w:r>
        <w:rPr>
          <w:rFonts w:hint="eastAsia"/>
        </w:rPr>
        <w:t>电芯极耳连接处的相对位置尺寸，以确保焊接质量；</w:t>
      </w:r>
    </w:p>
    <w:p w14:paraId="62EB047B">
      <w:pPr>
        <w:pStyle w:val="132"/>
      </w:pPr>
      <w:r>
        <w:rPr>
          <w:rFonts w:hint="eastAsia"/>
        </w:rPr>
        <w:t>模组定位孔与箱体定位销的配合尺寸，以确保模组装配精度；</w:t>
      </w:r>
    </w:p>
    <w:p w14:paraId="76685BB6">
      <w:pPr>
        <w:pStyle w:val="132"/>
      </w:pPr>
      <w:r>
        <w:rPr>
          <w:rFonts w:hint="eastAsia"/>
        </w:rPr>
        <w:t>箱体密封面的平面度及密封槽尺寸，以确保密封可靠性。</w:t>
      </w:r>
    </w:p>
    <w:p w14:paraId="5AA78342">
      <w:pPr>
        <w:pStyle w:val="105"/>
        <w:spacing w:before="120" w:after="120"/>
      </w:pPr>
      <w:r>
        <w:rPr>
          <w:rFonts w:hint="eastAsia"/>
        </w:rPr>
        <w:t>连接与紧固</w:t>
      </w:r>
    </w:p>
    <w:p w14:paraId="0AF9907E">
      <w:pPr>
        <w:pStyle w:val="65"/>
        <w:spacing w:before="120" w:after="120"/>
      </w:pPr>
      <w:r>
        <w:rPr>
          <w:rFonts w:hint="eastAsia"/>
        </w:rPr>
        <w:t>螺纹连接</w:t>
      </w:r>
    </w:p>
    <w:p w14:paraId="7625B4EF">
      <w:pPr>
        <w:pStyle w:val="164"/>
      </w:pPr>
      <w:r>
        <w:rPr>
          <w:rFonts w:hint="eastAsia"/>
        </w:rPr>
        <w:t>螺纹连接的设计应确保连接的可靠性、可拆装性及防松性能。螺纹规格的选用应根据载荷大小、连接件厚度及装配空间综合确定。</w:t>
      </w:r>
    </w:p>
    <w:p w14:paraId="1C154FEB">
      <w:pPr>
        <w:pStyle w:val="164"/>
      </w:pPr>
      <w:r>
        <w:rPr>
          <w:rFonts w:hint="eastAsia"/>
        </w:rPr>
        <w:t>承受动载荷、振动载荷或冲击载荷的螺纹连接，应采用有效的防松措施。常用的防松方式包括：涂覆螺纹锁固胶、采用弹簧垫圈或齿形防松垫圈、使用双螺母或自锁螺母等。</w:t>
      </w:r>
    </w:p>
    <w:p w14:paraId="54985A63">
      <w:pPr>
        <w:pStyle w:val="164"/>
      </w:pPr>
      <w:r>
        <w:rPr>
          <w:rFonts w:hint="eastAsia"/>
        </w:rPr>
        <w:t>螺纹拧紧力矩应经过标定，并在设计图纸或工艺文件中明确规定。拧紧力矩的确定应考虑螺栓性能等级、螺纹规格、摩擦系数及被连接件材料等因素。</w:t>
      </w:r>
    </w:p>
    <w:p w14:paraId="1D30A2E8">
      <w:pPr>
        <w:pStyle w:val="65"/>
        <w:spacing w:before="120" w:after="120"/>
      </w:pPr>
      <w:r>
        <w:rPr>
          <w:rFonts w:hint="eastAsia"/>
        </w:rPr>
        <w:t>焊接</w:t>
      </w:r>
    </w:p>
    <w:p w14:paraId="38E3C540">
      <w:pPr>
        <w:pStyle w:val="164"/>
      </w:pPr>
      <w:r>
        <w:rPr>
          <w:rFonts w:hint="eastAsia"/>
        </w:rPr>
        <w:t>焊接结构的设计应便于焊接操作，避免出现狭小空间或不可达的焊缝位置。焊缝的布置应避开高应力区域。</w:t>
      </w:r>
    </w:p>
    <w:p w14:paraId="15E4F6CA">
      <w:pPr>
        <w:pStyle w:val="164"/>
      </w:pPr>
      <w:r>
        <w:rPr>
          <w:rFonts w:hint="eastAsia"/>
        </w:rPr>
        <w:t>对于承受较大载荷或对密封性有要求的焊缝，应在图纸中明确焊缝形式、焊脚尺寸、焊接质量等级及检验要求。</w:t>
      </w:r>
    </w:p>
    <w:p w14:paraId="1ED4C968">
      <w:pPr>
        <w:pStyle w:val="164"/>
      </w:pPr>
      <w:r>
        <w:rPr>
          <w:rFonts w:hint="eastAsia"/>
        </w:rPr>
        <w:t>新能源动力电池包内部铝制件（如模组支架、液冷板）的焊接，应重点关注焊接强度与密封性。焊后应进行焊缝外观检验，对于密封焊缝应进行气密性检测，对于承载焊缝可进行无损检测（如渗透检测或射线检测）。</w:t>
      </w:r>
    </w:p>
    <w:p w14:paraId="6E7E6B0E">
      <w:pPr>
        <w:pStyle w:val="65"/>
        <w:spacing w:before="120" w:after="120"/>
      </w:pPr>
      <w:r>
        <w:rPr>
          <w:rFonts w:hint="eastAsia"/>
        </w:rPr>
        <w:t>胶粘连接</w:t>
      </w:r>
    </w:p>
    <w:p w14:paraId="18124610">
      <w:pPr>
        <w:pStyle w:val="164"/>
      </w:pPr>
      <w:r>
        <w:rPr>
          <w:rFonts w:hint="eastAsia"/>
        </w:rPr>
        <w:t>胶粘连接适用于异种材料连接、薄壁结构连接及需要均匀分布应力的场合。胶粘剂的选择应根据被粘接材料、使用温度、受力状态及工艺条件确定。</w:t>
      </w:r>
    </w:p>
    <w:p w14:paraId="4F3C3D6C">
      <w:pPr>
        <w:pStyle w:val="164"/>
      </w:pPr>
      <w:r>
        <w:rPr>
          <w:rFonts w:hint="eastAsia"/>
        </w:rPr>
        <w:t>结构胶的使用应在图纸或工艺文件中明确固化时间、固化条件、剪切强度及耐环境性能要求。对于导热胶，还应明确导热系数及绝缘性能要求。</w:t>
      </w:r>
    </w:p>
    <w:p w14:paraId="30401B49">
      <w:pPr>
        <w:pStyle w:val="164"/>
      </w:pPr>
      <w:r>
        <w:rPr>
          <w:rFonts w:hint="eastAsia"/>
        </w:rPr>
        <w:t>胶粘连接的设计应考虑粘接面积的合理确定，避免产生剥离应力。粘接表面的清洁度、粗糙度及活化处理应符合胶粘剂供应商的要求。</w:t>
      </w:r>
    </w:p>
    <w:p w14:paraId="56750ACA">
      <w:pPr>
        <w:pStyle w:val="105"/>
        <w:spacing w:before="120" w:after="120"/>
      </w:pPr>
      <w:r>
        <w:rPr>
          <w:rFonts w:hint="eastAsia"/>
        </w:rPr>
        <w:t>防护与密封</w:t>
      </w:r>
    </w:p>
    <w:p w14:paraId="7C619409">
      <w:pPr>
        <w:pStyle w:val="65"/>
        <w:spacing w:before="120" w:after="120"/>
      </w:pPr>
      <w:r>
        <w:rPr>
          <w:rFonts w:hint="eastAsia"/>
        </w:rPr>
        <w:t>防护等级</w:t>
      </w:r>
    </w:p>
    <w:p w14:paraId="2E58891F">
      <w:pPr>
        <w:pStyle w:val="164"/>
      </w:pPr>
      <w:r>
        <w:rPr>
          <w:rFonts w:hint="eastAsia"/>
        </w:rPr>
        <w:t>外壳防护等级（IP代码）应根据产品的使用环境、安装位置及对异物和水的防护需求综合确定。防护等级的选取应依据GB/T 4208的规定。</w:t>
      </w:r>
    </w:p>
    <w:p w14:paraId="7DF4AD63">
      <w:pPr>
        <w:pStyle w:val="164"/>
      </w:pPr>
      <w:r>
        <w:rPr>
          <w:rFonts w:hint="eastAsia"/>
        </w:rPr>
        <w:t>对于安装在车辆底部、可能涉水或经受高压水冲洗的产品（如新能源动力电池包），防护等级一般不应低于IP67。IP67表示产品具有防尘能力，且能在短时间浸水（水深1m，持续30min）条件下保持功能正常。</w:t>
      </w:r>
    </w:p>
    <w:p w14:paraId="2EA6DA60">
      <w:pPr>
        <w:pStyle w:val="164"/>
      </w:pPr>
      <w:r>
        <w:rPr>
          <w:rFonts w:hint="eastAsia"/>
        </w:rPr>
        <w:t>密封结构的设计应确保在规定防护等级下的长期可靠性。密封圈的设计应规定压缩量范围（通常为20%～30%），并考虑压缩永久变形对密封性能的影响。</w:t>
      </w:r>
    </w:p>
    <w:p w14:paraId="74ABD6DE">
      <w:pPr>
        <w:pStyle w:val="65"/>
        <w:spacing w:before="120" w:after="120"/>
      </w:pPr>
      <w:r>
        <w:rPr>
          <w:rFonts w:hint="eastAsia"/>
        </w:rPr>
        <w:t>防腐蚀</w:t>
      </w:r>
    </w:p>
    <w:p w14:paraId="76A4C8EA">
      <w:pPr>
        <w:pStyle w:val="164"/>
      </w:pPr>
      <w:r>
        <w:rPr>
          <w:rFonts w:hint="eastAsia"/>
        </w:rPr>
        <w:t>外露的金属结构件应根据使用环境的腐蚀等级选用合适的表面处理工艺。常用的表面处理方式包括：电泳涂装、粉末喷涂、电镀锌、热浸镀锌及阳极氧化等。</w:t>
      </w:r>
    </w:p>
    <w:p w14:paraId="22963B56">
      <w:pPr>
        <w:pStyle w:val="164"/>
      </w:pPr>
      <w:r>
        <w:rPr>
          <w:rFonts w:hint="eastAsia"/>
        </w:rPr>
        <w:t>表面处理的耐腐蚀性能应通过中性盐雾试验（NSS）进行验证。试验时间的确定应根据产品的预期使用寿命和使用环境，一般要求不应低于720小时，对于严酷环境下的产品宜适当提高要求。</w:t>
      </w:r>
    </w:p>
    <w:p w14:paraId="3D193657">
      <w:pPr>
        <w:pStyle w:val="164"/>
      </w:pPr>
      <w:r>
        <w:rPr>
          <w:rFonts w:hint="eastAsia"/>
        </w:rPr>
        <w:t>对于由不同金属材料构成的接触结构，应考虑电偶腐蚀的风险。应优先选用电位相近的材料组合，或在异种金属接触面采取绝缘隔离措施。</w:t>
      </w:r>
    </w:p>
    <w:p w14:paraId="2BF1D7CD">
      <w:pPr>
        <w:pStyle w:val="105"/>
        <w:spacing w:before="120" w:after="120"/>
      </w:pPr>
      <w:r>
        <w:rPr>
          <w:rFonts w:hint="eastAsia"/>
        </w:rPr>
        <w:t>热管理结构</w:t>
      </w:r>
    </w:p>
    <w:p w14:paraId="115C4DC6">
      <w:pPr>
        <w:pStyle w:val="65"/>
        <w:spacing w:before="120" w:after="120"/>
      </w:pPr>
      <w:r>
        <w:rPr>
          <w:rFonts w:hint="eastAsia"/>
        </w:rPr>
        <w:t>散热结构设计</w:t>
      </w:r>
    </w:p>
    <w:p w14:paraId="7DEC33F1">
      <w:pPr>
        <w:pStyle w:val="164"/>
      </w:pPr>
      <w:r>
        <w:rPr>
          <w:rFonts w:hint="eastAsia"/>
        </w:rPr>
        <w:t>散热结构的设计应基于热源分布、发热功率及允许工作温度范围进行分析。散热路径应尽可能短且畅通，避免热集中现象。</w:t>
      </w:r>
    </w:p>
    <w:p w14:paraId="102017D5">
      <w:pPr>
        <w:pStyle w:val="164"/>
      </w:pPr>
      <w:r>
        <w:rPr>
          <w:rFonts w:hint="eastAsia"/>
        </w:rPr>
        <w:t>对于采用自然对流散热的设备，应合理布置散热孔或散热翅片，确保冷热空气形成有效的循环通道。</w:t>
      </w:r>
    </w:p>
    <w:p w14:paraId="1C0443BE">
      <w:pPr>
        <w:pStyle w:val="164"/>
      </w:pPr>
      <w:r>
        <w:rPr>
          <w:rFonts w:hint="eastAsia"/>
        </w:rPr>
        <w:t>对于强制风冷设备，风道的设计应避免出现气流短路或死区，散热器的布置应使气流均匀流经热源表面。</w:t>
      </w:r>
    </w:p>
    <w:p w14:paraId="3A9452D5">
      <w:pPr>
        <w:pStyle w:val="164"/>
      </w:pPr>
      <w:r>
        <w:rPr>
          <w:rFonts w:hint="eastAsia"/>
        </w:rPr>
        <w:t>对于新能源动力电池结构，电芯间的温差应作为关键设计指标进行控制。通常情况下，在额定工况下各电芯之间的温差不宜超过5℃，以保证电池组的一致性和使用寿命。</w:t>
      </w:r>
    </w:p>
    <w:p w14:paraId="4B72D614">
      <w:pPr>
        <w:pStyle w:val="65"/>
        <w:spacing w:before="120" w:after="120"/>
      </w:pPr>
      <w:r>
        <w:rPr>
          <w:rFonts w:hint="eastAsia"/>
        </w:rPr>
        <w:t>液冷结构设计</w:t>
      </w:r>
    </w:p>
    <w:p w14:paraId="78422336">
      <w:pPr>
        <w:pStyle w:val="164"/>
      </w:pPr>
      <w:r>
        <w:rPr>
          <w:rFonts w:hint="eastAsia"/>
        </w:rPr>
        <w:t>液冷板的结构设计应通过计算流体动力学（CFD）仿真进行优化，确保流道分布均匀、压降合理、冷却效率满足散热需求。</w:t>
      </w:r>
    </w:p>
    <w:p w14:paraId="6F774672">
      <w:pPr>
        <w:pStyle w:val="164"/>
      </w:pPr>
      <w:r>
        <w:rPr>
          <w:rFonts w:hint="eastAsia"/>
        </w:rPr>
        <w:t>液冷系统的压降和流量应与选用的水泵性能相匹配。设计时应考虑冷却液在不同温度下的粘度变化对流阻的影响。</w:t>
      </w:r>
    </w:p>
    <w:p w14:paraId="374DCFB3">
      <w:pPr>
        <w:pStyle w:val="164"/>
      </w:pPr>
      <w:r>
        <w:rPr>
          <w:rFonts w:hint="eastAsia"/>
        </w:rPr>
        <w:t>液冷板的耐压能力应满足安全要求。通常情况下，液冷板的爆破压力不应低于2倍工作压力，且应通过压力循环试验验证其疲劳寿命。</w:t>
      </w:r>
    </w:p>
    <w:p w14:paraId="283E5986">
      <w:pPr>
        <w:pStyle w:val="164"/>
      </w:pPr>
      <w:r>
        <w:rPr>
          <w:rFonts w:hint="eastAsia"/>
        </w:rPr>
        <w:t>液冷系统应具备良好的密封性能。液冷板及其连接接口应通过气密性测试，泄漏率应控制在允许范围内。</w:t>
      </w:r>
    </w:p>
    <w:p w14:paraId="0FD88258">
      <w:pPr>
        <w:pStyle w:val="164"/>
      </w:pPr>
      <w:r>
        <w:rPr>
          <w:rFonts w:hint="eastAsia"/>
        </w:rPr>
        <w:t>液冷板与发热元件（如电芯、功率模块）之间应填充导热界面材料（如导热垫、导热硅脂或导热结构胶），以降低接触热阻。导热界面材料的导热系数应根据散热需求确定。</w:t>
      </w:r>
    </w:p>
    <w:p w14:paraId="4AE53F36">
      <w:pPr>
        <w:pStyle w:val="104"/>
        <w:spacing w:before="240" w:after="240"/>
      </w:pPr>
      <w:bookmarkStart w:id="51" w:name="_Toc226107265"/>
      <w:r>
        <w:rPr>
          <w:rFonts w:hint="eastAsia"/>
        </w:rPr>
        <w:t>新能源设计</w:t>
      </w:r>
      <w:bookmarkEnd w:id="51"/>
    </w:p>
    <w:p w14:paraId="478F609F">
      <w:pPr>
        <w:pStyle w:val="105"/>
        <w:spacing w:before="120" w:after="120"/>
      </w:pPr>
      <w:r>
        <w:rPr>
          <w:rFonts w:hint="eastAsia"/>
        </w:rPr>
        <w:t>高压安全结构设计</w:t>
      </w:r>
    </w:p>
    <w:p w14:paraId="627A83C9">
      <w:pPr>
        <w:pStyle w:val="65"/>
        <w:spacing w:before="120" w:after="120"/>
      </w:pPr>
      <w:r>
        <w:rPr>
          <w:rFonts w:hint="eastAsia"/>
        </w:rPr>
        <w:t>绝缘与电气间隙</w:t>
      </w:r>
    </w:p>
    <w:p w14:paraId="5C763D1C">
      <w:pPr>
        <w:pStyle w:val="164"/>
      </w:pPr>
      <w:r>
        <w:rPr>
          <w:rFonts w:hint="eastAsia"/>
        </w:rPr>
        <w:t>高压部件（包括铜排、高压连接器、汇流排、继电器端子等）与结构地（如电池箱体、模组框架）之间，应满足最小电气间隙和爬电距离的要求。电气间隙和爬电距离的确定应基于产品的最高工作电压、污染等级及绝缘材料的相比漏电起痕指数（CTI）。</w:t>
      </w:r>
    </w:p>
    <w:p w14:paraId="614CAA16">
      <w:pPr>
        <w:pStyle w:val="164"/>
      </w:pPr>
      <w:r>
        <w:rPr>
          <w:rFonts w:hint="eastAsia"/>
        </w:rPr>
        <w:t>对于最高工作电压不超过1000V的直流系统，电气间隙和爬电距离的设计值不应低于相关安全标准中对应电压等级的规定。设计人员应在图纸中明确标注关键部位的电气间隙和爬电距离要求。</w:t>
      </w:r>
    </w:p>
    <w:p w14:paraId="2A3BA80D">
      <w:pPr>
        <w:pStyle w:val="164"/>
      </w:pPr>
      <w:r>
        <w:rPr>
          <w:rFonts w:hint="eastAsia"/>
        </w:rPr>
        <w:t>当结构空间受限无法满足最小距离要求时，应采取有效的隔离措施，包括但不限于：在高压部件与结构地之间设置绝缘板、喷涂绝缘涂层、包裹绝缘膜或使用绝缘支架。隔离材料的绝缘性能应通过耐压试验验证。</w:t>
      </w:r>
    </w:p>
    <w:p w14:paraId="2D982AC3">
      <w:pPr>
        <w:pStyle w:val="65"/>
        <w:spacing w:before="120" w:after="120"/>
      </w:pPr>
      <w:r>
        <w:rPr>
          <w:rFonts w:hint="eastAsia"/>
        </w:rPr>
        <w:t>高压互锁</w:t>
      </w:r>
    </w:p>
    <w:p w14:paraId="2F7A0133">
      <w:pPr>
        <w:pStyle w:val="164"/>
      </w:pPr>
      <w:r>
        <w:rPr>
          <w:rFonts w:hint="eastAsia"/>
        </w:rPr>
        <w:t>所有高压连接器、手动维修开关（MSD）及高压配电盒的盖板，其结构设计应集成高压互锁（HVIL）功能。</w:t>
      </w:r>
    </w:p>
    <w:p w14:paraId="1016ECE2">
      <w:pPr>
        <w:pStyle w:val="164"/>
      </w:pPr>
      <w:r>
        <w:rPr>
          <w:rFonts w:hint="eastAsia"/>
        </w:rPr>
        <w:t>高压互锁的结构设计应保证：当操作者断开高压连接时，连接器的结构顺序应使互锁端子先于高压端子分离，从而由电池管理系统（BMS）在毫秒级时间内切断高压继电器，实现高压回路的安全断开。</w:t>
      </w:r>
    </w:p>
    <w:p w14:paraId="062DFFAF">
      <w:pPr>
        <w:pStyle w:val="164"/>
      </w:pPr>
      <w:r>
        <w:rPr>
          <w:rFonts w:hint="eastAsia"/>
        </w:rPr>
        <w:t>互锁回路的设计应具备故障诊断能力。当互锁回路因连接不良或意外断开时，系统应立即发出报警信号并禁止高压输出。</w:t>
      </w:r>
    </w:p>
    <w:p w14:paraId="4FC6D423">
      <w:pPr>
        <w:pStyle w:val="65"/>
        <w:spacing w:before="120" w:after="120"/>
      </w:pPr>
      <w:r>
        <w:rPr>
          <w:rFonts w:hint="eastAsia"/>
        </w:rPr>
        <w:t>防触指保护</w:t>
      </w:r>
    </w:p>
    <w:p w14:paraId="3897D443">
      <w:pPr>
        <w:pStyle w:val="164"/>
      </w:pPr>
      <w:r>
        <w:rPr>
          <w:rFonts w:hint="eastAsia"/>
        </w:rPr>
        <w:t>所有在正常使用或维护过程中可能被打开的区域（如MSD盖板、维修窗口、高压盒盖板），其内部的高压带电部分在盖板打开后应满足防触指保护要求。</w:t>
      </w:r>
    </w:p>
    <w:p w14:paraId="07CB62DB">
      <w:pPr>
        <w:pStyle w:val="164"/>
      </w:pPr>
      <w:r>
        <w:rPr>
          <w:rFonts w:hint="eastAsia"/>
        </w:rPr>
        <w:t>防触指保护应符合IPXXB防护等级的要求，即直径为12mm的球形试具不应触及高压带电部件。结构设计可采用以下方式实现：在盖板内部设置网状结构、安装内部绝缘隔板、将高压部件布置在触及范围之外、或采用嵌入式结构使带电部分被充分遮挡。</w:t>
      </w:r>
    </w:p>
    <w:p w14:paraId="679BAB03">
      <w:pPr>
        <w:pStyle w:val="164"/>
      </w:pPr>
      <w:r>
        <w:rPr>
          <w:rFonts w:hint="eastAsia"/>
        </w:rPr>
        <w:t>对于必须由专业人员操作且仅在断电状态下才能打开的维护区域，应在显要位置设置高压警示标识，并采取机械锁止或互锁开关等防止误操作的结构措施。</w:t>
      </w:r>
    </w:p>
    <w:p w14:paraId="4554E928">
      <w:pPr>
        <w:pStyle w:val="105"/>
        <w:spacing w:before="120" w:after="120"/>
      </w:pPr>
      <w:r>
        <w:rPr>
          <w:rFonts w:hint="eastAsia"/>
        </w:rPr>
        <w:t>热失控防护结构</w:t>
      </w:r>
    </w:p>
    <w:p w14:paraId="3199053D">
      <w:pPr>
        <w:pStyle w:val="65"/>
        <w:spacing w:before="120" w:after="120"/>
      </w:pPr>
      <w:r>
        <w:rPr>
          <w:rFonts w:hint="eastAsia"/>
        </w:rPr>
        <w:t>隔热与阻隔</w:t>
      </w:r>
    </w:p>
    <w:p w14:paraId="590D1642">
      <w:pPr>
        <w:pStyle w:val="164"/>
      </w:pPr>
      <w:r>
        <w:rPr>
          <w:rFonts w:hint="eastAsia"/>
        </w:rPr>
        <w:t>在电芯与电芯之间、模组与模组之间，应设置隔热层，用于延缓或阻止热失控在电池包内的蔓延。隔热材料应具备耐高温性能和低导热系数。</w:t>
      </w:r>
    </w:p>
    <w:p w14:paraId="5470AB06">
      <w:pPr>
        <w:pStyle w:val="164"/>
      </w:pPr>
      <w:r>
        <w:rPr>
          <w:rFonts w:hint="eastAsia"/>
        </w:rPr>
        <w:t>隔热材料的性能应满足以下要求：能够在1 000 ℃以上高温条件下保持结构完整性不少于10min，导热系数不宜大于0.05 W/(m·K)。推荐使用的材料包括云母板、气凝胶毡、陶瓷纤维纸等。</w:t>
      </w:r>
    </w:p>
    <w:p w14:paraId="09EE0CBB">
      <w:pPr>
        <w:pStyle w:val="164"/>
      </w:pPr>
      <w:r>
        <w:rPr>
          <w:rFonts w:hint="eastAsia"/>
        </w:rPr>
        <w:t>隔热结构的布置应覆盖电芯或模组之间的全部相邻区域，并考虑膨胀间隙和装配公差的影响。隔热层的厚度和形状应根据热扩散仿真结果优化确定。</w:t>
      </w:r>
    </w:p>
    <w:p w14:paraId="0640565E">
      <w:pPr>
        <w:pStyle w:val="65"/>
        <w:spacing w:before="120" w:after="120"/>
      </w:pPr>
      <w:r>
        <w:rPr>
          <w:rFonts w:hint="eastAsia"/>
        </w:rPr>
        <w:t>排气与泄压</w:t>
      </w:r>
    </w:p>
    <w:p w14:paraId="02A1453E">
      <w:pPr>
        <w:pStyle w:val="164"/>
      </w:pPr>
      <w:r>
        <w:rPr>
          <w:rFonts w:hint="eastAsia"/>
        </w:rPr>
        <w:t>电池包结构应设计定向泄压通道和防爆阀。当电芯发生热失控产生高温高压气体时，泄压系统应能及时将气体和颗粒物定向排出包外，避免包内压力积聚导致爆炸。</w:t>
      </w:r>
    </w:p>
    <w:p w14:paraId="4F151E48">
      <w:pPr>
        <w:pStyle w:val="164"/>
      </w:pPr>
      <w:r>
        <w:rPr>
          <w:rFonts w:hint="eastAsia"/>
        </w:rPr>
        <w:t>防爆阀的开启压力应根据电池包的自由容积和结构强度确定，通常宜设置在10 kPa～30 kPa范围内。防爆阀应具备单向排气功能，防止外部水汽进入包内。</w:t>
      </w:r>
    </w:p>
    <w:p w14:paraId="04E6D6A0">
      <w:pPr>
        <w:pStyle w:val="164"/>
      </w:pPr>
      <w:r>
        <w:rPr>
          <w:rFonts w:hint="eastAsia"/>
        </w:rPr>
        <w:t>泄压通道的设计应确保排出的高温气体和颗粒物朝向安全方向，不得直接朝向乘员舱、高压连接器、低压接插件或其他敏感区域。电芯防爆阀的朝向应与模组泄压通道对齐，保证排气畅通。</w:t>
      </w:r>
    </w:p>
    <w:p w14:paraId="56CE56B9">
      <w:pPr>
        <w:pStyle w:val="164"/>
      </w:pPr>
      <w:r>
        <w:rPr>
          <w:rFonts w:hint="eastAsia"/>
        </w:rPr>
        <w:t>泄压系统应通过热失控扩散测试验证，确保在单颗电芯发生热失控后，电池包在5 min内不起火、不爆炸，满足安全标准的要求。</w:t>
      </w:r>
    </w:p>
    <w:p w14:paraId="2645C939">
      <w:pPr>
        <w:pStyle w:val="65"/>
        <w:spacing w:before="120" w:after="120"/>
      </w:pPr>
      <w:r>
        <w:rPr>
          <w:rFonts w:hint="eastAsia"/>
        </w:rPr>
        <w:t>高压回路保护</w:t>
      </w:r>
    </w:p>
    <w:p w14:paraId="24F813AD">
      <w:pPr>
        <w:pStyle w:val="164"/>
      </w:pPr>
      <w:r>
        <w:rPr>
          <w:rFonts w:hint="eastAsia"/>
        </w:rPr>
        <w:t>在发生严重碰撞或热失控时，结构设计应确保高压回路能够被可靠切断，防止因绝缘失效或短路引发二次事故。</w:t>
      </w:r>
    </w:p>
    <w:p w14:paraId="0FAEF5CF">
      <w:pPr>
        <w:pStyle w:val="164"/>
      </w:pPr>
      <w:r>
        <w:rPr>
          <w:rFonts w:hint="eastAsia"/>
        </w:rPr>
        <w:t>熔断器的安装位置应远离热源中心，且与箱体之间应有隔热设计。熔断器应具备防冲击固定支架，确保在振动和冲击工况下不产生位移。</w:t>
      </w:r>
    </w:p>
    <w:p w14:paraId="77765E3D">
      <w:pPr>
        <w:pStyle w:val="164"/>
      </w:pPr>
      <w:r>
        <w:rPr>
          <w:rFonts w:hint="eastAsia"/>
        </w:rPr>
        <w:t>手动维修开关（MSD）应布置在便于操作的位置，且应在电池包外部显要位置设置MSD操作指引。MSD的结构设计应保证在断开状态下能够可靠隔离高压回路，并具备高压互锁功能。</w:t>
      </w:r>
    </w:p>
    <w:p w14:paraId="0A865E1F">
      <w:pPr>
        <w:pStyle w:val="105"/>
        <w:spacing w:before="120" w:after="120"/>
      </w:pPr>
      <w:r>
        <w:rPr>
          <w:rFonts w:hint="eastAsia"/>
        </w:rPr>
        <w:t>机械防护与抗滥用</w:t>
      </w:r>
    </w:p>
    <w:p w14:paraId="7A21A5E0">
      <w:pPr>
        <w:pStyle w:val="65"/>
        <w:spacing w:before="120" w:after="120"/>
      </w:pPr>
      <w:r>
        <w:rPr>
          <w:rFonts w:hint="eastAsia"/>
        </w:rPr>
        <w:t>箱体强度</w:t>
      </w:r>
    </w:p>
    <w:p w14:paraId="39B86622">
      <w:pPr>
        <w:pStyle w:val="164"/>
      </w:pPr>
      <w:r>
        <w:rPr>
          <w:rFonts w:hint="eastAsia"/>
        </w:rPr>
        <w:t>电池包下箱体应具备足够的抗冲击和抗挤压能力。结构设计应通过仿真分析验证，确保在整车发生侧面柱碰、底部球击或侧面挤压等机械滥用工况下，箱体结构能够有效吸收能量，防止侵入量过大挤压电芯。</w:t>
      </w:r>
    </w:p>
    <w:p w14:paraId="284DB87A">
      <w:pPr>
        <w:pStyle w:val="164"/>
      </w:pPr>
      <w:r>
        <w:rPr>
          <w:rFonts w:hint="eastAsia"/>
        </w:rPr>
        <w:t>箱体的强度设计应以电芯的安全边界作为考核依据。在规定的载荷工况下，电芯的最大变形量不应超过其安全允许值（通常为3mm以内），且不应发生电芯破裂、短路或热失控。</w:t>
      </w:r>
    </w:p>
    <w:p w14:paraId="5F26ECC7">
      <w:pPr>
        <w:pStyle w:val="164"/>
      </w:pPr>
      <w:r>
        <w:rPr>
          <w:rFonts w:hint="eastAsia"/>
        </w:rPr>
        <w:t>箱体设计宜采用多传力路径结构，在边框、横梁、纵梁等关键受力部位进行加强，并设置吸能结构以缓冲冲击载荷。</w:t>
      </w:r>
    </w:p>
    <w:p w14:paraId="55476DA0">
      <w:pPr>
        <w:pStyle w:val="65"/>
        <w:spacing w:before="120" w:after="120"/>
      </w:pPr>
      <w:r>
        <w:rPr>
          <w:rFonts w:hint="eastAsia"/>
        </w:rPr>
        <w:t>模组固定</w:t>
      </w:r>
    </w:p>
    <w:p w14:paraId="74607B28">
      <w:pPr>
        <w:pStyle w:val="164"/>
      </w:pPr>
      <w:r>
        <w:rPr>
          <w:rFonts w:hint="eastAsia"/>
        </w:rPr>
        <w:t>模组与箱体的固定点数量应根据模组的质量、重心位置及振动等级确定。单个模组的固定点不应少于4个，且固定点应对称分布，以均匀传递载荷。</w:t>
      </w:r>
    </w:p>
    <w:p w14:paraId="1F843761">
      <w:pPr>
        <w:pStyle w:val="164"/>
      </w:pPr>
      <w:r>
        <w:rPr>
          <w:rFonts w:hint="eastAsia"/>
        </w:rPr>
        <w:t>模组固定螺栓的性能等级不应低于8.8级。当箱体材料为铝合金时，应在固定位置安装钢丝螺套或压铆螺母，以增强螺纹连接的承载能力和抗磨损性能。</w:t>
      </w:r>
    </w:p>
    <w:p w14:paraId="63849778">
      <w:pPr>
        <w:pStyle w:val="164"/>
      </w:pPr>
      <w:r>
        <w:rPr>
          <w:rFonts w:hint="eastAsia"/>
        </w:rPr>
        <w:t>模组固定结构应通过振动和冲击仿真分析及实物测试验证。在随机振动和机械冲击工况下，模组不应产生相对位移，固定螺栓不应出现松动或疲劳断裂。</w:t>
      </w:r>
    </w:p>
    <w:p w14:paraId="3BEB5CD0">
      <w:pPr>
        <w:pStyle w:val="65"/>
        <w:spacing w:before="120" w:after="120"/>
      </w:pPr>
      <w:r>
        <w:rPr>
          <w:rFonts w:hint="eastAsia"/>
        </w:rPr>
        <w:t>高压铜排固定</w:t>
      </w:r>
    </w:p>
    <w:p w14:paraId="72593313">
      <w:pPr>
        <w:pStyle w:val="164"/>
      </w:pPr>
      <w:r>
        <w:rPr>
          <w:rFonts w:hint="eastAsia"/>
        </w:rPr>
        <w:t>高压铜排（或铝排）应采用绝缘子、注塑固定支架或卡槽结构进行可靠支撑，防止在振动工况下发生位移或断裂。</w:t>
      </w:r>
    </w:p>
    <w:p w14:paraId="780F50B1">
      <w:pPr>
        <w:pStyle w:val="164"/>
      </w:pPr>
      <w:r>
        <w:rPr>
          <w:rFonts w:hint="eastAsia"/>
        </w:rPr>
        <w:t>相邻固定点之间的间距不宜大于200 mm。在铜排转向或跨接部位，应额外增加固定点。</w:t>
      </w:r>
    </w:p>
    <w:p w14:paraId="04D7011D">
      <w:pPr>
        <w:pStyle w:val="164"/>
      </w:pPr>
      <w:r>
        <w:rPr>
          <w:rFonts w:hint="eastAsia"/>
        </w:rPr>
        <w:t>铜排穿过模组间隙或靠近金属部件时，应加装绝缘套管（如热缩管）或绝缘隔板，确保电气安全。在振动测试后，铜排的相对位移不应超过1 mm，且不应与相邻金属部件产生接触。</w:t>
      </w:r>
    </w:p>
    <w:p w14:paraId="3CC1EA39">
      <w:pPr>
        <w:pStyle w:val="105"/>
        <w:spacing w:before="120" w:after="120"/>
      </w:pPr>
      <w:r>
        <w:rPr>
          <w:rFonts w:hint="eastAsia"/>
        </w:rPr>
        <w:t>轻量化结构</w:t>
      </w:r>
    </w:p>
    <w:p w14:paraId="3FF1101D">
      <w:pPr>
        <w:pStyle w:val="65"/>
        <w:spacing w:before="120" w:after="120"/>
      </w:pPr>
      <w:r>
        <w:rPr>
          <w:rFonts w:hint="eastAsia"/>
        </w:rPr>
        <w:t>拓扑优化</w:t>
      </w:r>
    </w:p>
    <w:p w14:paraId="17C851FC">
      <w:pPr>
        <w:pStyle w:val="164"/>
      </w:pPr>
      <w:r>
        <w:rPr>
          <w:rFonts w:hint="eastAsia"/>
        </w:rPr>
        <w:t>在满足机械冲击、挤压及碰撞等安全要求的前提下，鼓励对箱体边框、横梁、纵梁、吊耳等结构件进行拓扑优化，去除冗余材料，实现结构效率最大化。</w:t>
      </w:r>
    </w:p>
    <w:p w14:paraId="7B8E6FEA">
      <w:pPr>
        <w:pStyle w:val="164"/>
      </w:pPr>
      <w:r>
        <w:rPr>
          <w:rFonts w:hint="eastAsia"/>
        </w:rPr>
        <w:t>拓扑优化应基于有限元分析结果，识别低应力区和非承载区，并通过调整结构形式、开减重孔、优化截面形状等方式减轻质量。</w:t>
      </w:r>
    </w:p>
    <w:p w14:paraId="18A2CB55">
      <w:pPr>
        <w:pStyle w:val="65"/>
        <w:spacing w:before="120" w:after="120"/>
      </w:pPr>
      <w:r>
        <w:rPr>
          <w:rFonts w:hint="eastAsia"/>
        </w:rPr>
        <w:t>材料应用</w:t>
      </w:r>
    </w:p>
    <w:p w14:paraId="3B17F4A6">
      <w:pPr>
        <w:pStyle w:val="164"/>
      </w:pPr>
      <w:r>
        <w:rPr>
          <w:rFonts w:hint="eastAsia"/>
        </w:rPr>
        <w:t>电池包箱体宜优先选用轻量化材料方案。常用的轻量化箱体结构包括：铝型材拼焊箱体（边框采用铝型材、底板采用铝板）、高压铸铝箱体（整体压铸成形）、钢铝混合结构（钢制底护板与铝制上框组合）等。</w:t>
      </w:r>
    </w:p>
    <w:p w14:paraId="2FC90079">
      <w:pPr>
        <w:pStyle w:val="164"/>
      </w:pPr>
      <w:r>
        <w:rPr>
          <w:rFonts w:hint="eastAsia"/>
        </w:rPr>
        <w:t>箱体上盖的材料选用应兼顾轻量化和防火性能。可选用高强度钢板（如DC01、DC04）以满足防火要求，也可选用SMC复合材料以满足轻量化需求。采用SMC材料时，其阻燃等级应满足UL94 V-0要求。</w:t>
      </w:r>
    </w:p>
    <w:p w14:paraId="108EA724">
      <w:pPr>
        <w:pStyle w:val="164"/>
      </w:pPr>
      <w:r>
        <w:rPr>
          <w:rFonts w:hint="eastAsia"/>
        </w:rPr>
        <w:t>模组端板、电芯支架等内部结构件可采用PC+ABS合金或铝合金，在保证强度和绝缘性能的同时减轻重量。</w:t>
      </w:r>
    </w:p>
    <w:p w14:paraId="09887C29">
      <w:pPr>
        <w:pStyle w:val="105"/>
        <w:spacing w:before="120" w:after="120"/>
      </w:pPr>
      <w:r>
        <w:rPr>
          <w:rFonts w:hint="eastAsia"/>
        </w:rPr>
        <w:t>装配与维修性</w:t>
      </w:r>
    </w:p>
    <w:p w14:paraId="5E42F664">
      <w:pPr>
        <w:pStyle w:val="65"/>
        <w:spacing w:before="120" w:after="120"/>
      </w:pPr>
      <w:r>
        <w:rPr>
          <w:rFonts w:hint="eastAsia"/>
        </w:rPr>
        <w:t>模组入箱导向</w:t>
      </w:r>
    </w:p>
    <w:p w14:paraId="13DCF382">
      <w:pPr>
        <w:pStyle w:val="164"/>
      </w:pPr>
      <w:r>
        <w:rPr>
          <w:rFonts w:hint="eastAsia"/>
        </w:rPr>
        <w:t>模组入箱时应设计导向机构，防止安装过程中损伤电芯、极耳或高压连接器。箱体底部应设置导向销或斜角导槽，模组对应位置应设置导向孔或导向面。</w:t>
      </w:r>
    </w:p>
    <w:p w14:paraId="44BBC777">
      <w:pPr>
        <w:pStyle w:val="164"/>
      </w:pPr>
      <w:r>
        <w:rPr>
          <w:rFonts w:hint="eastAsia"/>
        </w:rPr>
        <w:t>导向机构的尺寸精度应保证电芯极耳与汇流排之间的对位公差控制在0.5mm以内。对于自动化装配线，导向设计应与机器人的抓取和放置轨迹相协调。</w:t>
      </w:r>
    </w:p>
    <w:p w14:paraId="132AD180">
      <w:pPr>
        <w:pStyle w:val="65"/>
        <w:spacing w:before="120" w:after="120"/>
      </w:pPr>
      <w:r>
        <w:rPr>
          <w:rFonts w:hint="eastAsia"/>
        </w:rPr>
        <w:t>可维修性设计</w:t>
      </w:r>
    </w:p>
    <w:p w14:paraId="4CDDF30A">
      <w:pPr>
        <w:pStyle w:val="164"/>
      </w:pPr>
      <w:r>
        <w:rPr>
          <w:rFonts w:hint="eastAsia"/>
        </w:rPr>
        <w:t>对于BMS从板、MSD、接触器、预充电阻、熔断器等易损件或高故障率部件，结构设计应支持在不拆解整个电池包或模组的情况下进行更换。</w:t>
      </w:r>
    </w:p>
    <w:p w14:paraId="13A09A5B">
      <w:pPr>
        <w:pStyle w:val="164"/>
      </w:pPr>
      <w:r>
        <w:rPr>
          <w:rFonts w:hint="eastAsia"/>
        </w:rPr>
        <w:t>维修窗口的设置应考虑工具操作空间和人体工程学要求。维修窗口的盖板应采用便于拆卸的紧固方式（如卡扣、快拆螺钉），且其密封设计应保证维修后防护等级不降低。</w:t>
      </w:r>
    </w:p>
    <w:p w14:paraId="40945B29">
      <w:pPr>
        <w:pStyle w:val="164"/>
      </w:pPr>
      <w:r>
        <w:rPr>
          <w:rFonts w:hint="eastAsia"/>
        </w:rPr>
        <w:t>低压连接器应布置在便于插拔的位置，周围应留有足够的手指操作空间（宽度不宜小于30mm）。不同功能的连接器宜采用防错插设计（如不同颜色、不同键位、不同外形尺寸），防止装配或维修时误插。</w:t>
      </w:r>
    </w:p>
    <w:p w14:paraId="2FB0CBA3">
      <w:pPr>
        <w:pStyle w:val="164"/>
      </w:pPr>
      <w:r>
        <w:rPr>
          <w:rFonts w:hint="eastAsia"/>
        </w:rPr>
        <w:t>可拆卸紧固件的规格应尽量统一，减少维修所需的工具种类。推荐在同一产品中统一使用M5或M6规格的内六角螺栓作为主要紧固件。</w:t>
      </w:r>
    </w:p>
    <w:bookmarkEnd w:id="23"/>
    <w:p w14:paraId="05006CEB">
      <w:pPr>
        <w:pStyle w:val="56"/>
        <w:ind w:firstLine="0" w:firstLineChars="0"/>
        <w:jc w:val="center"/>
      </w:pPr>
      <w:bookmarkStart w:id="52" w:name="BookMark8"/>
      <w:r>
        <w:drawing>
          <wp:inline distT="0" distB="0" distL="0" distR="0">
            <wp:extent cx="1485900" cy="317500"/>
            <wp:effectExtent l="0" t="0" r="0" b="6350"/>
            <wp:docPr id="40899796" name="图片 3"/>
            <wp:cNvGraphicFramePr/>
            <a:graphic xmlns:a="http://schemas.openxmlformats.org/drawingml/2006/main">
              <a:graphicData uri="http://schemas.openxmlformats.org/drawingml/2006/picture">
                <pic:pic xmlns:pic="http://schemas.openxmlformats.org/drawingml/2006/picture">
                  <pic:nvPicPr>
                    <pic:cNvPr id="4089979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B5E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F54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CE3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000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E9F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EE4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199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61E2">
    <w:pPr>
      <w:pStyle w:val="61"/>
      <w:rPr>
        <w:rFonts w:hint="eastAsia"/>
      </w:rPr>
    </w:pPr>
    <w:r>
      <w:fldChar w:fldCharType="begin"/>
    </w:r>
    <w:r>
      <w:instrText xml:space="preserve"> STYLEREF  标准文件_文件编号  \* MERGEFORMAT </w:instrText>
    </w:r>
    <w:r>
      <w:fldChar w:fldCharType="separate"/>
    </w:r>
    <w:r>
      <w:t>T/CWDPA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66E1">
    <w:pPr>
      <w:pStyle w:val="18"/>
      <w:jc w:val="right"/>
    </w:pPr>
    <w:r>
      <w:fldChar w:fldCharType="begin"/>
    </w:r>
    <w:r>
      <w:instrText xml:space="preserve"> STYLEREF  标准文件_文件编号  \* MERGEFORMAT </w:instrText>
    </w:r>
    <w:r>
      <w:fldChar w:fldCharType="separate"/>
    </w:r>
    <w:r>
      <w:t>T/CWDPA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98"/>
    <w:rsid w:val="0000040A"/>
    <w:rsid w:val="00000A94"/>
    <w:rsid w:val="00001972"/>
    <w:rsid w:val="00001D9A"/>
    <w:rsid w:val="00007B3A"/>
    <w:rsid w:val="000107E0"/>
    <w:rsid w:val="00011FDE"/>
    <w:rsid w:val="00012FFD"/>
    <w:rsid w:val="00013DAA"/>
    <w:rsid w:val="00014162"/>
    <w:rsid w:val="00014340"/>
    <w:rsid w:val="00015224"/>
    <w:rsid w:val="00016A9C"/>
    <w:rsid w:val="00022184"/>
    <w:rsid w:val="00022762"/>
    <w:rsid w:val="000238E0"/>
    <w:rsid w:val="000245AE"/>
    <w:rsid w:val="000249DB"/>
    <w:rsid w:val="0002595E"/>
    <w:rsid w:val="000303C3"/>
    <w:rsid w:val="000331D3"/>
    <w:rsid w:val="00033C17"/>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704"/>
    <w:rsid w:val="00077B64"/>
    <w:rsid w:val="00080A1C"/>
    <w:rsid w:val="00081C8D"/>
    <w:rsid w:val="00082317"/>
    <w:rsid w:val="00083D2C"/>
    <w:rsid w:val="00086AA1"/>
    <w:rsid w:val="00087A77"/>
    <w:rsid w:val="00090CA6"/>
    <w:rsid w:val="00092B8A"/>
    <w:rsid w:val="00092FB0"/>
    <w:rsid w:val="000934C5"/>
    <w:rsid w:val="00093D25"/>
    <w:rsid w:val="00093DAB"/>
    <w:rsid w:val="00093F7E"/>
    <w:rsid w:val="00094D73"/>
    <w:rsid w:val="00096D63"/>
    <w:rsid w:val="000A0B60"/>
    <w:rsid w:val="000A0EB8"/>
    <w:rsid w:val="000A19FC"/>
    <w:rsid w:val="000A296B"/>
    <w:rsid w:val="000A3500"/>
    <w:rsid w:val="000A7311"/>
    <w:rsid w:val="000B060F"/>
    <w:rsid w:val="000B1592"/>
    <w:rsid w:val="000B1FF2"/>
    <w:rsid w:val="000B3CDA"/>
    <w:rsid w:val="000B6A0B"/>
    <w:rsid w:val="000C0F6C"/>
    <w:rsid w:val="000C11DB"/>
    <w:rsid w:val="000C1492"/>
    <w:rsid w:val="000C1883"/>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34F"/>
    <w:rsid w:val="000F67E9"/>
    <w:rsid w:val="00104926"/>
    <w:rsid w:val="00113B1E"/>
    <w:rsid w:val="0011711C"/>
    <w:rsid w:val="00124E4F"/>
    <w:rsid w:val="001260B7"/>
    <w:rsid w:val="001265CB"/>
    <w:rsid w:val="001269E2"/>
    <w:rsid w:val="001321C6"/>
    <w:rsid w:val="001325C4"/>
    <w:rsid w:val="00133010"/>
    <w:rsid w:val="001338EE"/>
    <w:rsid w:val="00133AAE"/>
    <w:rsid w:val="00133B97"/>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3B8"/>
    <w:rsid w:val="001642FA"/>
    <w:rsid w:val="001649EB"/>
    <w:rsid w:val="00164BAF"/>
    <w:rsid w:val="00164FA8"/>
    <w:rsid w:val="00165065"/>
    <w:rsid w:val="00165434"/>
    <w:rsid w:val="0016580B"/>
    <w:rsid w:val="00165F49"/>
    <w:rsid w:val="00166B88"/>
    <w:rsid w:val="0016770A"/>
    <w:rsid w:val="00170804"/>
    <w:rsid w:val="001708E9"/>
    <w:rsid w:val="0017340B"/>
    <w:rsid w:val="00173B44"/>
    <w:rsid w:val="00173FB1"/>
    <w:rsid w:val="00176D3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298"/>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4B8"/>
    <w:rsid w:val="002253A1"/>
    <w:rsid w:val="00225CF8"/>
    <w:rsid w:val="002264BA"/>
    <w:rsid w:val="0022794E"/>
    <w:rsid w:val="00232D93"/>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B5B"/>
    <w:rsid w:val="00272B08"/>
    <w:rsid w:val="00281BB8"/>
    <w:rsid w:val="00281E9E"/>
    <w:rsid w:val="00282405"/>
    <w:rsid w:val="00285170"/>
    <w:rsid w:val="00285361"/>
    <w:rsid w:val="002857B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675"/>
    <w:rsid w:val="002A757F"/>
    <w:rsid w:val="002A7F44"/>
    <w:rsid w:val="002B0C40"/>
    <w:rsid w:val="002B1966"/>
    <w:rsid w:val="002B4508"/>
    <w:rsid w:val="002B5779"/>
    <w:rsid w:val="002B7332"/>
    <w:rsid w:val="002B7F51"/>
    <w:rsid w:val="002C09E7"/>
    <w:rsid w:val="002C1E06"/>
    <w:rsid w:val="002C1F75"/>
    <w:rsid w:val="002C3F07"/>
    <w:rsid w:val="002C5278"/>
    <w:rsid w:val="002C7EBB"/>
    <w:rsid w:val="002D06C1"/>
    <w:rsid w:val="002D42B5"/>
    <w:rsid w:val="002D4F1A"/>
    <w:rsid w:val="002D6EC6"/>
    <w:rsid w:val="002D79AC"/>
    <w:rsid w:val="002D7CD3"/>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F98"/>
    <w:rsid w:val="00376713"/>
    <w:rsid w:val="00381815"/>
    <w:rsid w:val="003819AF"/>
    <w:rsid w:val="003820E9"/>
    <w:rsid w:val="00382604"/>
    <w:rsid w:val="00382DE7"/>
    <w:rsid w:val="00384FFC"/>
    <w:rsid w:val="003872FC"/>
    <w:rsid w:val="00387ADC"/>
    <w:rsid w:val="00390020"/>
    <w:rsid w:val="003903D6"/>
    <w:rsid w:val="00390CD8"/>
    <w:rsid w:val="00390EE6"/>
    <w:rsid w:val="0039118F"/>
    <w:rsid w:val="00392141"/>
    <w:rsid w:val="003921CB"/>
    <w:rsid w:val="00392843"/>
    <w:rsid w:val="00392AD7"/>
    <w:rsid w:val="003938D9"/>
    <w:rsid w:val="00394376"/>
    <w:rsid w:val="003943FF"/>
    <w:rsid w:val="003974EB"/>
    <w:rsid w:val="0039764D"/>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D2C"/>
    <w:rsid w:val="003D0519"/>
    <w:rsid w:val="003D0FF6"/>
    <w:rsid w:val="003D262C"/>
    <w:rsid w:val="003D6D61"/>
    <w:rsid w:val="003E019F"/>
    <w:rsid w:val="003E091D"/>
    <w:rsid w:val="003E1C53"/>
    <w:rsid w:val="003E2A69"/>
    <w:rsid w:val="003E2D49"/>
    <w:rsid w:val="003E2FD4"/>
    <w:rsid w:val="003E49F6"/>
    <w:rsid w:val="003E660F"/>
    <w:rsid w:val="003F0841"/>
    <w:rsid w:val="003F214A"/>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5B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1D06"/>
    <w:rsid w:val="004A4B57"/>
    <w:rsid w:val="004A5881"/>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BDF"/>
    <w:rsid w:val="004D4406"/>
    <w:rsid w:val="004D7C42"/>
    <w:rsid w:val="004E0465"/>
    <w:rsid w:val="004E127B"/>
    <w:rsid w:val="004E1C0A"/>
    <w:rsid w:val="004E30C5"/>
    <w:rsid w:val="004E4AA5"/>
    <w:rsid w:val="004E4AEE"/>
    <w:rsid w:val="004E59E3"/>
    <w:rsid w:val="004E67C0"/>
    <w:rsid w:val="004F391A"/>
    <w:rsid w:val="004F3CFB"/>
    <w:rsid w:val="004F5572"/>
    <w:rsid w:val="004F6456"/>
    <w:rsid w:val="004F696E"/>
    <w:rsid w:val="004F6C71"/>
    <w:rsid w:val="00501139"/>
    <w:rsid w:val="0050363E"/>
    <w:rsid w:val="005039BC"/>
    <w:rsid w:val="005043BB"/>
    <w:rsid w:val="00504A3D"/>
    <w:rsid w:val="00505767"/>
    <w:rsid w:val="005073F0"/>
    <w:rsid w:val="00510A7B"/>
    <w:rsid w:val="00510CCD"/>
    <w:rsid w:val="00511410"/>
    <w:rsid w:val="00512F6E"/>
    <w:rsid w:val="00513038"/>
    <w:rsid w:val="0051365F"/>
    <w:rsid w:val="00514174"/>
    <w:rsid w:val="005145CF"/>
    <w:rsid w:val="005149D0"/>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4A12"/>
    <w:rsid w:val="00586465"/>
    <w:rsid w:val="00586630"/>
    <w:rsid w:val="00587ADD"/>
    <w:rsid w:val="00593A49"/>
    <w:rsid w:val="00596160"/>
    <w:rsid w:val="005966E2"/>
    <w:rsid w:val="00597007"/>
    <w:rsid w:val="005A0966"/>
    <w:rsid w:val="005A11B7"/>
    <w:rsid w:val="005A1501"/>
    <w:rsid w:val="005A260B"/>
    <w:rsid w:val="005A4A1B"/>
    <w:rsid w:val="005A7830"/>
    <w:rsid w:val="005A7FCE"/>
    <w:rsid w:val="005B0F3F"/>
    <w:rsid w:val="005B191C"/>
    <w:rsid w:val="005B3BD8"/>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38B"/>
    <w:rsid w:val="005F284E"/>
    <w:rsid w:val="006015CE"/>
    <w:rsid w:val="00604784"/>
    <w:rsid w:val="00606419"/>
    <w:rsid w:val="00607D29"/>
    <w:rsid w:val="0061263D"/>
    <w:rsid w:val="00612952"/>
    <w:rsid w:val="00614CC1"/>
    <w:rsid w:val="00615A9D"/>
    <w:rsid w:val="006160E6"/>
    <w:rsid w:val="00617387"/>
    <w:rsid w:val="006205D6"/>
    <w:rsid w:val="006252D8"/>
    <w:rsid w:val="006259BC"/>
    <w:rsid w:val="0062636B"/>
    <w:rsid w:val="00627C52"/>
    <w:rsid w:val="00632182"/>
    <w:rsid w:val="00632AE0"/>
    <w:rsid w:val="00633C17"/>
    <w:rsid w:val="00634D9E"/>
    <w:rsid w:val="00636E3E"/>
    <w:rsid w:val="006379F7"/>
    <w:rsid w:val="00637E4D"/>
    <w:rsid w:val="00640620"/>
    <w:rsid w:val="00641A1F"/>
    <w:rsid w:val="00644432"/>
    <w:rsid w:val="00645904"/>
    <w:rsid w:val="00651ACB"/>
    <w:rsid w:val="00651C47"/>
    <w:rsid w:val="00652AB2"/>
    <w:rsid w:val="00653FED"/>
    <w:rsid w:val="00654EC0"/>
    <w:rsid w:val="0065525B"/>
    <w:rsid w:val="00655D4F"/>
    <w:rsid w:val="00656D29"/>
    <w:rsid w:val="006618B7"/>
    <w:rsid w:val="00661DB6"/>
    <w:rsid w:val="006640E5"/>
    <w:rsid w:val="006646F1"/>
    <w:rsid w:val="00664929"/>
    <w:rsid w:val="00664F62"/>
    <w:rsid w:val="006655E1"/>
    <w:rsid w:val="00666B1E"/>
    <w:rsid w:val="00672060"/>
    <w:rsid w:val="00672BFD"/>
    <w:rsid w:val="0067668C"/>
    <w:rsid w:val="006770F4"/>
    <w:rsid w:val="00677A84"/>
    <w:rsid w:val="0068003F"/>
    <w:rsid w:val="0068026D"/>
    <w:rsid w:val="00680A27"/>
    <w:rsid w:val="006816A4"/>
    <w:rsid w:val="006819B8"/>
    <w:rsid w:val="006840A6"/>
    <w:rsid w:val="006850CD"/>
    <w:rsid w:val="00685AAB"/>
    <w:rsid w:val="00691004"/>
    <w:rsid w:val="006964A3"/>
    <w:rsid w:val="006A07AA"/>
    <w:rsid w:val="006A25E5"/>
    <w:rsid w:val="006A2B46"/>
    <w:rsid w:val="006A336D"/>
    <w:rsid w:val="006A37B9"/>
    <w:rsid w:val="006B1FE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67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FC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540"/>
    <w:rsid w:val="00804BB7"/>
    <w:rsid w:val="00804D41"/>
    <w:rsid w:val="00810257"/>
    <w:rsid w:val="008104F5"/>
    <w:rsid w:val="00811072"/>
    <w:rsid w:val="00811369"/>
    <w:rsid w:val="00815419"/>
    <w:rsid w:val="008163C8"/>
    <w:rsid w:val="008164A1"/>
    <w:rsid w:val="00817325"/>
    <w:rsid w:val="00817C9D"/>
    <w:rsid w:val="008209E6"/>
    <w:rsid w:val="00821D19"/>
    <w:rsid w:val="00823303"/>
    <w:rsid w:val="008233B2"/>
    <w:rsid w:val="00823A9F"/>
    <w:rsid w:val="00823C85"/>
    <w:rsid w:val="00825138"/>
    <w:rsid w:val="008269DD"/>
    <w:rsid w:val="00827A36"/>
    <w:rsid w:val="00827A95"/>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4A71"/>
    <w:rsid w:val="00865ACA"/>
    <w:rsid w:val="00865D28"/>
    <w:rsid w:val="00865F85"/>
    <w:rsid w:val="00867C10"/>
    <w:rsid w:val="00870439"/>
    <w:rsid w:val="00870DA1"/>
    <w:rsid w:val="00881C97"/>
    <w:rsid w:val="0088233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0DD3"/>
    <w:rsid w:val="008B166D"/>
    <w:rsid w:val="008B17F4"/>
    <w:rsid w:val="008B3615"/>
    <w:rsid w:val="008B43D7"/>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23F"/>
    <w:rsid w:val="008F4C29"/>
    <w:rsid w:val="008F70BD"/>
    <w:rsid w:val="008F788F"/>
    <w:rsid w:val="008F7EA2"/>
    <w:rsid w:val="00902722"/>
    <w:rsid w:val="009027BC"/>
    <w:rsid w:val="009046E4"/>
    <w:rsid w:val="009062E6"/>
    <w:rsid w:val="00906F33"/>
    <w:rsid w:val="00911BE5"/>
    <w:rsid w:val="00913CA9"/>
    <w:rsid w:val="009145AE"/>
    <w:rsid w:val="009146CE"/>
    <w:rsid w:val="00914CA7"/>
    <w:rsid w:val="00915C3E"/>
    <w:rsid w:val="009161A8"/>
    <w:rsid w:val="009245AE"/>
    <w:rsid w:val="009245F5"/>
    <w:rsid w:val="009249EC"/>
    <w:rsid w:val="009273B3"/>
    <w:rsid w:val="009305B5"/>
    <w:rsid w:val="009324C5"/>
    <w:rsid w:val="009378DD"/>
    <w:rsid w:val="009429D5"/>
    <w:rsid w:val="00942BF1"/>
    <w:rsid w:val="00945180"/>
    <w:rsid w:val="00945428"/>
    <w:rsid w:val="0094607B"/>
    <w:rsid w:val="00951A30"/>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AB5"/>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8FE"/>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4"/>
    <w:rsid w:val="00A3597D"/>
    <w:rsid w:val="00A36DD1"/>
    <w:rsid w:val="00A3791D"/>
    <w:rsid w:val="00A4006C"/>
    <w:rsid w:val="00A40091"/>
    <w:rsid w:val="00A4030F"/>
    <w:rsid w:val="00A41C79"/>
    <w:rsid w:val="00A41CB5"/>
    <w:rsid w:val="00A4237C"/>
    <w:rsid w:val="00A42CDF"/>
    <w:rsid w:val="00A43D5C"/>
    <w:rsid w:val="00A4452E"/>
    <w:rsid w:val="00A4472C"/>
    <w:rsid w:val="00A44E69"/>
    <w:rsid w:val="00A4661E"/>
    <w:rsid w:val="00A52512"/>
    <w:rsid w:val="00A55BD6"/>
    <w:rsid w:val="00A55D50"/>
    <w:rsid w:val="00A57142"/>
    <w:rsid w:val="00A648CD"/>
    <w:rsid w:val="00A6537A"/>
    <w:rsid w:val="00A67001"/>
    <w:rsid w:val="00A67866"/>
    <w:rsid w:val="00A70B07"/>
    <w:rsid w:val="00A723F8"/>
    <w:rsid w:val="00A77CCB"/>
    <w:rsid w:val="00A83D8D"/>
    <w:rsid w:val="00A8446B"/>
    <w:rsid w:val="00A8473F"/>
    <w:rsid w:val="00A862D6"/>
    <w:rsid w:val="00A8715E"/>
    <w:rsid w:val="00A9295B"/>
    <w:rsid w:val="00A93B09"/>
    <w:rsid w:val="00A93DB5"/>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14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973"/>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5A8"/>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388"/>
    <w:rsid w:val="00BD5AD2"/>
    <w:rsid w:val="00BE22F3"/>
    <w:rsid w:val="00BE493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CFD"/>
    <w:rsid w:val="00C80CB8"/>
    <w:rsid w:val="00C819F8"/>
    <w:rsid w:val="00C8248C"/>
    <w:rsid w:val="00C84E33"/>
    <w:rsid w:val="00C86D6F"/>
    <w:rsid w:val="00C905FC"/>
    <w:rsid w:val="00C92D03"/>
    <w:rsid w:val="00C9319C"/>
    <w:rsid w:val="00C9435D"/>
    <w:rsid w:val="00C94DF2"/>
    <w:rsid w:val="00C96741"/>
    <w:rsid w:val="00CA29B0"/>
    <w:rsid w:val="00CA2D1B"/>
    <w:rsid w:val="00CA375D"/>
    <w:rsid w:val="00CA4FAC"/>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6E7"/>
    <w:rsid w:val="00CF048A"/>
    <w:rsid w:val="00CF155A"/>
    <w:rsid w:val="00CF2947"/>
    <w:rsid w:val="00CF6690"/>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526"/>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0CF5"/>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050"/>
    <w:rsid w:val="00DE0A4B"/>
    <w:rsid w:val="00DE2410"/>
    <w:rsid w:val="00DE2939"/>
    <w:rsid w:val="00DE6E81"/>
    <w:rsid w:val="00DE703F"/>
    <w:rsid w:val="00DE7595"/>
    <w:rsid w:val="00DF1961"/>
    <w:rsid w:val="00DF2E68"/>
    <w:rsid w:val="00DF30D5"/>
    <w:rsid w:val="00DF44DE"/>
    <w:rsid w:val="00E01138"/>
    <w:rsid w:val="00E02DFB"/>
    <w:rsid w:val="00E030F9"/>
    <w:rsid w:val="00E0311A"/>
    <w:rsid w:val="00E03138"/>
    <w:rsid w:val="00E06404"/>
    <w:rsid w:val="00E11A85"/>
    <w:rsid w:val="00E11AEA"/>
    <w:rsid w:val="00E12495"/>
    <w:rsid w:val="00E15CCD"/>
    <w:rsid w:val="00E202EF"/>
    <w:rsid w:val="00E210B5"/>
    <w:rsid w:val="00E2552F"/>
    <w:rsid w:val="00E3137A"/>
    <w:rsid w:val="00E32CCF"/>
    <w:rsid w:val="00E34A98"/>
    <w:rsid w:val="00E35D1E"/>
    <w:rsid w:val="00E364F9"/>
    <w:rsid w:val="00E365FA"/>
    <w:rsid w:val="00E36789"/>
    <w:rsid w:val="00E367FC"/>
    <w:rsid w:val="00E3783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926"/>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5E3"/>
    <w:rsid w:val="00EA58D1"/>
    <w:rsid w:val="00EA61BC"/>
    <w:rsid w:val="00EA681A"/>
    <w:rsid w:val="00EA735B"/>
    <w:rsid w:val="00EB1E69"/>
    <w:rsid w:val="00EB2086"/>
    <w:rsid w:val="00EB31ED"/>
    <w:rsid w:val="00EB5EDF"/>
    <w:rsid w:val="00EB60FE"/>
    <w:rsid w:val="00EB74DB"/>
    <w:rsid w:val="00EC5359"/>
    <w:rsid w:val="00EC562A"/>
    <w:rsid w:val="00ED067A"/>
    <w:rsid w:val="00ED0DA4"/>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6E40"/>
    <w:rsid w:val="00F474D0"/>
    <w:rsid w:val="00F50179"/>
    <w:rsid w:val="00F515EE"/>
    <w:rsid w:val="00F52016"/>
    <w:rsid w:val="00F56511"/>
    <w:rsid w:val="00F6194E"/>
    <w:rsid w:val="00F623AC"/>
    <w:rsid w:val="00F6412A"/>
    <w:rsid w:val="00F65893"/>
    <w:rsid w:val="00F66A4A"/>
    <w:rsid w:val="00F71E22"/>
    <w:rsid w:val="00F72142"/>
    <w:rsid w:val="00F72AE7"/>
    <w:rsid w:val="00F81BA9"/>
    <w:rsid w:val="00F833BA"/>
    <w:rsid w:val="00F84FD0"/>
    <w:rsid w:val="00F859A8"/>
    <w:rsid w:val="00F86D87"/>
    <w:rsid w:val="00F90390"/>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EE9"/>
    <w:rsid w:val="00FC17B7"/>
    <w:rsid w:val="00FC2CB7"/>
    <w:rsid w:val="00FC4090"/>
    <w:rsid w:val="00FC55B4"/>
    <w:rsid w:val="00FD00E6"/>
    <w:rsid w:val="00FD09A1"/>
    <w:rsid w:val="00FD2A7C"/>
    <w:rsid w:val="00FD59EB"/>
    <w:rsid w:val="00FD7299"/>
    <w:rsid w:val="00FE0482"/>
    <w:rsid w:val="00FE1FBE"/>
    <w:rsid w:val="00FE3901"/>
    <w:rsid w:val="00FE39D3"/>
    <w:rsid w:val="00FE4BCE"/>
    <w:rsid w:val="00FE54AE"/>
    <w:rsid w:val="00FE576A"/>
    <w:rsid w:val="00FE7E79"/>
    <w:rsid w:val="00FF3E7D"/>
    <w:rsid w:val="00FF5B99"/>
    <w:rsid w:val="00FF730C"/>
    <w:rsid w:val="00FF73F4"/>
    <w:rsid w:val="00FF7CE4"/>
    <w:rsid w:val="00FF7E39"/>
    <w:rsid w:val="09772BD9"/>
    <w:rsid w:val="2DC518B5"/>
    <w:rsid w:val="64836F69"/>
    <w:rsid w:val="730B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1C62B38A9047C59F5189D7D13D3965"/>
        <w:style w:val=""/>
        <w:category>
          <w:name w:val="常规"/>
          <w:gallery w:val="placeholder"/>
        </w:category>
        <w:types>
          <w:type w:val="bbPlcHdr"/>
        </w:types>
        <w:behaviors>
          <w:behavior w:val="content"/>
        </w:behaviors>
        <w:description w:val=""/>
        <w:guid w:val="{3A321B54-9031-41C5-833B-E1BEA62F52EF}"/>
      </w:docPartPr>
      <w:docPartBody>
        <w:p w14:paraId="49D7E50D">
          <w:pPr>
            <w:pStyle w:val="5"/>
            <w:rPr>
              <w:rFonts w:hint="eastAsia"/>
            </w:rPr>
          </w:pPr>
          <w:r>
            <w:rPr>
              <w:rStyle w:val="4"/>
              <w:rFonts w:hint="eastAsia"/>
            </w:rPr>
            <w:t>单击或点击此处输入文字。</w:t>
          </w:r>
        </w:p>
      </w:docPartBody>
    </w:docPart>
    <w:docPart>
      <w:docPartPr>
        <w:name w:val="8C2C963BD5CE4B0AB6D1FC20E1836C54"/>
        <w:style w:val=""/>
        <w:category>
          <w:name w:val="常规"/>
          <w:gallery w:val="placeholder"/>
        </w:category>
        <w:types>
          <w:type w:val="bbPlcHdr"/>
        </w:types>
        <w:behaviors>
          <w:behavior w:val="content"/>
        </w:behaviors>
        <w:description w:val=""/>
        <w:guid w:val="{A1D4697B-DC09-4497-9C7C-0046862A1D05}"/>
      </w:docPartPr>
      <w:docPartBody>
        <w:p w14:paraId="574B5EBC">
          <w:pPr>
            <w:pStyle w:val="6"/>
            <w:rPr>
              <w:rFonts w:hint="eastAsia"/>
            </w:rPr>
          </w:pPr>
          <w:r>
            <w:rPr>
              <w:rStyle w:val="4"/>
              <w:rFonts w:hint="eastAsia"/>
            </w:rPr>
            <w:t>选择一项。</w:t>
          </w:r>
        </w:p>
      </w:docPartBody>
    </w:docPart>
    <w:docPart>
      <w:docPartPr>
        <w:name w:val="93BB6EF5A8FC473CA181FE2053DB764D"/>
        <w:style w:val=""/>
        <w:category>
          <w:name w:val="常规"/>
          <w:gallery w:val="placeholder"/>
        </w:category>
        <w:types>
          <w:type w:val="bbPlcHdr"/>
        </w:types>
        <w:behaviors>
          <w:behavior w:val="content"/>
        </w:behaviors>
        <w:description w:val=""/>
        <w:guid w:val="{3FD52C2D-46AB-4A80-8ECB-51662A1DEDCD}"/>
      </w:docPartPr>
      <w:docPartBody>
        <w:p w14:paraId="41848F49">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58"/>
    <w:rsid w:val="00033C17"/>
    <w:rsid w:val="00093F7E"/>
    <w:rsid w:val="001716C0"/>
    <w:rsid w:val="00422319"/>
    <w:rsid w:val="004739D9"/>
    <w:rsid w:val="009543CD"/>
    <w:rsid w:val="00A00558"/>
    <w:rsid w:val="00A3791D"/>
    <w:rsid w:val="00AD2DA3"/>
    <w:rsid w:val="00AF10D8"/>
    <w:rsid w:val="00E367FC"/>
    <w:rsid w:val="00F46E40"/>
    <w:rsid w:val="00F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A1C62B38A9047C59F5189D7D13D396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C2C963BD5CE4B0AB6D1FC20E1836C5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3BB6EF5A8FC473CA181FE2053DB764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9413</Words>
  <Characters>9892</Characters>
  <Lines>79</Lines>
  <Paragraphs>22</Paragraphs>
  <TotalTime>1575</TotalTime>
  <ScaleCrop>false</ScaleCrop>
  <LinksUpToDate>false</LinksUpToDate>
  <CharactersWithSpaces>9981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2026-03-27T08:40:00Z</dcterms:created>
  <dc:creator>Administrator</dc:creator>
  <dc:description>&lt;config cover="true" show_menu="true" version="1.0.0" doctype="SDKXY"&gt;_x000d_
&lt;/config&gt;</dc:description>
  <cp:lastModifiedBy>Shimmer</cp:lastModifiedBy>
  <cp:lastPrinted>2021-02-02T08:22:00Z</cp:lastPrinted>
  <dcterms:modified xsi:type="dcterms:W3CDTF">2026-04-13T03:20:50Z</dcterms:modified>
  <dc:title>团体标准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eyJoZGlkIjoiZmI4NzA3YWJkZTNiMTc3NTMxNjg2NjdhMzlhNTVhYjgiLCJ1c2VySWQiOiIxNjEyNTI2NzM3In0=</vt:lpwstr>
  </property>
  <property fmtid="{D5CDD505-2E9C-101B-9397-08002B2CF9AE}" pid="15" name="KSOProductBuildVer">
    <vt:lpwstr>2052-12.1.0.25225</vt:lpwstr>
  </property>
  <property fmtid="{D5CDD505-2E9C-101B-9397-08002B2CF9AE}" pid="16" name="ICV">
    <vt:lpwstr>BB888D77738B4B34A74A05FFDCED13A2_12</vt:lpwstr>
  </property>
</Properties>
</file>