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2E3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B6C4FE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542E8A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03.120.10</w:t>
            </w:r>
            <w:r>
              <w:rPr>
                <w:rFonts w:ascii="黑体" w:hAnsi="黑体" w:eastAsia="黑体"/>
                <w:sz w:val="21"/>
                <w:szCs w:val="21"/>
              </w:rPr>
              <w:fldChar w:fldCharType="end"/>
            </w:r>
            <w:bookmarkEnd w:id="0"/>
          </w:p>
        </w:tc>
      </w:tr>
      <w:tr w14:paraId="5036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13802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FE116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D27833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WDPA"/>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CWDPA</w:t>
                  </w:r>
                  <w:r>
                    <w:rPr>
                      <w:rFonts w:ascii="Times New Roman" w:hAnsi="Times New Roman" w:eastAsia="宋体" w:cs="Times New Roman"/>
                      <w:b/>
                      <w:w w:val="130"/>
                      <w:sz w:val="96"/>
                      <w:lang w:val="en-US" w:eastAsia="zh-CN" w:bidi="ar-SA"/>
                    </w:rPr>
                    <w:fldChar w:fldCharType="end"/>
                  </w:r>
                  <w:bookmarkEnd w:id="1"/>
                </w:p>
              </w:tc>
            </w:tr>
          </w:tbl>
          <w:p w14:paraId="091A478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00</w:t>
            </w:r>
            <w:r>
              <w:rPr>
                <w:rFonts w:ascii="黑体" w:hAnsi="黑体" w:eastAsia="黑体"/>
                <w:sz w:val="21"/>
                <w:szCs w:val="21"/>
              </w:rPr>
              <w:fldChar w:fldCharType="end"/>
            </w:r>
            <w:bookmarkEnd w:id="2"/>
          </w:p>
        </w:tc>
      </w:tr>
    </w:tbl>
    <w:p w14:paraId="63B93876">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3B7FC21">
      <w:pPr>
        <w:pStyle w:val="195"/>
        <w:framePr/>
      </w:pPr>
      <w:r>
        <w:t>T/</w:t>
      </w:r>
      <w:bookmarkStart w:id="4"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2026</w:t>
      </w:r>
      <w:r>
        <w:fldChar w:fldCharType="end"/>
      </w:r>
      <w:bookmarkEnd w:id="6"/>
    </w:p>
    <w:p w14:paraId="54506217">
      <w:pPr>
        <w:pStyle w:val="196"/>
        <w:framePr/>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ACFFFF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89BB15A">
      <w:pPr>
        <w:pStyle w:val="50"/>
        <w:framePr w:w="9639" w:h="6976" w:hRule="exact" w:hSpace="0" w:vSpace="0" w:wrap="around" w:hAnchor="page" w:y="6408"/>
        <w:jc w:val="center"/>
        <w:rPr>
          <w:rFonts w:hint="eastAsia" w:ascii="黑体" w:hAnsi="黑体" w:eastAsia="黑体"/>
          <w:b w:val="0"/>
          <w:bCs w:val="0"/>
          <w:w w:val="100"/>
        </w:rPr>
      </w:pPr>
    </w:p>
    <w:p w14:paraId="57EF7E8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机电特种设备制造安装质量管理规范</w:t>
      </w:r>
      <w:r>
        <w:fldChar w:fldCharType="end"/>
      </w:r>
      <w:bookmarkEnd w:id="8"/>
    </w:p>
    <w:p w14:paraId="19D59055">
      <w:pPr>
        <w:framePr w:w="9639" w:h="6974" w:hRule="exact" w:wrap="around" w:vAnchor="page" w:hAnchor="page" w:x="1419" w:y="6408" w:anchorLock="1"/>
        <w:ind w:left="-1418"/>
      </w:pPr>
    </w:p>
    <w:p w14:paraId="310EC27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Quality management specifications for manufacturing and installation of electromechanical special equipment</w:t>
      </w:r>
      <w:r>
        <w:rPr>
          <w:rFonts w:eastAsia="黑体"/>
          <w:szCs w:val="28"/>
        </w:rPr>
        <w:fldChar w:fldCharType="end"/>
      </w:r>
      <w:bookmarkEnd w:id="9"/>
    </w:p>
    <w:p w14:paraId="15DFE737">
      <w:pPr>
        <w:pStyle w:val="125"/>
        <w:framePr w:w="9639" w:h="6974" w:hRule="exact" w:wrap="around" w:vAnchor="page" w:hAnchor="page" w:x="1419" w:y="6408" w:anchorLock="1"/>
        <w:pBdr>
          <w:top w:val="none" w:sz="0" w:space="0"/>
          <w:left w:val="none" w:sz="0" w:space="0"/>
          <w:bottom w:val="none" w:sz="0" w:space="0"/>
          <w:right w:val="none" w:sz="0" w:space="0"/>
        </w:pBdr>
        <w:textAlignment w:val="bottom"/>
        <w:rPr>
          <w:rFonts w:hint="eastAsia"/>
          <w:lang w:eastAsia="zh-CN"/>
        </w:rPr>
      </w:pPr>
      <w:r>
        <w:rPr>
          <w:rFonts w:hint="eastAsia"/>
          <w:lang w:eastAsia="zh-CN"/>
        </w:rPr>
        <w:tab/>
      </w:r>
    </w:p>
    <w:p w14:paraId="22C5A416">
      <w:pPr>
        <w:pStyle w:val="125"/>
        <w:framePr w:w="9639" w:h="6974" w:hRule="exact" w:wrap="around" w:vAnchor="page" w:hAnchor="page" w:x="1419" w:y="6408" w:anchorLock="1"/>
        <w:pBdr>
          <w:top w:val="none" w:sz="0" w:space="0"/>
          <w:left w:val="none" w:sz="0" w:space="0"/>
          <w:bottom w:val="none" w:sz="0" w:space="0"/>
          <w:right w:val="none" w:sz="0" w:space="0"/>
        </w:pBdr>
        <w:textAlignment w:val="bottom"/>
        <w:rPr>
          <w:rFonts w:hint="eastAsia"/>
          <w:lang w:eastAsia="zh-CN"/>
        </w:rPr>
      </w:pPr>
    </w:p>
    <w:p w14:paraId="778E1CA9">
      <w:pPr>
        <w:pStyle w:val="125"/>
        <w:framePr w:w="9639" w:h="6974" w:hRule="exact" w:wrap="around" w:vAnchor="page" w:hAnchor="page" w:x="1419" w:y="6408" w:anchorLock="1"/>
        <w:pBdr>
          <w:top w:val="none" w:sz="0" w:space="0"/>
          <w:left w:val="none" w:sz="0" w:space="0"/>
          <w:bottom w:val="none" w:sz="0" w:space="0"/>
          <w:right w:val="none" w:sz="0" w:space="0"/>
        </w:pBdr>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1721E23">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580F8313">
      <w:pPr>
        <w:pStyle w:val="125"/>
        <w:framePr w:w="9639" w:h="6974" w:hRule="exact" w:wrap="around" w:vAnchor="page" w:hAnchor="page" w:x="1419" w:y="6408" w:anchorLock="1"/>
        <w:pBdr>
          <w:top w:val="none" w:sz="0" w:space="0"/>
          <w:left w:val="none" w:sz="0" w:space="0"/>
          <w:bottom w:val="none" w:sz="0" w:space="0"/>
          <w:right w:val="none" w:sz="0" w:space="0"/>
        </w:pBdr>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1E7BEBD6">
      <w:pPr>
        <w:framePr w:w="9639" w:h="6974" w:hRule="exact" w:wrap="around" w:vAnchor="page" w:hAnchor="page" w:x="1419" w:y="6408" w:anchorLock="1"/>
        <w:tabs>
          <w:tab w:val="left" w:pos="4964"/>
        </w:tabs>
        <w:spacing w:line="760" w:lineRule="exact"/>
        <w:ind w:left="-1418"/>
        <w:rPr>
          <w:rFonts w:hint="eastAsia" w:eastAsia="宋体"/>
          <w:lang w:eastAsia="zh-CN"/>
        </w:rPr>
      </w:pPr>
    </w:p>
    <w:p w14:paraId="19055844">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7D17DB0D">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173B8453">
      <w:pPr>
        <w:pStyle w:val="151"/>
        <w:framePr w:h="584" w:hRule="exact" w:hSpace="181" w:vSpace="181" w:wrap="around" w:y="14800"/>
        <w:rPr>
          <w:rFonts w:hint="eastAsia" w:hAnsi="黑体"/>
        </w:rPr>
      </w:pPr>
      <w:bookmarkStart w:id="19" w:name="fm"/>
      <w:r>
        <w:rPr>
          <w:rFonts w:ascii="黑体" w:hAnsi="黑体" w:eastAsia="黑体" w:cs="Times New Roman"/>
          <w:b w:val="0"/>
          <w:w w:val="100"/>
          <w:sz w:val="28"/>
          <w:lang w:val="en-US" w:eastAsia="zh-CN" w:bidi="ar-SA"/>
        </w:rPr>
        <w:fldChar w:fldCharType="begin">
          <w:ffData>
            <w:name w:val="fm"/>
            <w:enabled/>
            <w:calcOnExit w:val="0"/>
            <w:textInput>
              <w:default w:val="中国西部开发促进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中国西部开发促进会</w:t>
      </w:r>
      <w:r>
        <w:rPr>
          <w:rFonts w:ascii="黑体" w:hAnsi="黑体" w:eastAsia="黑体" w:cs="Times New Roman"/>
          <w:b w:val="0"/>
          <w:w w:val="100"/>
          <w:sz w:val="28"/>
          <w:lang w:val="en-US" w:eastAsia="zh-CN" w:bidi="ar-SA"/>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1502EB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8D2B75D">
      <w:pPr>
        <w:pStyle w:val="91"/>
        <w:spacing w:after="360"/>
        <w:rPr>
          <w:rFonts w:hint="eastAsia"/>
        </w:rPr>
      </w:pPr>
      <w:bookmarkStart w:id="20" w:name="BookMark1"/>
      <w:bookmarkStart w:id="21" w:name="_Toc226634921"/>
      <w:bookmarkStart w:id="22" w:name="_Toc226634876"/>
      <w:r>
        <w:rPr>
          <w:rFonts w:hint="eastAsia"/>
          <w:spacing w:val="320"/>
        </w:rPr>
        <w:t>目</w:t>
      </w:r>
      <w:r>
        <w:rPr>
          <w:rFonts w:hint="eastAsia"/>
        </w:rPr>
        <w:t>次</w:t>
      </w:r>
    </w:p>
    <w:p w14:paraId="304E669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"_Toc226967020"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_Toc226967020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AC332D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_Toc226967021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D82E0A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_Toc226967022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0F0A85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_Toc226967023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B76739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"_Toc226967024"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_Toc226967024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A3C150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"_Toc226967025" </w:instrText>
      </w:r>
      <w:r>
        <w:fldChar w:fldCharType="separate"/>
      </w:r>
      <w:r>
        <w:rPr>
          <w:rStyle w:val="32"/>
          <w:rFonts w:hint="eastAsia"/>
        </w:rPr>
        <w:t>5</w:t>
      </w:r>
      <w:r>
        <w:rPr>
          <w:rStyle w:val="32"/>
        </w:rPr>
        <w:t xml:space="preserve"> </w:t>
      </w:r>
      <w:r>
        <w:rPr>
          <w:rStyle w:val="32"/>
          <w:rFonts w:hint="eastAsia"/>
        </w:rPr>
        <w:t xml:space="preserve"> 质量管理体系要求</w:t>
      </w:r>
      <w:r>
        <w:rPr>
          <w:rFonts w:hint="eastAsia"/>
        </w:rPr>
        <w:tab/>
      </w:r>
      <w:r>
        <w:rPr>
          <w:rFonts w:hint="eastAsia"/>
        </w:rPr>
        <w:fldChar w:fldCharType="begin"/>
      </w:r>
      <w:r>
        <w:rPr>
          <w:rFonts w:hint="eastAsia"/>
        </w:rPr>
        <w:instrText xml:space="preserve"> </w:instrText>
      </w:r>
      <w:r>
        <w:instrText xml:space="preserve">PAGEREF _Toc226967025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DFEC25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"_Toc226967026" </w:instrText>
      </w:r>
      <w:r>
        <w:fldChar w:fldCharType="separate"/>
      </w:r>
      <w:r>
        <w:rPr>
          <w:rStyle w:val="32"/>
          <w:rFonts w:hint="eastAsia"/>
        </w:rPr>
        <w:t>6</w:t>
      </w:r>
      <w:r>
        <w:rPr>
          <w:rStyle w:val="32"/>
        </w:rPr>
        <w:t xml:space="preserve"> </w:t>
      </w:r>
      <w:r>
        <w:rPr>
          <w:rStyle w:val="32"/>
          <w:rFonts w:hint="eastAsia"/>
        </w:rPr>
        <w:t xml:space="preserve"> 制造过程质量控制</w:t>
      </w:r>
      <w:r>
        <w:rPr>
          <w:rFonts w:hint="eastAsia"/>
        </w:rPr>
        <w:tab/>
      </w:r>
      <w:r>
        <w:rPr>
          <w:rFonts w:hint="eastAsia"/>
        </w:rPr>
        <w:fldChar w:fldCharType="begin"/>
      </w:r>
      <w:r>
        <w:rPr>
          <w:rFonts w:hint="eastAsia"/>
        </w:rPr>
        <w:instrText xml:space="preserve"> </w:instrText>
      </w:r>
      <w:r>
        <w:instrText xml:space="preserve">PAGEREF _Toc226967026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171A06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"_Toc226967027" </w:instrText>
      </w:r>
      <w:r>
        <w:fldChar w:fldCharType="separate"/>
      </w:r>
      <w:r>
        <w:rPr>
          <w:rStyle w:val="32"/>
          <w:rFonts w:hint="eastAsia"/>
        </w:rPr>
        <w:t>7</w:t>
      </w:r>
      <w:r>
        <w:rPr>
          <w:rStyle w:val="32"/>
        </w:rPr>
        <w:t xml:space="preserve"> </w:t>
      </w:r>
      <w:r>
        <w:rPr>
          <w:rStyle w:val="32"/>
          <w:rFonts w:hint="eastAsia"/>
        </w:rPr>
        <w:t xml:space="preserve"> 安装过程质量控制</w:t>
      </w:r>
      <w:r>
        <w:rPr>
          <w:rFonts w:hint="eastAsia"/>
        </w:rPr>
        <w:tab/>
      </w:r>
      <w:r>
        <w:rPr>
          <w:rFonts w:hint="eastAsia"/>
        </w:rPr>
        <w:fldChar w:fldCharType="begin"/>
      </w:r>
      <w:r>
        <w:rPr>
          <w:rFonts w:hint="eastAsia"/>
        </w:rPr>
        <w:instrText xml:space="preserve"> </w:instrText>
      </w:r>
      <w:r>
        <w:instrText xml:space="preserve">PAGEREF _Toc226967027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F23566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"_Toc226967028" </w:instrText>
      </w:r>
      <w:r>
        <w:fldChar w:fldCharType="separate"/>
      </w:r>
      <w:r>
        <w:rPr>
          <w:rStyle w:val="32"/>
          <w:rFonts w:hint="eastAsia"/>
        </w:rPr>
        <w:t>8</w:t>
      </w:r>
      <w:r>
        <w:rPr>
          <w:rStyle w:val="32"/>
        </w:rPr>
        <w:t xml:space="preserve"> </w:t>
      </w:r>
      <w:r>
        <w:rPr>
          <w:rStyle w:val="32"/>
          <w:rFonts w:hint="eastAsia"/>
        </w:rPr>
        <w:t xml:space="preserve"> 检验与试验</w:t>
      </w:r>
      <w:r>
        <w:rPr>
          <w:rFonts w:hint="eastAsia"/>
        </w:rPr>
        <w:tab/>
      </w:r>
      <w:r>
        <w:rPr>
          <w:rFonts w:hint="eastAsia"/>
        </w:rPr>
        <w:fldChar w:fldCharType="begin"/>
      </w:r>
      <w:r>
        <w:rPr>
          <w:rFonts w:hint="eastAsia"/>
        </w:rPr>
        <w:instrText xml:space="preserve"> </w:instrText>
      </w:r>
      <w:r>
        <w:instrText xml:space="preserve">PAGEREF _Toc226967028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9B57B3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"_Toc226967029" </w:instrText>
      </w:r>
      <w:r>
        <w:fldChar w:fldCharType="separate"/>
      </w:r>
      <w:r>
        <w:rPr>
          <w:rStyle w:val="32"/>
          <w:rFonts w:hint="eastAsia"/>
        </w:rPr>
        <w:t>9</w:t>
      </w:r>
      <w:r>
        <w:rPr>
          <w:rStyle w:val="32"/>
        </w:rPr>
        <w:t xml:space="preserve"> </w:t>
      </w:r>
      <w:r>
        <w:rPr>
          <w:rStyle w:val="32"/>
          <w:rFonts w:hint="eastAsia"/>
        </w:rPr>
        <w:t xml:space="preserve"> 文件与记录管理</w:t>
      </w:r>
      <w:r>
        <w:rPr>
          <w:rFonts w:hint="eastAsia"/>
        </w:rPr>
        <w:tab/>
      </w:r>
      <w:r>
        <w:rPr>
          <w:rFonts w:hint="eastAsia"/>
        </w:rPr>
        <w:fldChar w:fldCharType="begin"/>
      </w:r>
      <w:r>
        <w:rPr>
          <w:rFonts w:hint="eastAsia"/>
        </w:rPr>
        <w:instrText xml:space="preserve"> </w:instrText>
      </w:r>
      <w:r>
        <w:instrText xml:space="preserve">PAGEREF _Toc226967029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245AF3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"_Toc226967030" </w:instrText>
      </w:r>
      <w:r>
        <w:fldChar w:fldCharType="separate"/>
      </w:r>
      <w:r>
        <w:rPr>
          <w:rStyle w:val="32"/>
          <w:rFonts w:hint="eastAsia"/>
        </w:rPr>
        <w:t>10</w:t>
      </w:r>
      <w:r>
        <w:rPr>
          <w:rStyle w:val="32"/>
        </w:rPr>
        <w:t xml:space="preserve"> </w:t>
      </w:r>
      <w:r>
        <w:rPr>
          <w:rStyle w:val="32"/>
          <w:rFonts w:hint="eastAsia"/>
        </w:rPr>
        <w:t xml:space="preserve"> 持续改进</w:t>
      </w:r>
      <w:r>
        <w:rPr>
          <w:rFonts w:hint="eastAsia"/>
        </w:rPr>
        <w:tab/>
      </w:r>
      <w:r>
        <w:rPr>
          <w:rFonts w:hint="eastAsia"/>
        </w:rPr>
        <w:fldChar w:fldCharType="begin"/>
      </w:r>
      <w:r>
        <w:rPr>
          <w:rFonts w:hint="eastAsia"/>
        </w:rPr>
        <w:instrText xml:space="preserve"> </w:instrText>
      </w:r>
      <w:r>
        <w:instrText xml:space="preserve">PAGEREF _Toc226967030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660E6C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"_Toc226967031" </w:instrText>
      </w:r>
      <w:r>
        <w:fldChar w:fldCharType="separate"/>
      </w:r>
      <w:r>
        <w:rPr>
          <w:rStyle w:val="32"/>
          <w:rFonts w:hint="eastAsia"/>
        </w:rPr>
        <w:t>附录A（规范性）</w:t>
      </w:r>
      <w:r>
        <w:rPr>
          <w:rStyle w:val="32"/>
        </w:rPr>
        <w:t xml:space="preserve"> </w:t>
      </w:r>
      <w:r>
        <w:rPr>
          <w:rStyle w:val="32"/>
          <w:rFonts w:hint="eastAsia"/>
        </w:rPr>
        <w:t xml:space="preserve"> 质量计划编制要求</w:t>
      </w:r>
      <w:r>
        <w:rPr>
          <w:rFonts w:hint="eastAsia"/>
        </w:rPr>
        <w:tab/>
      </w:r>
      <w:r>
        <w:rPr>
          <w:rFonts w:hint="eastAsia"/>
        </w:rPr>
        <w:fldChar w:fldCharType="begin"/>
      </w:r>
      <w:r>
        <w:rPr>
          <w:rFonts w:hint="eastAsia"/>
        </w:rPr>
        <w:instrText xml:space="preserve"> </w:instrText>
      </w:r>
      <w:r>
        <w:instrText xml:space="preserve">PAGEREF _Toc226967031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E82CA9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"_Toc226967032" </w:instrText>
      </w:r>
      <w:r>
        <w:fldChar w:fldCharType="separate"/>
      </w:r>
      <w:r>
        <w:rPr>
          <w:rStyle w:val="32"/>
          <w:rFonts w:hint="eastAsia"/>
        </w:rPr>
        <w:t>附录B（资料性）</w:t>
      </w:r>
      <w:r>
        <w:rPr>
          <w:rStyle w:val="32"/>
        </w:rPr>
        <w:t xml:space="preserve"> </w:t>
      </w:r>
      <w:r>
        <w:rPr>
          <w:rStyle w:val="32"/>
          <w:rFonts w:hint="eastAsia"/>
        </w:rPr>
        <w:t xml:space="preserve"> 质量检查记录表格模板</w:t>
      </w:r>
      <w:r>
        <w:rPr>
          <w:rFonts w:hint="eastAsia"/>
        </w:rPr>
        <w:tab/>
      </w:r>
      <w:r>
        <w:rPr>
          <w:rFonts w:hint="eastAsia"/>
        </w:rPr>
        <w:fldChar w:fldCharType="begin"/>
      </w:r>
      <w:r>
        <w:rPr>
          <w:rFonts w:hint="eastAsia"/>
        </w:rPr>
        <w:instrText xml:space="preserve"> </w:instrText>
      </w:r>
      <w:r>
        <w:instrText xml:space="preserve">PAGEREF _Toc226967032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91E838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521B1E46">
      <w:pPr>
        <w:pStyle w:val="89"/>
        <w:spacing w:before="900" w:after="360"/>
      </w:pPr>
      <w:bookmarkStart w:id="23" w:name="BookMark2"/>
      <w:bookmarkStart w:id="24" w:name="_Toc226967020"/>
      <w:r>
        <w:rPr>
          <w:rFonts w:hint="eastAsia"/>
          <w:spacing w:val="320"/>
        </w:rPr>
        <w:t>前</w:t>
      </w:r>
      <w:r>
        <w:rPr>
          <w:rFonts w:hint="eastAsia"/>
        </w:rPr>
        <w:t>言</w:t>
      </w:r>
      <w:bookmarkEnd w:id="21"/>
      <w:bookmarkEnd w:id="22"/>
      <w:bookmarkEnd w:id="23"/>
      <w:bookmarkEnd w:id="24"/>
    </w:p>
    <w:p w14:paraId="462D7767">
      <w:pPr>
        <w:pStyle w:val="56"/>
        <w:ind w:firstLine="420"/>
        <w:rPr>
          <w:rFonts w:hint="eastAsia"/>
        </w:rPr>
      </w:pPr>
      <w:r>
        <w:rPr>
          <w:rFonts w:hint="eastAsia"/>
        </w:rPr>
        <w:t>本文件按照GB/T 1.1—2020《标准化工作导则  第1部分：标准化文件的结构和起草规则》的规定起草。</w:t>
      </w:r>
    </w:p>
    <w:p w14:paraId="594A72F3">
      <w:pPr>
        <w:pStyle w:val="56"/>
        <w:ind w:firstLine="420"/>
        <w:rPr>
          <w:rFonts w:hint="eastAsia"/>
        </w:rPr>
      </w:pPr>
      <w:r>
        <w:rPr>
          <w:rFonts w:hint="eastAsia"/>
        </w:rPr>
        <w:t>请注意本文件的某些内容可能涉及专利。本文件的发布机构不承担识别专利的责任。</w:t>
      </w:r>
    </w:p>
    <w:p w14:paraId="1828A787">
      <w:pPr>
        <w:pStyle w:val="56"/>
        <w:ind w:firstLine="420"/>
        <w:rPr>
          <w:rFonts w:hint="eastAsia"/>
        </w:rPr>
      </w:pPr>
      <w:r>
        <w:rPr>
          <w:rFonts w:hint="eastAsia"/>
        </w:rPr>
        <w:t>本文件由河北省特种设备监督检验研究院（河北省压力管道元件型式试验中心、河北省长管拖车检验中心、河北省劳动防护用品质量监督检验站）提出。</w:t>
      </w:r>
    </w:p>
    <w:p w14:paraId="6AAF91F3">
      <w:pPr>
        <w:pStyle w:val="56"/>
        <w:ind w:firstLine="420"/>
        <w:rPr>
          <w:rFonts w:hint="eastAsia"/>
        </w:rPr>
      </w:pPr>
      <w:r>
        <w:rPr>
          <w:rFonts w:hint="eastAsia"/>
        </w:rPr>
        <w:t>本文件由中国西部开发促进会归口。</w:t>
      </w:r>
      <w:bookmarkStart w:id="84" w:name="_GoBack"/>
      <w:bookmarkEnd w:id="84"/>
    </w:p>
    <w:p w14:paraId="6C7F020C">
      <w:pPr>
        <w:pStyle w:val="56"/>
        <w:ind w:firstLine="420"/>
        <w:rPr>
          <w:rFonts w:hint="eastAsia" w:eastAsia="宋体"/>
          <w:lang w:eastAsia="zh-CN"/>
        </w:rPr>
      </w:pPr>
      <w:r>
        <w:rPr>
          <w:rFonts w:hint="eastAsia"/>
        </w:rPr>
        <w:t>本文件起草单位：河北省特种设备监督检验研究院（河北省压力管道元件型式试验中心、河北省长管拖车检验中心、河北省劳动防护用品质量监督检验站）</w:t>
      </w:r>
      <w:r>
        <w:rPr>
          <w:rFonts w:hint="eastAsia"/>
          <w:lang w:eastAsia="zh-CN"/>
        </w:rPr>
        <w:t>。</w:t>
      </w:r>
    </w:p>
    <w:p w14:paraId="5F7E8057">
      <w:pPr>
        <w:pStyle w:val="56"/>
        <w:ind w:firstLine="420"/>
        <w:rPr>
          <w:rFonts w:hint="eastAsia"/>
        </w:rPr>
      </w:pPr>
      <w:r>
        <w:rPr>
          <w:rFonts w:hint="eastAsia"/>
        </w:rPr>
        <w:t>本文件主要起草人：</w:t>
      </w:r>
    </w:p>
    <w:p w14:paraId="0129AA42">
      <w:pPr>
        <w:pStyle w:val="89"/>
        <w:spacing w:before="900" w:after="360"/>
        <w:sectPr>
          <w:pgSz w:w="11906" w:h="16838"/>
          <w:pgMar w:top="1928" w:right="1134" w:bottom="1134" w:left="1134" w:header="1418" w:footer="1134" w:gutter="284"/>
          <w:pgNumType w:fmt="upperRoman"/>
          <w:cols w:space="425" w:num="1"/>
          <w:formProt w:val="0"/>
          <w:docGrid w:linePitch="312" w:charSpace="0"/>
        </w:sectPr>
      </w:pPr>
    </w:p>
    <w:p w14:paraId="36755987">
      <w:pPr>
        <w:spacing w:line="20" w:lineRule="exact"/>
        <w:jc w:val="center"/>
        <w:rPr>
          <w:rFonts w:hint="eastAsia" w:ascii="黑体" w:hAnsi="黑体" w:eastAsia="黑体"/>
          <w:sz w:val="32"/>
          <w:szCs w:val="32"/>
        </w:rPr>
      </w:pPr>
      <w:bookmarkStart w:id="25" w:name="BookMark4"/>
    </w:p>
    <w:p w14:paraId="4EF868AF">
      <w:pPr>
        <w:spacing w:line="20" w:lineRule="exact"/>
        <w:jc w:val="center"/>
        <w:rPr>
          <w:rFonts w:hint="eastAsia" w:ascii="黑体" w:hAnsi="黑体" w:eastAsia="黑体"/>
          <w:sz w:val="32"/>
          <w:szCs w:val="32"/>
        </w:rPr>
      </w:pPr>
    </w:p>
    <w:sdt>
      <w:sdtPr>
        <w:tag w:val="NEW_STAND_NAME"/>
        <w:id w:val="595910757"/>
        <w:lock w:val="sdtLocked"/>
        <w:placeholder>
          <w:docPart w:val="484AA406CD664F79A5B0FAC3CFF409CC"/>
        </w:placeholder>
      </w:sdtPr>
      <w:sdtContent>
        <w:p w14:paraId="2AD4E24F">
          <w:pPr>
            <w:pStyle w:val="177"/>
            <w:spacing w:before="2" w:beforeLines="1" w:after="528" w:afterLines="220"/>
            <w:rPr>
              <w:rFonts w:hint="eastAsia"/>
            </w:rPr>
          </w:pPr>
          <w:bookmarkStart w:id="26" w:name="NEW_STAND_NAME"/>
          <w:r>
            <w:rPr>
              <w:rFonts w:hint="eastAsia"/>
            </w:rPr>
            <w:t>机电特种设备制造安装质量管理规范</w:t>
          </w:r>
        </w:p>
      </w:sdtContent>
    </w:sdt>
    <w:bookmarkEnd w:id="26"/>
    <w:p w14:paraId="43FAB748">
      <w:pPr>
        <w:pStyle w:val="104"/>
        <w:spacing w:before="240" w:after="240"/>
      </w:pPr>
      <w:bookmarkStart w:id="27" w:name="_Toc226634877"/>
      <w:bookmarkStart w:id="28" w:name="_Toc_tz_01"/>
      <w:bookmarkStart w:id="29" w:name="_Toc226967021"/>
      <w:bookmarkStart w:id="30" w:name="_Toc226634922"/>
      <w:r>
        <w:rPr>
          <w:rFonts w:hint="eastAsia"/>
        </w:rPr>
        <w:t>范围</w:t>
      </w:r>
      <w:bookmarkEnd w:id="27"/>
      <w:bookmarkEnd w:id="28"/>
      <w:bookmarkEnd w:id="29"/>
      <w:bookmarkEnd w:id="30"/>
    </w:p>
    <w:p w14:paraId="0456230C">
      <w:pPr>
        <w:pStyle w:val="56"/>
        <w:ind w:firstLine="420"/>
      </w:pPr>
      <w:r>
        <w:rPr>
          <w:rFonts w:hint="eastAsia"/>
        </w:rPr>
        <w:t>本文件规定了机电特种设备制造与安装活动中的质量管理体系要求、制造过程质量控制、安装过程质量控制、检验与试验、文件与记录管理及持续改进要求。</w:t>
      </w:r>
    </w:p>
    <w:p w14:paraId="778B2752">
      <w:pPr>
        <w:pStyle w:val="56"/>
        <w:ind w:firstLine="420"/>
      </w:pPr>
      <w:r>
        <w:rPr>
          <w:rFonts w:hint="eastAsia"/>
        </w:rPr>
        <w:t>本文件适用于从事机电特种设备（包括起重机械、电梯、大型游乐设施及客运索道等）制造与安装的生产单位，其他类型机电特种设备制造安装单位可参照执行。</w:t>
      </w:r>
    </w:p>
    <w:p w14:paraId="30707C30">
      <w:pPr>
        <w:pStyle w:val="104"/>
        <w:spacing w:before="240" w:after="240"/>
      </w:pPr>
      <w:bookmarkStart w:id="31" w:name="_Toc226634878"/>
      <w:bookmarkStart w:id="32" w:name="_Toc226634923"/>
      <w:bookmarkStart w:id="33" w:name="_Toc_tz_02"/>
      <w:bookmarkStart w:id="34" w:name="_Toc226967022"/>
      <w:r>
        <w:rPr>
          <w:rFonts w:hint="eastAsia"/>
        </w:rPr>
        <w:t>规范性引用文件</w:t>
      </w:r>
      <w:bookmarkEnd w:id="31"/>
      <w:bookmarkEnd w:id="32"/>
      <w:bookmarkEnd w:id="33"/>
      <w:bookmarkEnd w:id="34"/>
    </w:p>
    <w:p w14:paraId="6658F99A">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40471EB">
      <w:pPr>
        <w:pStyle w:val="56"/>
        <w:ind w:firstLine="420"/>
      </w:pPr>
      <w:r>
        <w:rPr>
          <w:rFonts w:hint="eastAsia"/>
        </w:rPr>
        <w:t>GB/T 19000  质量管理体系 基础和术语</w:t>
      </w:r>
    </w:p>
    <w:p w14:paraId="599317C4">
      <w:pPr>
        <w:pStyle w:val="56"/>
        <w:ind w:firstLine="420"/>
      </w:pPr>
      <w:r>
        <w:rPr>
          <w:rFonts w:hint="eastAsia"/>
        </w:rPr>
        <w:t>GB/T 19001  质量管理体系 要求</w:t>
      </w:r>
    </w:p>
    <w:p w14:paraId="7B039A68">
      <w:pPr>
        <w:pStyle w:val="56"/>
        <w:ind w:firstLine="420"/>
      </w:pPr>
      <w:r>
        <w:rPr>
          <w:rFonts w:hint="eastAsia"/>
        </w:rPr>
        <w:t>GB/T 19022  测量管理体系 测量过程和测量设备的要求</w:t>
      </w:r>
    </w:p>
    <w:p w14:paraId="544790AD">
      <w:pPr>
        <w:pStyle w:val="56"/>
        <w:ind w:firstLine="420"/>
      </w:pPr>
      <w:r>
        <w:rPr>
          <w:rFonts w:hint="eastAsia"/>
        </w:rPr>
        <w:t>GB/T 24001  环境管理体系 要求及使用指南</w:t>
      </w:r>
    </w:p>
    <w:p w14:paraId="5886114A">
      <w:pPr>
        <w:pStyle w:val="56"/>
        <w:ind w:firstLine="420"/>
      </w:pPr>
      <w:r>
        <w:rPr>
          <w:rFonts w:hint="eastAsia"/>
        </w:rPr>
        <w:t>TSG 07-2019  特种设备生产和充装单位许可规则</w:t>
      </w:r>
    </w:p>
    <w:p w14:paraId="2A5238EC">
      <w:pPr>
        <w:pStyle w:val="56"/>
        <w:ind w:firstLine="420"/>
      </w:pPr>
      <w:r>
        <w:rPr>
          <w:rFonts w:hint="eastAsia"/>
        </w:rPr>
        <w:t>TSG 51  起重机械安全技术规程</w:t>
      </w:r>
    </w:p>
    <w:p w14:paraId="581E9E70">
      <w:pPr>
        <w:pStyle w:val="104"/>
        <w:spacing w:before="240" w:after="240"/>
      </w:pPr>
      <w:bookmarkStart w:id="35" w:name="_Toc_tz_03"/>
      <w:bookmarkStart w:id="36" w:name="_Toc226634924"/>
      <w:bookmarkStart w:id="37" w:name="_Toc226634879"/>
      <w:bookmarkStart w:id="38" w:name="_Toc226967023"/>
      <w:r>
        <w:rPr>
          <w:rFonts w:hint="eastAsia"/>
        </w:rPr>
        <w:t>术语和定义</w:t>
      </w:r>
      <w:bookmarkEnd w:id="35"/>
      <w:bookmarkEnd w:id="36"/>
      <w:bookmarkEnd w:id="37"/>
      <w:bookmarkEnd w:id="38"/>
    </w:p>
    <w:p w14:paraId="29B111D2">
      <w:pPr>
        <w:pStyle w:val="56"/>
        <w:ind w:firstLine="420"/>
      </w:pPr>
      <w:r>
        <w:rPr>
          <w:rFonts w:hint="eastAsia"/>
        </w:rPr>
        <w:t>GB/T 19000界定的以及下列术语和定义适用于本文件。</w:t>
      </w:r>
    </w:p>
    <w:p w14:paraId="74A2954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机电特种设备　electromechanical special equipment</w:t>
      </w:r>
    </w:p>
    <w:p w14:paraId="1C46C0FB">
      <w:pPr>
        <w:pStyle w:val="56"/>
        <w:ind w:firstLine="420"/>
      </w:pPr>
      <w:r>
        <w:rPr>
          <w:rFonts w:hint="eastAsia"/>
        </w:rPr>
        <w:t>依据《中华人民共和国特种设备安全法》列入特种设备目录、以机电为主要工作方式的设备，包括起重机械、电梯、大型游乐设施和客运索道等，本文件简称“特种设备”。</w:t>
      </w:r>
    </w:p>
    <w:p w14:paraId="6166298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制造过程　manufacturing process</w:t>
      </w:r>
    </w:p>
    <w:p w14:paraId="27544A22">
      <w:pPr>
        <w:pStyle w:val="56"/>
        <w:ind w:firstLine="420"/>
      </w:pPr>
      <w:r>
        <w:rPr>
          <w:rFonts w:hint="eastAsia"/>
        </w:rPr>
        <w:t>将原材料、外购件、外协件按照设计文件和工艺文件的要求，通过加工、装配等工序转化为特种设备产品的全部活动。</w:t>
      </w:r>
    </w:p>
    <w:p w14:paraId="67ACBA4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安装过程　installation process</w:t>
      </w:r>
    </w:p>
    <w:p w14:paraId="68729A38">
      <w:pPr>
        <w:pStyle w:val="56"/>
        <w:ind w:firstLine="420"/>
      </w:pPr>
      <w:r>
        <w:rPr>
          <w:rFonts w:hint="eastAsia"/>
        </w:rPr>
        <w:t>将特种设备产品在规定地点进行就位、连接、调试，使其达到设计规定的安全性能要求的全部活动，包括现场施工、联调测试及验收等环节。</w:t>
      </w:r>
    </w:p>
    <w:p w14:paraId="0F93362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质量计划　quality plan</w:t>
      </w:r>
    </w:p>
    <w:p w14:paraId="1D924267">
      <w:pPr>
        <w:pStyle w:val="56"/>
        <w:ind w:firstLine="420"/>
      </w:pPr>
      <w:r>
        <w:rPr>
          <w:rFonts w:hint="eastAsia"/>
        </w:rPr>
        <w:t>规定针对特定特种设备产品的制造或安装活动，由谁及何时应用哪些程序和相关资源的文件，符合GB/T 19001中质量策划的要求。</w:t>
      </w:r>
    </w:p>
    <w:p w14:paraId="0F0A2C0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关键工序　critical process</w:t>
      </w:r>
    </w:p>
    <w:p w14:paraId="1447F4BE">
      <w:pPr>
        <w:pStyle w:val="56"/>
        <w:ind w:firstLine="420"/>
      </w:pPr>
      <w:r>
        <w:rPr>
          <w:rFonts w:hint="eastAsia"/>
        </w:rPr>
        <w:t>对特种设备的安全性能起决定性作用、质量难以在后续工序中弥补的工序，须实施重点控制并保存专项记录。</w:t>
      </w:r>
    </w:p>
    <w:p w14:paraId="2784DB97">
      <w:pPr>
        <w:pStyle w:val="223"/>
        <w:ind w:left="420" w:hanging="420" w:hangingChars="200"/>
        <w:rPr>
          <w:rFonts w:hint="eastAsia" w:ascii="黑体" w:hAnsi="黑体" w:eastAsia="黑体"/>
        </w:rPr>
      </w:pPr>
      <w:r>
        <w:rPr>
          <w:rFonts w:ascii="黑体" w:hAnsi="黑体" w:eastAsia="黑体"/>
          <w:color w:val="000000"/>
          <w:highlight w:val="lightGray"/>
          <w14:scene3d w14:prst="orthographicFront">
            <w14:lightRig w14:rig="threePt" w14:dir="t">
              <w14:rot w14:lat="0" w14:lon="0" w14:rev="0"/>
            </w14:lightRig>
          </w14:scene3d>
        </w:rPr>
        <w:br w:type="textWrapping"/>
      </w:r>
      <w:r>
        <w:rPr>
          <w:rFonts w:hint="eastAsia" w:ascii="黑体" w:hAnsi="黑体" w:eastAsia="黑体"/>
        </w:rPr>
        <w:t>不合格品　nonconforming product</w:t>
      </w:r>
    </w:p>
    <w:p w14:paraId="2EE8FD08">
      <w:pPr>
        <w:pStyle w:val="56"/>
        <w:ind w:firstLine="420"/>
      </w:pPr>
      <w:r>
        <w:rPr>
          <w:rFonts w:hint="eastAsia"/>
        </w:rPr>
        <w:t>在制造或安装过程中，不符合设计文件、工艺文件或相关标准规定要求的零件、组件或整机，须按规定程序进行标识、隔离及评审处置。</w:t>
      </w:r>
    </w:p>
    <w:p w14:paraId="3B3FF931">
      <w:pPr>
        <w:pStyle w:val="104"/>
        <w:spacing w:before="240" w:after="240"/>
      </w:pPr>
      <w:bookmarkStart w:id="39" w:name="_Toc226560874"/>
      <w:bookmarkStart w:id="40" w:name="_Toc226634925"/>
      <w:bookmarkStart w:id="41" w:name="_Toc_tz_04"/>
      <w:bookmarkStart w:id="42" w:name="_Toc226967024"/>
      <w:bookmarkStart w:id="43" w:name="_Toc226634880"/>
      <w:r>
        <w:rPr>
          <w:rFonts w:hint="eastAsia"/>
        </w:rPr>
        <w:t>总体要求</w:t>
      </w:r>
      <w:bookmarkEnd w:id="39"/>
      <w:bookmarkEnd w:id="40"/>
      <w:bookmarkEnd w:id="41"/>
      <w:bookmarkEnd w:id="42"/>
      <w:bookmarkEnd w:id="43"/>
    </w:p>
    <w:p w14:paraId="2047AC1D">
      <w:pPr>
        <w:pStyle w:val="105"/>
        <w:spacing w:before="120" w:after="120"/>
      </w:pPr>
      <w:r>
        <w:rPr>
          <w:rFonts w:hint="eastAsia"/>
        </w:rPr>
        <w:t>许可要求</w:t>
      </w:r>
    </w:p>
    <w:p w14:paraId="78A289CE">
      <w:pPr>
        <w:pStyle w:val="56"/>
        <w:ind w:firstLine="420"/>
      </w:pPr>
      <w:r>
        <w:rPr>
          <w:rFonts w:hint="eastAsia"/>
        </w:rPr>
        <w:t>从事机电特种设备制造与安装的单位（以下简称“生产单位”）应依法取得TSG 07-2019规定的相应特种设备生产许可，并在许可范围内开展活动。</w:t>
      </w:r>
    </w:p>
    <w:p w14:paraId="0E8DA9A9">
      <w:pPr>
        <w:pStyle w:val="105"/>
        <w:spacing w:before="120" w:after="120"/>
      </w:pPr>
      <w:r>
        <w:rPr>
          <w:rFonts w:hint="eastAsia"/>
        </w:rPr>
        <w:t>质量管理体系</w:t>
      </w:r>
    </w:p>
    <w:p w14:paraId="6BB27BC1">
      <w:pPr>
        <w:pStyle w:val="56"/>
        <w:ind w:firstLine="420"/>
      </w:pPr>
      <w:r>
        <w:rPr>
          <w:rFonts w:hint="eastAsia"/>
        </w:rPr>
        <w:t>生产单位应建立并持续保持覆盖全过程的质量管理体系，体系要求应符合GB/T 19001的规定，并结合特种设备制造安装活动的特殊性予以充实完善。</w:t>
      </w:r>
    </w:p>
    <w:p w14:paraId="39428044">
      <w:pPr>
        <w:pStyle w:val="105"/>
        <w:spacing w:before="120" w:after="120"/>
      </w:pPr>
      <w:r>
        <w:rPr>
          <w:rFonts w:hint="eastAsia"/>
        </w:rPr>
        <w:t>领导责任</w:t>
      </w:r>
    </w:p>
    <w:p w14:paraId="473F92EF">
      <w:pPr>
        <w:pStyle w:val="56"/>
        <w:ind w:firstLine="420"/>
      </w:pPr>
      <w:r>
        <w:rPr>
          <w:rFonts w:hint="eastAsia"/>
        </w:rPr>
        <w:t>生产单位的最高管理者应对质量管理体系的建立、实施和持续改进承担领导责任，确保质量方针、质量目标与本文件要求相协调。</w:t>
      </w:r>
    </w:p>
    <w:p w14:paraId="6CF4B9AE">
      <w:pPr>
        <w:pStyle w:val="105"/>
        <w:spacing w:before="120" w:after="120"/>
      </w:pPr>
      <w:r>
        <w:rPr>
          <w:rFonts w:hint="eastAsia"/>
        </w:rPr>
        <w:t>环境管理</w:t>
      </w:r>
    </w:p>
    <w:p w14:paraId="038446C5">
      <w:pPr>
        <w:pStyle w:val="56"/>
        <w:ind w:firstLine="420"/>
      </w:pPr>
      <w:r>
        <w:rPr>
          <w:rFonts w:hint="eastAsia"/>
        </w:rPr>
        <w:t>生产单位在开展制造与安装活动时，还应符合GB/T 24001规定的环境管理要求，识别并控制可能产生的重要环境因素。</w:t>
      </w:r>
    </w:p>
    <w:p w14:paraId="049B9F1B">
      <w:pPr>
        <w:pStyle w:val="104"/>
        <w:spacing w:before="240" w:after="240"/>
      </w:pPr>
      <w:bookmarkStart w:id="44" w:name="_Toc226560875"/>
      <w:bookmarkStart w:id="45" w:name="_Toc226634881"/>
      <w:bookmarkStart w:id="46" w:name="_Toc226634926"/>
      <w:bookmarkStart w:id="47" w:name="_Toc_tz_05"/>
      <w:bookmarkStart w:id="48" w:name="_Toc226967025"/>
      <w:r>
        <w:rPr>
          <w:rFonts w:hint="eastAsia"/>
        </w:rPr>
        <w:t>质量管理体系要求</w:t>
      </w:r>
      <w:bookmarkEnd w:id="44"/>
      <w:bookmarkEnd w:id="45"/>
      <w:bookmarkEnd w:id="46"/>
      <w:bookmarkEnd w:id="47"/>
      <w:bookmarkEnd w:id="48"/>
    </w:p>
    <w:p w14:paraId="61337060">
      <w:pPr>
        <w:pStyle w:val="105"/>
        <w:spacing w:before="120" w:after="120"/>
      </w:pPr>
      <w:r>
        <w:rPr>
          <w:rFonts w:hint="eastAsia"/>
        </w:rPr>
        <w:t>质量保证体系</w:t>
      </w:r>
    </w:p>
    <w:p w14:paraId="0D6AFB1B">
      <w:pPr>
        <w:pStyle w:val="165"/>
      </w:pPr>
      <w:r>
        <w:rPr>
          <w:rFonts w:hint="eastAsia"/>
        </w:rPr>
        <w:t>生产单位应按照TSG 07-2019附件M的要求建立特种设备生产质量保证体系，明确各质量控制要素的责任人员及职责权限。</w:t>
      </w:r>
    </w:p>
    <w:p w14:paraId="5C2FE152">
      <w:pPr>
        <w:pStyle w:val="165"/>
      </w:pPr>
      <w:r>
        <w:rPr>
          <w:rFonts w:hint="eastAsia"/>
        </w:rPr>
        <w:t>质量保证体系应包含但不限于以下控制要素：设计控制、材料与零部件控制、工艺控制、焊接控制、无损检测控制、热处理控制（适用时）、检验与试验控制、不合格品控制、文件与记录控制。</w:t>
      </w:r>
    </w:p>
    <w:p w14:paraId="33E3EE91">
      <w:pPr>
        <w:pStyle w:val="165"/>
      </w:pPr>
      <w:r>
        <w:rPr>
          <w:rFonts w:hint="eastAsia"/>
        </w:rPr>
        <w:t>生产单位应定期（不少于每年一次）组织内部审核，评价质量保证体系的符合性和有效性，审核结果应形成书面报告并提交最高管理者评审。</w:t>
      </w:r>
    </w:p>
    <w:p w14:paraId="4A43FA1B">
      <w:pPr>
        <w:pStyle w:val="105"/>
        <w:spacing w:before="120" w:after="120"/>
      </w:pPr>
      <w:r>
        <w:rPr>
          <w:rFonts w:hint="eastAsia"/>
        </w:rPr>
        <w:t>人员管理</w:t>
      </w:r>
    </w:p>
    <w:p w14:paraId="2CDEB7F3">
      <w:pPr>
        <w:pStyle w:val="165"/>
      </w:pPr>
      <w:r>
        <w:rPr>
          <w:rFonts w:hint="eastAsia"/>
        </w:rPr>
        <w:t>生产单位应配备满足制造安装规模和技术要求的技术人员、质量管理人员及作业人员，各类人员的资格和数量应符合TSG 07-2019的相关规定。</w:t>
      </w:r>
    </w:p>
    <w:p w14:paraId="7743AC75">
      <w:pPr>
        <w:pStyle w:val="165"/>
      </w:pPr>
      <w:r>
        <w:rPr>
          <w:rFonts w:hint="eastAsia"/>
        </w:rPr>
        <w:t>从事焊接、无损检测、起重机械安装等特种作业的人员，应取得国家规定的特种设备作业人员证书，并在证书有效期内持证上岗。</w:t>
      </w:r>
    </w:p>
    <w:p w14:paraId="7A3BF3C5">
      <w:pPr>
        <w:pStyle w:val="165"/>
      </w:pPr>
      <w:r>
        <w:rPr>
          <w:rFonts w:hint="eastAsia"/>
        </w:rPr>
        <w:t>生产单位应制定年度培训计划，对各类人员开展专业技术培训和质量意识培训，培训记录应存档备查。</w:t>
      </w:r>
    </w:p>
    <w:p w14:paraId="6903C2BA">
      <w:pPr>
        <w:pStyle w:val="105"/>
        <w:spacing w:before="120" w:after="120"/>
      </w:pPr>
      <w:r>
        <w:rPr>
          <w:rFonts w:hint="eastAsia"/>
        </w:rPr>
        <w:t>设施与工作环境</w:t>
      </w:r>
    </w:p>
    <w:p w14:paraId="505244A4">
      <w:pPr>
        <w:pStyle w:val="165"/>
      </w:pPr>
      <w:r>
        <w:rPr>
          <w:rFonts w:hint="eastAsia"/>
        </w:rPr>
        <w:t>生产单位应具备与制造安装规模相适应的厂房、设备、工装和检测仪器，设施条件应满足TSG 07-2019及相应产品安全技术规程的要求。</w:t>
      </w:r>
    </w:p>
    <w:p w14:paraId="7F203711">
      <w:pPr>
        <w:pStyle w:val="165"/>
      </w:pPr>
      <w:r>
        <w:rPr>
          <w:rFonts w:hint="eastAsia"/>
        </w:rPr>
        <w:t>测量和检测设备应按照GB/T 19022的要求进行计量管理，建立计量器具台账，定期进行检定或校准，检定/校准记录应完整保存。</w:t>
      </w:r>
    </w:p>
    <w:p w14:paraId="11ED922C">
      <w:pPr>
        <w:pStyle w:val="165"/>
      </w:pPr>
      <w:r>
        <w:rPr>
          <w:rFonts w:hint="eastAsia"/>
        </w:rPr>
        <w:t>生产场所应保持整洁有序，对制造安装质量有影响的温度、湿度、洁净度等环境条件应进行必要的监控和记录。</w:t>
      </w:r>
    </w:p>
    <w:p w14:paraId="620D535C">
      <w:pPr>
        <w:pStyle w:val="104"/>
        <w:spacing w:before="240" w:after="240"/>
      </w:pPr>
      <w:bookmarkStart w:id="49" w:name="_Toc226560876"/>
      <w:bookmarkStart w:id="50" w:name="_Toc_tz_06"/>
      <w:bookmarkStart w:id="51" w:name="_Toc226634882"/>
      <w:bookmarkStart w:id="52" w:name="_Toc226967026"/>
      <w:bookmarkStart w:id="53" w:name="_Toc226634927"/>
      <w:r>
        <w:rPr>
          <w:rFonts w:hint="eastAsia"/>
        </w:rPr>
        <w:t>制造过程质量控制</w:t>
      </w:r>
      <w:bookmarkEnd w:id="49"/>
      <w:bookmarkEnd w:id="50"/>
      <w:bookmarkEnd w:id="51"/>
      <w:bookmarkEnd w:id="52"/>
      <w:bookmarkEnd w:id="53"/>
    </w:p>
    <w:p w14:paraId="3443E529">
      <w:pPr>
        <w:pStyle w:val="105"/>
        <w:spacing w:before="120" w:after="120"/>
      </w:pPr>
      <w:r>
        <w:rPr>
          <w:rFonts w:hint="eastAsia"/>
        </w:rPr>
        <w:t>设计控制</w:t>
      </w:r>
    </w:p>
    <w:p w14:paraId="2BBB2F96">
      <w:pPr>
        <w:pStyle w:val="165"/>
      </w:pPr>
      <w:r>
        <w:rPr>
          <w:rFonts w:hint="eastAsia"/>
        </w:rPr>
        <w:t>特种设备的设计文件应由具有相应资质的设计人员编制，并经设计责任人审核批准后方可用于生产。</w:t>
      </w:r>
    </w:p>
    <w:p w14:paraId="471D513A">
      <w:pPr>
        <w:pStyle w:val="165"/>
      </w:pPr>
      <w:r>
        <w:rPr>
          <w:rFonts w:hint="eastAsia"/>
        </w:rPr>
        <w:t>设计变更应严格执行变更审批程序，变更内容影响安全性能的，应重新进行安全技术评审并通知相关职能部门。</w:t>
      </w:r>
    </w:p>
    <w:p w14:paraId="4AC1FFB4">
      <w:pPr>
        <w:pStyle w:val="165"/>
      </w:pPr>
      <w:r>
        <w:rPr>
          <w:rFonts w:hint="eastAsia"/>
        </w:rPr>
        <w:t>生产单位应建立设计文件受控清单，确保生产现场使用的设计文件为有效版本。</w:t>
      </w:r>
    </w:p>
    <w:p w14:paraId="0F7B69DF">
      <w:pPr>
        <w:pStyle w:val="105"/>
        <w:spacing w:before="120" w:after="120"/>
      </w:pPr>
      <w:r>
        <w:rPr>
          <w:rFonts w:hint="eastAsia"/>
        </w:rPr>
        <w:t>材料与外购件控制</w:t>
      </w:r>
    </w:p>
    <w:p w14:paraId="0C993C73">
      <w:pPr>
        <w:pStyle w:val="165"/>
      </w:pPr>
      <w:r>
        <w:rPr>
          <w:rFonts w:hint="eastAsia"/>
        </w:rPr>
        <w:t>用于特种设备主要受力结构件的原材料应具有制造商出具的材质证明书，生产单位应对材质证明书的真实性进行审查，必要时进行抽样复验。</w:t>
      </w:r>
    </w:p>
    <w:p w14:paraId="6DB0B03C">
      <w:pPr>
        <w:pStyle w:val="165"/>
      </w:pPr>
      <w:r>
        <w:rPr>
          <w:rFonts w:hint="eastAsia"/>
        </w:rPr>
        <w:t>外购的安全附件（如限速器、安全钳、缓冲器等）应取得相应的型式试验证书，进货时应进行型号规格和外观检查，并保存进货检验记录。</w:t>
      </w:r>
    </w:p>
    <w:p w14:paraId="2E65F14C">
      <w:pPr>
        <w:pStyle w:val="165"/>
      </w:pPr>
      <w:r>
        <w:rPr>
          <w:rFonts w:hint="eastAsia"/>
        </w:rPr>
        <w:t>材料和外购件应按品种、规格、炉批号分类存放，设置标识标签，防止混料；不合格材料应单独隔离，防止误用。</w:t>
      </w:r>
    </w:p>
    <w:p w14:paraId="17E6C20F">
      <w:pPr>
        <w:pStyle w:val="105"/>
        <w:spacing w:before="120" w:after="120"/>
      </w:pPr>
      <w:r>
        <w:rPr>
          <w:rFonts w:hint="eastAsia"/>
        </w:rPr>
        <w:t>工艺控制</w:t>
      </w:r>
    </w:p>
    <w:p w14:paraId="0AAF7DF0">
      <w:pPr>
        <w:pStyle w:val="165"/>
      </w:pPr>
      <w:r>
        <w:rPr>
          <w:rFonts w:hint="eastAsia"/>
        </w:rPr>
        <w:t>生产单位应根据设计文件编制工艺规程，工艺规程应经工艺责任人审核批准，并在制造前发放至相关工序。</w:t>
      </w:r>
    </w:p>
    <w:p w14:paraId="097F146B">
      <w:pPr>
        <w:pStyle w:val="165"/>
      </w:pPr>
      <w:r>
        <w:rPr>
          <w:rFonts w:hint="eastAsia"/>
        </w:rPr>
        <w:t>关键工序应设立工序检验点，经检验合格并签字确认后方可转入下道工序。</w:t>
      </w:r>
    </w:p>
    <w:p w14:paraId="6B3EF122">
      <w:pPr>
        <w:pStyle w:val="165"/>
      </w:pPr>
      <w:r>
        <w:rPr>
          <w:rFonts w:hint="eastAsia"/>
        </w:rPr>
        <w:t>工艺文件中规定的工艺参数应在制造过程中严格执行，实测参数应记录于工序检验记录中。</w:t>
      </w:r>
    </w:p>
    <w:p w14:paraId="68B5A241">
      <w:pPr>
        <w:pStyle w:val="105"/>
        <w:spacing w:before="120" w:after="120"/>
      </w:pPr>
      <w:r>
        <w:rPr>
          <w:rFonts w:hint="eastAsia"/>
        </w:rPr>
        <w:t>焊接质量控制</w:t>
      </w:r>
    </w:p>
    <w:p w14:paraId="1B1E9007">
      <w:pPr>
        <w:pStyle w:val="165"/>
      </w:pPr>
      <w:r>
        <w:rPr>
          <w:rFonts w:hint="eastAsia"/>
        </w:rPr>
        <w:t>焊接工艺规程应经焊接工艺评定验证，评定项目及要求应符合相应特种设备安全技术规程的规定，焊接工艺评定记录应长期保存。</w:t>
      </w:r>
    </w:p>
    <w:p w14:paraId="7E880C0B">
      <w:pPr>
        <w:pStyle w:val="165"/>
      </w:pPr>
      <w:r>
        <w:rPr>
          <w:rFonts w:hint="eastAsia"/>
        </w:rPr>
        <w:t>焊工应持有与焊接工艺规程相适应的焊工证书，每位焊工应在规定的认可范围内施焊，超范围焊接为不合格。</w:t>
      </w:r>
    </w:p>
    <w:p w14:paraId="44430858">
      <w:pPr>
        <w:pStyle w:val="165"/>
      </w:pPr>
      <w:r>
        <w:rPr>
          <w:rFonts w:hint="eastAsia"/>
        </w:rPr>
        <w:t>重要焊缝的焊接记录应包含焊工标识、焊接日期、焊接工艺规程编号及焊接参数实测值，并具有可追溯性。</w:t>
      </w:r>
    </w:p>
    <w:p w14:paraId="5AA3E5AB">
      <w:pPr>
        <w:pStyle w:val="105"/>
        <w:spacing w:before="120" w:after="120"/>
      </w:pPr>
      <w:r>
        <w:rPr>
          <w:rFonts w:hint="eastAsia"/>
        </w:rPr>
        <w:t>无损检测控制</w:t>
      </w:r>
    </w:p>
    <w:p w14:paraId="5CAEB8D2">
      <w:pPr>
        <w:pStyle w:val="165"/>
      </w:pPr>
      <w:r>
        <w:rPr>
          <w:rFonts w:hint="eastAsia"/>
        </w:rPr>
        <w:t>无损检测应由取得相应资质的检测人员按照批准的检测工艺进行，检测项目、方法和合格指标应符合相应安全技术规程和标准的规定。</w:t>
      </w:r>
    </w:p>
    <w:p w14:paraId="35F5391D">
      <w:pPr>
        <w:pStyle w:val="165"/>
      </w:pPr>
      <w:r>
        <w:rPr>
          <w:rFonts w:hint="eastAsia"/>
        </w:rPr>
        <w:t>无损检测原始记录应真实、完整，检测报告应由Ⅱ级及以上持证人员审核签发，检测报告和原始记录应随产品存档。</w:t>
      </w:r>
    </w:p>
    <w:p w14:paraId="1B9CEBCC">
      <w:pPr>
        <w:pStyle w:val="104"/>
        <w:spacing w:before="240" w:after="240"/>
      </w:pPr>
      <w:bookmarkStart w:id="54" w:name="_Toc_tz_07"/>
      <w:bookmarkStart w:id="55" w:name="_Toc226560877"/>
      <w:bookmarkStart w:id="56" w:name="_Toc226634883"/>
      <w:bookmarkStart w:id="57" w:name="_Toc226634928"/>
      <w:bookmarkStart w:id="58" w:name="_Toc226967027"/>
      <w:r>
        <w:rPr>
          <w:rFonts w:hint="eastAsia"/>
        </w:rPr>
        <w:t>安装过程质量控制</w:t>
      </w:r>
      <w:bookmarkEnd w:id="54"/>
      <w:bookmarkEnd w:id="55"/>
      <w:bookmarkEnd w:id="56"/>
      <w:bookmarkEnd w:id="57"/>
      <w:bookmarkEnd w:id="58"/>
    </w:p>
    <w:p w14:paraId="6E0EB7EA">
      <w:pPr>
        <w:pStyle w:val="105"/>
        <w:spacing w:before="120" w:after="120"/>
      </w:pPr>
      <w:r>
        <w:rPr>
          <w:rFonts w:hint="eastAsia"/>
        </w:rPr>
        <w:t>安装前准备</w:t>
      </w:r>
    </w:p>
    <w:p w14:paraId="45B27ECC">
      <w:pPr>
        <w:pStyle w:val="165"/>
      </w:pPr>
      <w:r>
        <w:rPr>
          <w:rFonts w:hint="eastAsia"/>
        </w:rPr>
        <w:t>安装前应编制安装施工方案，施工方案应包括：工程概况、施工组织、安装工序、质量控制措施、安全措施及应急预案。施工方案应经技术负责人审批。</w:t>
      </w:r>
    </w:p>
    <w:p w14:paraId="6BB73C70">
      <w:pPr>
        <w:pStyle w:val="165"/>
      </w:pPr>
      <w:r>
        <w:rPr>
          <w:rFonts w:hint="eastAsia"/>
        </w:rPr>
        <w:t>安装人员进场前应核查特种设备的出厂资料（包括产品合格证、设计文件、安装及使用说明书等）的完整性，不齐全时不得开始安装。</w:t>
      </w:r>
    </w:p>
    <w:p w14:paraId="6F9676D7">
      <w:pPr>
        <w:pStyle w:val="165"/>
      </w:pPr>
      <w:r>
        <w:rPr>
          <w:rFonts w:hint="eastAsia"/>
        </w:rPr>
        <w:t>安装作业人员应具备相应资格，安装负责人应向作业人员进行施工方案和安全技术交底，交底记录应存档。</w:t>
      </w:r>
    </w:p>
    <w:p w14:paraId="7A5A1482">
      <w:pPr>
        <w:pStyle w:val="105"/>
        <w:spacing w:before="120" w:after="120"/>
      </w:pPr>
      <w:r>
        <w:rPr>
          <w:rFonts w:hint="eastAsia"/>
        </w:rPr>
        <w:t>安装过程控制</w:t>
      </w:r>
    </w:p>
    <w:p w14:paraId="6CD1A98C">
      <w:pPr>
        <w:pStyle w:val="165"/>
      </w:pPr>
      <w:r>
        <w:rPr>
          <w:rFonts w:hint="eastAsia"/>
        </w:rPr>
        <w:t>安装单位应按照批准的施工方案和产品安装说明书进行施工，不得擅自更改安装技术参数。</w:t>
      </w:r>
    </w:p>
    <w:p w14:paraId="42625679">
      <w:pPr>
        <w:pStyle w:val="165"/>
      </w:pPr>
      <w:r>
        <w:rPr>
          <w:rFonts w:hint="eastAsia"/>
        </w:rPr>
        <w:t>关键安装工序应设置停工待检点，检验合格后方可继续作业，检验结果应记录于施工记录表。</w:t>
      </w:r>
    </w:p>
    <w:p w14:paraId="519C281D">
      <w:pPr>
        <w:pStyle w:val="165"/>
      </w:pPr>
      <w:r>
        <w:rPr>
          <w:rFonts w:hint="eastAsia"/>
        </w:rPr>
        <w:t>安装过程中发现产品存在质量问题或与安装现场条件不符时，应停止施工，报告制造单位和使用单位，协商处置方案后方可继续安装。</w:t>
      </w:r>
    </w:p>
    <w:p w14:paraId="6EBBB74D">
      <w:pPr>
        <w:pStyle w:val="165"/>
      </w:pPr>
      <w:r>
        <w:rPr>
          <w:rFonts w:hint="eastAsia"/>
        </w:rPr>
        <w:t>起重机械安装过程中的重要技术参数的测量应使用经检定合格的计量器具，测量记录应完整保存。</w:t>
      </w:r>
    </w:p>
    <w:p w14:paraId="3273EBDA">
      <w:pPr>
        <w:pStyle w:val="105"/>
        <w:spacing w:before="120" w:after="120"/>
      </w:pPr>
      <w:r>
        <w:rPr>
          <w:rFonts w:hint="eastAsia"/>
        </w:rPr>
        <w:t>调试与自检</w:t>
      </w:r>
    </w:p>
    <w:p w14:paraId="242BCCCF">
      <w:pPr>
        <w:pStyle w:val="165"/>
      </w:pPr>
      <w:r>
        <w:rPr>
          <w:rFonts w:hint="eastAsia"/>
        </w:rPr>
        <w:t>安装完成后，安装单位应按照相关安全技术规程和产品技术文件规定进行全面调试，调试项目应覆盖设备的全部安全功能和主要性能参数。</w:t>
      </w:r>
    </w:p>
    <w:p w14:paraId="3F5CE708">
      <w:pPr>
        <w:pStyle w:val="165"/>
      </w:pPr>
      <w:r>
        <w:rPr>
          <w:rFonts w:hint="eastAsia"/>
        </w:rPr>
        <w:t>调试过程中应对各安全保护装置逐一进行功能验证，保护装置动作应灵敏可靠，不符合要求的应调整合格后方可进行下一步骤。</w:t>
      </w:r>
    </w:p>
    <w:p w14:paraId="6A1802D5">
      <w:pPr>
        <w:pStyle w:val="165"/>
      </w:pPr>
      <w:r>
        <w:rPr>
          <w:rFonts w:hint="eastAsia"/>
        </w:rPr>
        <w:t>调试结束后，安装单位应对安装工程进行自检，自检项目应符合相应安全技术规程的要求，自检结果应形成书面报告。</w:t>
      </w:r>
    </w:p>
    <w:p w14:paraId="363198EB">
      <w:pPr>
        <w:pStyle w:val="105"/>
        <w:spacing w:before="120" w:after="120"/>
      </w:pPr>
      <w:r>
        <w:rPr>
          <w:rFonts w:hint="eastAsia"/>
        </w:rPr>
        <w:t>监督检验配合</w:t>
      </w:r>
    </w:p>
    <w:p w14:paraId="27C44CA9">
      <w:pPr>
        <w:pStyle w:val="165"/>
      </w:pPr>
      <w:r>
        <w:rPr>
          <w:rFonts w:hint="eastAsia"/>
        </w:rPr>
        <w:t>安装单位应按照相关安全技术规程的要求，向有相应核准资质的特种设备检验机构申请安装监督检验，提供完整的施工资料并配合检验工作。</w:t>
      </w:r>
    </w:p>
    <w:p w14:paraId="30BDA857">
      <w:pPr>
        <w:pStyle w:val="165"/>
      </w:pPr>
      <w:r>
        <w:rPr>
          <w:rFonts w:hint="eastAsia"/>
        </w:rPr>
        <w:t>监督检验中提出的整改项目，安装单位应按期完成整改，整改记录应存档。</w:t>
      </w:r>
    </w:p>
    <w:p w14:paraId="76EFED3D">
      <w:pPr>
        <w:pStyle w:val="104"/>
        <w:spacing w:before="240" w:after="240"/>
      </w:pPr>
      <w:bookmarkStart w:id="59" w:name="_Toc_tz_08"/>
      <w:bookmarkStart w:id="60" w:name="_Toc226634929"/>
      <w:bookmarkStart w:id="61" w:name="_Toc226560878"/>
      <w:bookmarkStart w:id="62" w:name="_Toc226967028"/>
      <w:bookmarkStart w:id="63" w:name="_Toc226634884"/>
      <w:r>
        <w:rPr>
          <w:rFonts w:hint="eastAsia"/>
        </w:rPr>
        <w:t>检验与试验</w:t>
      </w:r>
      <w:bookmarkEnd w:id="59"/>
      <w:bookmarkEnd w:id="60"/>
      <w:bookmarkEnd w:id="61"/>
      <w:bookmarkEnd w:id="62"/>
      <w:bookmarkEnd w:id="63"/>
    </w:p>
    <w:p w14:paraId="6D6D42FB">
      <w:pPr>
        <w:pStyle w:val="105"/>
        <w:spacing w:before="120" w:after="120"/>
      </w:pPr>
      <w:r>
        <w:rPr>
          <w:rFonts w:hint="eastAsia"/>
        </w:rPr>
        <w:t>检验分类</w:t>
      </w:r>
    </w:p>
    <w:p w14:paraId="13AF80E9">
      <w:pPr>
        <w:pStyle w:val="56"/>
        <w:ind w:firstLine="420"/>
      </w:pPr>
      <w:r>
        <w:rPr>
          <w:rFonts w:hint="eastAsia"/>
        </w:rPr>
        <w:t>特种设备的检验分为过程检验、出厂检验（制造单位）、安装自检（安装单位）和监督检验四类，各类检验应按本章规定执行。</w:t>
      </w:r>
    </w:p>
    <w:p w14:paraId="4EF12982">
      <w:pPr>
        <w:pStyle w:val="105"/>
        <w:spacing w:before="120" w:after="120"/>
      </w:pPr>
      <w:r>
        <w:rPr>
          <w:rFonts w:hint="eastAsia"/>
        </w:rPr>
        <w:t>过程检验</w:t>
      </w:r>
    </w:p>
    <w:p w14:paraId="14D24947">
      <w:pPr>
        <w:pStyle w:val="165"/>
      </w:pPr>
      <w:r>
        <w:rPr>
          <w:rFonts w:hint="eastAsia"/>
        </w:rPr>
        <w:t>过程检验包括材料进货检验、工序检验和关键工序专项检验，由生产单位质量检验部门负责实施。</w:t>
      </w:r>
    </w:p>
    <w:p w14:paraId="6251F598">
      <w:pPr>
        <w:pStyle w:val="165"/>
      </w:pPr>
      <w:r>
        <w:rPr>
          <w:rFonts w:hint="eastAsia"/>
        </w:rPr>
        <w:t>工序检验应依据工艺规程规定的检验项目和检验频率进行，检验结果应及时记录，不合格品应按第6章或第7章规定处置。</w:t>
      </w:r>
    </w:p>
    <w:p w14:paraId="7D47A906">
      <w:pPr>
        <w:pStyle w:val="105"/>
        <w:spacing w:before="120" w:after="120"/>
      </w:pPr>
      <w:r>
        <w:rPr>
          <w:rFonts w:hint="eastAsia"/>
        </w:rPr>
        <w:t>出厂检验要求</w:t>
      </w:r>
    </w:p>
    <w:p w14:paraId="412C3F18">
      <w:pPr>
        <w:pStyle w:val="165"/>
      </w:pPr>
      <w:r>
        <w:rPr>
          <w:rFonts w:hint="eastAsia"/>
        </w:rPr>
        <w:t>出厂检验应在完成全部制造工序、各项过程检验合格后进行，出厂检验项目应覆盖设备的主要安全性能和功能要求。</w:t>
      </w:r>
    </w:p>
    <w:p w14:paraId="597D558E">
      <w:pPr>
        <w:pStyle w:val="165"/>
      </w:pPr>
      <w:r>
        <w:rPr>
          <w:rFonts w:hint="eastAsia"/>
        </w:rPr>
        <w:t>出厂检验结果应记录于出厂检验报告，报告应随产品出厂文件归档。</w:t>
      </w:r>
    </w:p>
    <w:p w14:paraId="3848209F">
      <w:pPr>
        <w:pStyle w:val="105"/>
        <w:spacing w:before="120" w:after="120"/>
      </w:pPr>
      <w:r>
        <w:rPr>
          <w:rFonts w:hint="eastAsia"/>
        </w:rPr>
        <w:t>安装自检要求</w:t>
      </w:r>
    </w:p>
    <w:p w14:paraId="42184D27">
      <w:pPr>
        <w:pStyle w:val="165"/>
      </w:pPr>
      <w:r>
        <w:rPr>
          <w:rFonts w:hint="eastAsia"/>
        </w:rPr>
        <w:t>安装自检应在监督检验前完成，自检项目应符合TSG 07-2019及相应安全技术规程的要求。</w:t>
      </w:r>
    </w:p>
    <w:p w14:paraId="39549F65">
      <w:pPr>
        <w:pStyle w:val="165"/>
      </w:pPr>
      <w:r>
        <w:rPr>
          <w:rFonts w:hint="eastAsia"/>
        </w:rPr>
        <w:t>安装自检发现的不符合项应在自检记录中如实记录，经整改合格后在自检报告中予以确认。</w:t>
      </w:r>
    </w:p>
    <w:p w14:paraId="7E73B171">
      <w:pPr>
        <w:pStyle w:val="104"/>
        <w:spacing w:before="240" w:after="240"/>
      </w:pPr>
      <w:bookmarkStart w:id="64" w:name="_Toc_tz_09"/>
      <w:bookmarkStart w:id="65" w:name="_Toc226967029"/>
      <w:bookmarkStart w:id="66" w:name="_Toc226634930"/>
      <w:bookmarkStart w:id="67" w:name="_Toc226560879"/>
      <w:bookmarkStart w:id="68" w:name="_Toc226634885"/>
      <w:r>
        <w:rPr>
          <w:rFonts w:hint="eastAsia"/>
        </w:rPr>
        <w:t>文件与记录管理</w:t>
      </w:r>
      <w:bookmarkEnd w:id="64"/>
      <w:bookmarkEnd w:id="65"/>
      <w:bookmarkEnd w:id="66"/>
      <w:bookmarkEnd w:id="67"/>
      <w:bookmarkEnd w:id="68"/>
    </w:p>
    <w:p w14:paraId="376B2E64">
      <w:pPr>
        <w:pStyle w:val="105"/>
        <w:spacing w:before="120" w:after="120"/>
      </w:pPr>
      <w:r>
        <w:rPr>
          <w:rFonts w:hint="eastAsia"/>
        </w:rPr>
        <w:t>文件控制</w:t>
      </w:r>
    </w:p>
    <w:p w14:paraId="25DF935D">
      <w:pPr>
        <w:pStyle w:val="165"/>
      </w:pPr>
      <w:r>
        <w:rPr>
          <w:rFonts w:hint="eastAsia"/>
        </w:rPr>
        <w:t>生产单位应建立文件控制程序，确保质量管理体系文件的制定、审批、发布、发放、修订和作废均处于受控状态。</w:t>
      </w:r>
    </w:p>
    <w:p w14:paraId="0D2512E2">
      <w:pPr>
        <w:pStyle w:val="165"/>
      </w:pPr>
      <w:r>
        <w:rPr>
          <w:rFonts w:hint="eastAsia"/>
        </w:rPr>
        <w:t>与特种设备安全性能相关的设计文件、工艺文件应实施版本管理，现场使用的应为最新有效版本，作废文件应及时从使用现场撤回并标识销毁。</w:t>
      </w:r>
    </w:p>
    <w:p w14:paraId="62520F23">
      <w:pPr>
        <w:pStyle w:val="105"/>
        <w:spacing w:before="120" w:after="120"/>
      </w:pPr>
      <w:r>
        <w:rPr>
          <w:rFonts w:hint="eastAsia"/>
        </w:rPr>
        <w:t>质量记录控制</w:t>
      </w:r>
    </w:p>
    <w:p w14:paraId="011BA3E9">
      <w:pPr>
        <w:pStyle w:val="165"/>
      </w:pPr>
      <w:r>
        <w:rPr>
          <w:rFonts w:hint="eastAsia"/>
        </w:rPr>
        <w:t>生产单位应建立质量记录清单，明确各类记录的标识、收集、编目、归档、保存、调用和销毁的要求。</w:t>
      </w:r>
    </w:p>
    <w:p w14:paraId="1C6BCE3B">
      <w:pPr>
        <w:pStyle w:val="165"/>
      </w:pPr>
      <w:r>
        <w:rPr>
          <w:rFonts w:hint="eastAsia"/>
        </w:rPr>
        <w:t>质量记录应真实、清晰、完整，不得随意涂改；确需更改时，应在原内容上划线，在旁边填写正确内容，并由更改人签字注明日期。</w:t>
      </w:r>
    </w:p>
    <w:p w14:paraId="6ED363D5">
      <w:pPr>
        <w:pStyle w:val="165"/>
      </w:pPr>
      <w:r>
        <w:rPr>
          <w:rFonts w:hint="eastAsia"/>
        </w:rPr>
        <w:t>涉及特种设备安全性能的质量记录保存期限不应少于特种设备的设计使用年限。</w:t>
      </w:r>
    </w:p>
    <w:p w14:paraId="3EA9C2C6">
      <w:pPr>
        <w:pStyle w:val="105"/>
        <w:spacing w:before="120" w:after="120"/>
      </w:pPr>
      <w:r>
        <w:rPr>
          <w:rFonts w:hint="eastAsia"/>
        </w:rPr>
        <w:t>产品随机文件</w:t>
      </w:r>
    </w:p>
    <w:p w14:paraId="11A206D1">
      <w:pPr>
        <w:pStyle w:val="165"/>
      </w:pPr>
      <w:r>
        <w:rPr>
          <w:rFonts w:hint="eastAsia"/>
        </w:rPr>
        <w:t>特种设备出厂时应随机提供符合TSG 07-2019要求的技术文件，至少包括：产品合格证、设计文件（目录）、安装及使用说明书、整机检验报告及安全装置型式试验证书副本。</w:t>
      </w:r>
    </w:p>
    <w:p w14:paraId="0FEC2E16">
      <w:pPr>
        <w:pStyle w:val="165"/>
      </w:pPr>
      <w:r>
        <w:rPr>
          <w:rFonts w:hint="eastAsia"/>
        </w:rPr>
        <w:t>安装完成后，安装单位应向使用单位提供：安装合同、施工方案、安装自检报告、监督检验报告（或受理凭证）及竣工图（适用时）。</w:t>
      </w:r>
    </w:p>
    <w:p w14:paraId="72B0B145">
      <w:pPr>
        <w:pStyle w:val="104"/>
        <w:spacing w:before="240" w:after="240"/>
      </w:pPr>
      <w:bookmarkStart w:id="69" w:name="_Toc226634931"/>
      <w:bookmarkStart w:id="70" w:name="_Toc_tz_10"/>
      <w:bookmarkStart w:id="71" w:name="_Toc226560880"/>
      <w:bookmarkStart w:id="72" w:name="_Toc226634886"/>
      <w:bookmarkStart w:id="73" w:name="_Toc226967030"/>
      <w:r>
        <w:rPr>
          <w:rFonts w:hint="eastAsia"/>
        </w:rPr>
        <w:t>持续改进</w:t>
      </w:r>
      <w:bookmarkEnd w:id="69"/>
      <w:bookmarkEnd w:id="70"/>
      <w:bookmarkEnd w:id="71"/>
      <w:bookmarkEnd w:id="72"/>
      <w:bookmarkEnd w:id="73"/>
    </w:p>
    <w:p w14:paraId="7F8D9581">
      <w:pPr>
        <w:pStyle w:val="105"/>
        <w:spacing w:before="120" w:after="120"/>
      </w:pPr>
      <w:r>
        <w:rPr>
          <w:rFonts w:hint="eastAsia"/>
        </w:rPr>
        <w:t>不合格品控制</w:t>
      </w:r>
    </w:p>
    <w:p w14:paraId="75AD765D">
      <w:pPr>
        <w:pStyle w:val="165"/>
      </w:pPr>
      <w:r>
        <w:rPr>
          <w:rFonts w:hint="eastAsia"/>
        </w:rPr>
        <w:t>生产单位应建立不合格品控制程序，对制造和安装过程中发现的不合格品进行标识、隔离、记录，并组织评审确定处置方式（返工、返修、降级使用或报废）。</w:t>
      </w:r>
    </w:p>
    <w:p w14:paraId="1AA2BB68">
      <w:pPr>
        <w:pStyle w:val="165"/>
      </w:pPr>
      <w:r>
        <w:rPr>
          <w:rFonts w:hint="eastAsia"/>
        </w:rPr>
        <w:t>经返工、返修的不合格品须经重新检验，合格后方可流转；涉及特种设备安全性能的不合格品返工或返修后，应重新进行相关项目的检验和试验。</w:t>
      </w:r>
    </w:p>
    <w:p w14:paraId="6FFC54BA">
      <w:pPr>
        <w:pStyle w:val="105"/>
        <w:spacing w:before="120" w:after="120"/>
      </w:pPr>
      <w:r>
        <w:rPr>
          <w:rFonts w:hint="eastAsia"/>
        </w:rPr>
        <w:t>纠正措施与预防措施</w:t>
      </w:r>
    </w:p>
    <w:p w14:paraId="3E4B5C81">
      <w:pPr>
        <w:pStyle w:val="165"/>
      </w:pPr>
      <w:r>
        <w:rPr>
          <w:rFonts w:hint="eastAsia"/>
        </w:rPr>
        <w:t>生产单位应定期对质量问题进行统计分析，查找根本原因，制定并实施纠正措施，跟踪验证措施效果。</w:t>
      </w:r>
    </w:p>
    <w:p w14:paraId="6C28A14B">
      <w:pPr>
        <w:pStyle w:val="165"/>
      </w:pPr>
      <w:r>
        <w:rPr>
          <w:rFonts w:hint="eastAsia"/>
        </w:rPr>
        <w:t>对潜在的质量风险，生产单位应主动识别并采取预防措施，防止问题发生，预防措施的实施效果应纳入管理评审输入。</w:t>
      </w:r>
    </w:p>
    <w:p w14:paraId="6DC0B1AE">
      <w:pPr>
        <w:pStyle w:val="105"/>
        <w:spacing w:before="120" w:after="120"/>
      </w:pPr>
      <w:r>
        <w:rPr>
          <w:rFonts w:hint="eastAsia"/>
        </w:rPr>
        <w:t>管理评审</w:t>
      </w:r>
    </w:p>
    <w:p w14:paraId="146D4EBC">
      <w:pPr>
        <w:pStyle w:val="165"/>
      </w:pPr>
      <w:r>
        <w:rPr>
          <w:rFonts w:hint="eastAsia"/>
        </w:rPr>
        <w:t>最高管理者应定期（不少于每年一次）主持管理评审，评价质量管理体系的适宜性、充分性和有效性，评审输入应包含内审结果、客户反馈、过程绩效、纠正预防措施状态等信息。</w:t>
      </w:r>
    </w:p>
    <w:p w14:paraId="06757486">
      <w:pPr>
        <w:pStyle w:val="165"/>
      </w:pPr>
      <w:r>
        <w:rPr>
          <w:rFonts w:hint="eastAsia"/>
        </w:rPr>
        <w:t>管理评审结论应形成书面记录，对需要改进的事项应确定责任部门、改进目标和完成时限，改进效果应在下次管理评审中跟踪确认。</w:t>
      </w:r>
      <w:bookmarkEnd w:id="25"/>
    </w:p>
    <w:p w14:paraId="6303DA65">
      <w:pPr>
        <w:pStyle w:val="56"/>
        <w:ind w:firstLine="420"/>
        <w:sectPr>
          <w:pgSz w:w="11906" w:h="16838"/>
          <w:pgMar w:top="1928" w:right="1134" w:bottom="1134" w:left="1134" w:header="1418" w:footer="1134" w:gutter="284"/>
          <w:pgNumType w:start="1"/>
          <w:cols w:space="425" w:num="1"/>
          <w:formProt w:val="0"/>
          <w:docGrid w:linePitch="312" w:charSpace="0"/>
        </w:sectPr>
      </w:pPr>
    </w:p>
    <w:p w14:paraId="25DE4ADB">
      <w:pPr>
        <w:pStyle w:val="198"/>
        <w:rPr>
          <w:rFonts w:hint="eastAsia"/>
          <w:vanish w:val="0"/>
        </w:rPr>
      </w:pPr>
      <w:bookmarkStart w:id="74" w:name="BookMark5"/>
    </w:p>
    <w:p w14:paraId="5BEA7831">
      <w:pPr>
        <w:pStyle w:val="199"/>
        <w:rPr>
          <w:vanish w:val="0"/>
        </w:rPr>
      </w:pPr>
    </w:p>
    <w:p w14:paraId="4D11D853">
      <w:pPr>
        <w:pStyle w:val="76"/>
        <w:spacing w:after="120"/>
      </w:pPr>
      <w:r>
        <w:br w:type="textWrapping"/>
      </w:r>
      <w:bookmarkStart w:id="75" w:name="_Toc226967031"/>
      <w:bookmarkStart w:id="76" w:name="_Toc226634887"/>
      <w:bookmarkStart w:id="77" w:name="_Toc226560881"/>
      <w:bookmarkStart w:id="78" w:name="_Toc226634932"/>
      <w:r>
        <w:rPr>
          <w:rFonts w:hint="eastAsia"/>
        </w:rPr>
        <w:t>（规范性）</w:t>
      </w:r>
      <w:r>
        <w:br w:type="textWrapping"/>
      </w:r>
      <w:r>
        <w:rPr>
          <w:rFonts w:hint="eastAsia"/>
        </w:rPr>
        <w:t>质量计划编制要求</w:t>
      </w:r>
      <w:bookmarkEnd w:id="75"/>
      <w:bookmarkEnd w:id="76"/>
      <w:bookmarkEnd w:id="77"/>
      <w:bookmarkEnd w:id="78"/>
    </w:p>
    <w:p w14:paraId="40A4D0E7">
      <w:pPr>
        <w:pStyle w:val="78"/>
        <w:spacing w:before="120" w:after="120"/>
      </w:pPr>
      <w:r>
        <w:rPr>
          <w:rFonts w:hint="eastAsia"/>
        </w:rPr>
        <w:t>总则</w:t>
      </w:r>
    </w:p>
    <w:p w14:paraId="0DEF0536">
      <w:pPr>
        <w:pStyle w:val="56"/>
        <w:ind w:firstLine="420"/>
      </w:pPr>
      <w:r>
        <w:rPr>
          <w:rFonts w:hint="eastAsia"/>
        </w:rPr>
        <w:t>生产单位应为每个特种设备制造或安装项目编制质量计划，质量计划应符合GB/T 19001中质量策划的要求，并体现本文件各章节的控制要求。</w:t>
      </w:r>
    </w:p>
    <w:p w14:paraId="25A7B38C">
      <w:pPr>
        <w:pStyle w:val="78"/>
        <w:spacing w:before="120" w:after="120"/>
      </w:pPr>
      <w:r>
        <w:rPr>
          <w:rFonts w:hint="eastAsia"/>
        </w:rPr>
        <w:t>质量计划内容要求</w:t>
      </w:r>
    </w:p>
    <w:p w14:paraId="2D9FCDEA">
      <w:pPr>
        <w:pStyle w:val="212"/>
      </w:pPr>
      <w:r>
        <w:rPr>
          <w:rFonts w:hint="eastAsia"/>
        </w:rPr>
        <w:t>质量计划应包括以下基本内容：</w:t>
      </w:r>
    </w:p>
    <w:p w14:paraId="66AB4B7E">
      <w:pPr>
        <w:pStyle w:val="174"/>
      </w:pPr>
      <w:r>
        <w:rPr>
          <w:rFonts w:hint="eastAsia"/>
        </w:rPr>
        <w:t>项目概况（设备类型、规格参数、合同编号）；</w:t>
      </w:r>
    </w:p>
    <w:p w14:paraId="547C1789">
      <w:pPr>
        <w:pStyle w:val="174"/>
      </w:pPr>
      <w:r>
        <w:rPr>
          <w:rFonts w:hint="eastAsia"/>
        </w:rPr>
        <w:t>适用的法规、安全技术规程及标准清单；</w:t>
      </w:r>
    </w:p>
    <w:p w14:paraId="379FB8CA">
      <w:pPr>
        <w:pStyle w:val="174"/>
      </w:pPr>
      <w:r>
        <w:rPr>
          <w:rFonts w:hint="eastAsia"/>
        </w:rPr>
        <w:t>质量目标及考核指标；</w:t>
      </w:r>
    </w:p>
    <w:p w14:paraId="0580E4F1">
      <w:pPr>
        <w:pStyle w:val="174"/>
      </w:pPr>
      <w:r>
        <w:rPr>
          <w:rFonts w:hint="eastAsia"/>
        </w:rPr>
        <w:t>组织机构与岗位职责；</w:t>
      </w:r>
    </w:p>
    <w:p w14:paraId="3CDBB6EF">
      <w:pPr>
        <w:pStyle w:val="174"/>
      </w:pPr>
      <w:r>
        <w:rPr>
          <w:rFonts w:hint="eastAsia"/>
        </w:rPr>
        <w:t>关键工序及停工待检点清单；</w:t>
      </w:r>
    </w:p>
    <w:p w14:paraId="5405D04E">
      <w:pPr>
        <w:pStyle w:val="174"/>
      </w:pPr>
      <w:r>
        <w:rPr>
          <w:rFonts w:hint="eastAsia"/>
        </w:rPr>
        <w:t>检验与试验计划；</w:t>
      </w:r>
    </w:p>
    <w:p w14:paraId="7E15263C">
      <w:pPr>
        <w:pStyle w:val="174"/>
      </w:pPr>
      <w:r>
        <w:rPr>
          <w:rFonts w:hint="eastAsia"/>
        </w:rPr>
        <w:t>不合格品处置规定；</w:t>
      </w:r>
    </w:p>
    <w:p w14:paraId="0C68CD34">
      <w:pPr>
        <w:pStyle w:val="174"/>
      </w:pPr>
      <w:r>
        <w:rPr>
          <w:rFonts w:hint="eastAsia"/>
        </w:rPr>
        <w:t>质量记录清单。</w:t>
      </w:r>
    </w:p>
    <w:p w14:paraId="2B94EBAE">
      <w:pPr>
        <w:pStyle w:val="212"/>
      </w:pPr>
      <w:r>
        <w:rPr>
          <w:rFonts w:hint="eastAsia"/>
        </w:rPr>
        <w:t>涉及起重机械安装项目的质量计划，还应包含现场安全管理要求和应急处置预案，并符合TSG 51-2023的相关规定。</w:t>
      </w:r>
    </w:p>
    <w:p w14:paraId="0B223700">
      <w:pPr>
        <w:pStyle w:val="78"/>
        <w:spacing w:before="120" w:after="120"/>
      </w:pPr>
      <w:r>
        <w:rPr>
          <w:rFonts w:hint="eastAsia"/>
        </w:rPr>
        <w:t>质量计划审批与管理</w:t>
      </w:r>
    </w:p>
    <w:p w14:paraId="3AA4A4BC">
      <w:pPr>
        <w:pStyle w:val="212"/>
      </w:pPr>
      <w:r>
        <w:rPr>
          <w:rFonts w:hint="eastAsia"/>
        </w:rPr>
        <w:t>质量计划由项目质量负责人组织编制，经技术负责人审核后，报质量保证工程师批准实施。</w:t>
      </w:r>
    </w:p>
    <w:p w14:paraId="5950A0CE">
      <w:pPr>
        <w:pStyle w:val="212"/>
      </w:pPr>
      <w:r>
        <w:rPr>
          <w:rFonts w:hint="eastAsia"/>
        </w:rPr>
        <w:t>质量计划在实施过程中如需变更，应按文件控制程序履行变更审批手续；重大变更需经原批准人重新批准后方可实施。</w:t>
      </w:r>
    </w:p>
    <w:p w14:paraId="0535D6E1">
      <w:pPr>
        <w:pStyle w:val="78"/>
        <w:spacing w:before="120" w:after="120"/>
      </w:pPr>
      <w:r>
        <w:rPr>
          <w:rFonts w:hint="eastAsia"/>
        </w:rPr>
        <w:t>安装自检项目清单（示例）</w:t>
      </w:r>
    </w:p>
    <w:p w14:paraId="7D81399F">
      <w:pPr>
        <w:pStyle w:val="56"/>
        <w:ind w:firstLine="420"/>
      </w:pPr>
      <w:r>
        <w:rPr>
          <w:rFonts w:hint="eastAsia"/>
        </w:rPr>
        <w:t>起重机械安装自检的主要项目见表A.1。</w:t>
      </w:r>
    </w:p>
    <w:p w14:paraId="618C7854">
      <w:pPr>
        <w:pStyle w:val="77"/>
        <w:spacing w:before="120" w:after="120"/>
      </w:pPr>
      <w:r>
        <w:rPr>
          <w:rFonts w:hint="eastAsia"/>
        </w:rPr>
        <w:t>起重机械安装自检主要项目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00"/>
        <w:gridCol w:w="2500"/>
        <w:gridCol w:w="2500"/>
        <w:gridCol w:w="1526"/>
      </w:tblGrid>
      <w:tr w14:paraId="6DE0F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dxa"/>
            <w:tcBorders>
              <w:top w:val="single" w:color="auto" w:sz="8" w:space="0"/>
              <w:left w:val="single" w:color="auto" w:sz="8" w:space="0"/>
              <w:bottom w:val="single" w:color="auto" w:sz="8" w:space="0"/>
            </w:tcBorders>
            <w:vAlign w:val="center"/>
          </w:tcPr>
          <w:p w14:paraId="64F11A30">
            <w:pPr>
              <w:pStyle w:val="178"/>
              <w:rPr>
                <w:bCs/>
              </w:rPr>
            </w:pPr>
            <w:r>
              <w:rPr>
                <w:rFonts w:hint="eastAsia"/>
                <w:bCs/>
              </w:rPr>
              <w:t>自检项目</w:t>
            </w:r>
          </w:p>
        </w:tc>
        <w:tc>
          <w:tcPr>
            <w:tcW w:w="2500" w:type="dxa"/>
            <w:tcBorders>
              <w:top w:val="single" w:color="auto" w:sz="8" w:space="0"/>
              <w:bottom w:val="single" w:color="auto" w:sz="8" w:space="0"/>
            </w:tcBorders>
            <w:vAlign w:val="center"/>
          </w:tcPr>
          <w:p w14:paraId="10867DF4">
            <w:pPr>
              <w:pStyle w:val="178"/>
              <w:rPr>
                <w:bCs/>
              </w:rPr>
            </w:pPr>
            <w:r>
              <w:rPr>
                <w:rFonts w:hint="eastAsia"/>
                <w:bCs/>
              </w:rPr>
              <w:t>检查内容</w:t>
            </w:r>
          </w:p>
        </w:tc>
        <w:tc>
          <w:tcPr>
            <w:tcW w:w="2500" w:type="dxa"/>
            <w:tcBorders>
              <w:top w:val="single" w:color="auto" w:sz="8" w:space="0"/>
              <w:bottom w:val="single" w:color="auto" w:sz="8" w:space="0"/>
            </w:tcBorders>
            <w:vAlign w:val="center"/>
          </w:tcPr>
          <w:p w14:paraId="129ABD4E">
            <w:pPr>
              <w:pStyle w:val="178"/>
              <w:rPr>
                <w:bCs/>
              </w:rPr>
            </w:pPr>
            <w:r>
              <w:rPr>
                <w:rFonts w:hint="eastAsia"/>
                <w:bCs/>
              </w:rPr>
              <w:t>合格判定依据</w:t>
            </w:r>
          </w:p>
        </w:tc>
        <w:tc>
          <w:tcPr>
            <w:tcW w:w="1526" w:type="dxa"/>
            <w:tcBorders>
              <w:top w:val="single" w:color="auto" w:sz="8" w:space="0"/>
              <w:bottom w:val="single" w:color="auto" w:sz="8" w:space="0"/>
              <w:right w:val="single" w:color="auto" w:sz="8" w:space="0"/>
            </w:tcBorders>
            <w:vAlign w:val="center"/>
          </w:tcPr>
          <w:p w14:paraId="555D0DA3">
            <w:pPr>
              <w:pStyle w:val="178"/>
              <w:rPr>
                <w:bCs/>
              </w:rPr>
            </w:pPr>
            <w:r>
              <w:rPr>
                <w:rFonts w:hint="eastAsia"/>
                <w:bCs/>
              </w:rPr>
              <w:t>记录要求</w:t>
            </w:r>
          </w:p>
        </w:tc>
      </w:tr>
      <w:tr w14:paraId="4E468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dxa"/>
            <w:tcBorders>
              <w:top w:val="single" w:color="auto" w:sz="8" w:space="0"/>
            </w:tcBorders>
            <w:vAlign w:val="center"/>
          </w:tcPr>
          <w:p w14:paraId="6A8FB8FB">
            <w:pPr>
              <w:pStyle w:val="178"/>
            </w:pPr>
            <w:r>
              <w:rPr>
                <w:rFonts w:hint="eastAsia"/>
              </w:rPr>
              <w:t>轨道安装</w:t>
            </w:r>
          </w:p>
        </w:tc>
        <w:tc>
          <w:tcPr>
            <w:tcW w:w="2500" w:type="dxa"/>
            <w:tcBorders>
              <w:top w:val="single" w:color="auto" w:sz="8" w:space="0"/>
            </w:tcBorders>
            <w:vAlign w:val="center"/>
          </w:tcPr>
          <w:p w14:paraId="26B86DE5">
            <w:pPr>
              <w:pStyle w:val="178"/>
            </w:pPr>
            <w:r>
              <w:rPr>
                <w:rFonts w:hint="eastAsia"/>
              </w:rPr>
              <w:t>轨道跨度、水平度、接头间隙</w:t>
            </w:r>
          </w:p>
        </w:tc>
        <w:tc>
          <w:tcPr>
            <w:tcW w:w="2500" w:type="dxa"/>
            <w:tcBorders>
              <w:top w:val="single" w:color="auto" w:sz="8" w:space="0"/>
            </w:tcBorders>
            <w:vAlign w:val="center"/>
          </w:tcPr>
          <w:p w14:paraId="0C5CB593">
            <w:pPr>
              <w:pStyle w:val="178"/>
            </w:pPr>
            <w:r>
              <w:rPr>
                <w:rFonts w:hint="eastAsia"/>
              </w:rPr>
              <w:t>符合设计文件规定值</w:t>
            </w:r>
          </w:p>
        </w:tc>
        <w:tc>
          <w:tcPr>
            <w:tcW w:w="1526" w:type="dxa"/>
            <w:tcBorders>
              <w:top w:val="single" w:color="auto" w:sz="8" w:space="0"/>
            </w:tcBorders>
            <w:vAlign w:val="center"/>
          </w:tcPr>
          <w:p w14:paraId="5BAE7189">
            <w:pPr>
              <w:pStyle w:val="178"/>
            </w:pPr>
            <w:r>
              <w:rPr>
                <w:rFonts w:hint="eastAsia"/>
              </w:rPr>
              <w:t>须记录实测值</w:t>
            </w:r>
          </w:p>
        </w:tc>
      </w:tr>
      <w:tr w14:paraId="36ABD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dxa"/>
            <w:vAlign w:val="center"/>
          </w:tcPr>
          <w:p w14:paraId="0332D8A0">
            <w:pPr>
              <w:pStyle w:val="178"/>
            </w:pPr>
            <w:r>
              <w:rPr>
                <w:rFonts w:hint="eastAsia"/>
              </w:rPr>
              <w:t>车轮组安装</w:t>
            </w:r>
          </w:p>
        </w:tc>
        <w:tc>
          <w:tcPr>
            <w:tcW w:w="2500" w:type="dxa"/>
            <w:vAlign w:val="center"/>
          </w:tcPr>
          <w:p w14:paraId="50AD3303">
            <w:pPr>
              <w:pStyle w:val="178"/>
            </w:pPr>
            <w:r>
              <w:rPr>
                <w:rFonts w:hint="eastAsia"/>
              </w:rPr>
              <w:t>车轮水平偏斜、垂直偏斜、同位差</w:t>
            </w:r>
          </w:p>
        </w:tc>
        <w:tc>
          <w:tcPr>
            <w:tcW w:w="2500" w:type="dxa"/>
            <w:vAlign w:val="center"/>
          </w:tcPr>
          <w:p w14:paraId="1F8ADF79">
            <w:pPr>
              <w:pStyle w:val="178"/>
            </w:pPr>
            <w:r>
              <w:rPr>
                <w:rFonts w:hint="eastAsia"/>
              </w:rPr>
              <w:t>符合TSG 51规定</w:t>
            </w:r>
          </w:p>
        </w:tc>
        <w:tc>
          <w:tcPr>
            <w:tcW w:w="1526" w:type="dxa"/>
            <w:vAlign w:val="center"/>
          </w:tcPr>
          <w:p w14:paraId="2DABE639">
            <w:pPr>
              <w:pStyle w:val="178"/>
            </w:pPr>
            <w:r>
              <w:rPr>
                <w:rFonts w:hint="eastAsia"/>
              </w:rPr>
              <w:t>须记录实测值</w:t>
            </w:r>
          </w:p>
        </w:tc>
      </w:tr>
      <w:tr w14:paraId="1E0D5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dxa"/>
            <w:vAlign w:val="center"/>
          </w:tcPr>
          <w:p w14:paraId="78F88AE8">
            <w:pPr>
              <w:pStyle w:val="178"/>
            </w:pPr>
            <w:r>
              <w:rPr>
                <w:rFonts w:hint="eastAsia"/>
              </w:rPr>
              <w:t>钢结构</w:t>
            </w:r>
          </w:p>
        </w:tc>
        <w:tc>
          <w:tcPr>
            <w:tcW w:w="2500" w:type="dxa"/>
            <w:vAlign w:val="center"/>
          </w:tcPr>
          <w:p w14:paraId="71F5D313">
            <w:pPr>
              <w:pStyle w:val="178"/>
            </w:pPr>
            <w:r>
              <w:rPr>
                <w:rFonts w:hint="eastAsia"/>
              </w:rPr>
              <w:t>主梁上拱度、旁弯、扭曲</w:t>
            </w:r>
          </w:p>
        </w:tc>
        <w:tc>
          <w:tcPr>
            <w:tcW w:w="2500" w:type="dxa"/>
            <w:vAlign w:val="center"/>
          </w:tcPr>
          <w:p w14:paraId="7EAF7636">
            <w:pPr>
              <w:pStyle w:val="178"/>
            </w:pPr>
            <w:r>
              <w:rPr>
                <w:rFonts w:hint="eastAsia"/>
              </w:rPr>
              <w:t>符合产品技术文件规定</w:t>
            </w:r>
          </w:p>
        </w:tc>
        <w:tc>
          <w:tcPr>
            <w:tcW w:w="1526" w:type="dxa"/>
            <w:vAlign w:val="center"/>
          </w:tcPr>
          <w:p w14:paraId="2C56EEA1">
            <w:pPr>
              <w:pStyle w:val="178"/>
            </w:pPr>
            <w:r>
              <w:rPr>
                <w:rFonts w:hint="eastAsia"/>
              </w:rPr>
              <w:t>须记录实测值</w:t>
            </w:r>
          </w:p>
        </w:tc>
      </w:tr>
      <w:tr w14:paraId="587BA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dxa"/>
            <w:vAlign w:val="center"/>
          </w:tcPr>
          <w:p w14:paraId="00E0C321">
            <w:pPr>
              <w:pStyle w:val="178"/>
            </w:pPr>
            <w:r>
              <w:rPr>
                <w:rFonts w:hint="eastAsia"/>
              </w:rPr>
              <w:t>安全装置</w:t>
            </w:r>
          </w:p>
        </w:tc>
        <w:tc>
          <w:tcPr>
            <w:tcW w:w="2500" w:type="dxa"/>
            <w:vAlign w:val="center"/>
          </w:tcPr>
          <w:p w14:paraId="49AA6F20">
            <w:pPr>
              <w:pStyle w:val="178"/>
            </w:pPr>
            <w:r>
              <w:rPr>
                <w:rFonts w:hint="eastAsia"/>
              </w:rPr>
              <w:t>限位器、缓冲器、防坠装置动作</w:t>
            </w:r>
          </w:p>
        </w:tc>
        <w:tc>
          <w:tcPr>
            <w:tcW w:w="2500" w:type="dxa"/>
            <w:vAlign w:val="center"/>
          </w:tcPr>
          <w:p w14:paraId="2A7609ED">
            <w:pPr>
              <w:pStyle w:val="178"/>
            </w:pPr>
            <w:r>
              <w:rPr>
                <w:rFonts w:hint="eastAsia"/>
              </w:rPr>
              <w:t>动作灵敏、可靠</w:t>
            </w:r>
          </w:p>
        </w:tc>
        <w:tc>
          <w:tcPr>
            <w:tcW w:w="1526" w:type="dxa"/>
            <w:vAlign w:val="center"/>
          </w:tcPr>
          <w:p w14:paraId="0D678C3D">
            <w:pPr>
              <w:pStyle w:val="178"/>
            </w:pPr>
            <w:r>
              <w:rPr>
                <w:rFonts w:hint="eastAsia"/>
              </w:rPr>
              <w:t>须记录动作情况</w:t>
            </w:r>
          </w:p>
        </w:tc>
      </w:tr>
      <w:tr w14:paraId="68758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dxa"/>
            <w:vAlign w:val="center"/>
          </w:tcPr>
          <w:p w14:paraId="1B375671">
            <w:pPr>
              <w:pStyle w:val="178"/>
            </w:pPr>
            <w:r>
              <w:rPr>
                <w:rFonts w:hint="eastAsia"/>
              </w:rPr>
              <w:t>载荷试验</w:t>
            </w:r>
          </w:p>
        </w:tc>
        <w:tc>
          <w:tcPr>
            <w:tcW w:w="2500" w:type="dxa"/>
            <w:vAlign w:val="center"/>
          </w:tcPr>
          <w:p w14:paraId="34FBFCDA">
            <w:pPr>
              <w:pStyle w:val="178"/>
            </w:pPr>
            <w:r>
              <w:rPr>
                <w:rFonts w:hint="eastAsia"/>
              </w:rPr>
              <w:t>静载试验、动载试验</w:t>
            </w:r>
          </w:p>
        </w:tc>
        <w:tc>
          <w:tcPr>
            <w:tcW w:w="2500" w:type="dxa"/>
            <w:vAlign w:val="center"/>
          </w:tcPr>
          <w:p w14:paraId="421FFBD4">
            <w:pPr>
              <w:pStyle w:val="178"/>
            </w:pPr>
            <w:r>
              <w:rPr>
                <w:rFonts w:hint="eastAsia"/>
              </w:rPr>
              <w:t>符合TSG 51规定</w:t>
            </w:r>
          </w:p>
        </w:tc>
        <w:tc>
          <w:tcPr>
            <w:tcW w:w="1526" w:type="dxa"/>
            <w:vAlign w:val="center"/>
          </w:tcPr>
          <w:p w14:paraId="600CDC8A">
            <w:pPr>
              <w:pStyle w:val="178"/>
            </w:pPr>
            <w:r>
              <w:rPr>
                <w:rFonts w:hint="eastAsia"/>
              </w:rPr>
              <w:t>须记录试验数据</w:t>
            </w:r>
          </w:p>
        </w:tc>
      </w:tr>
    </w:tbl>
    <w:p w14:paraId="7F2AEF64">
      <w:pPr>
        <w:pStyle w:val="56"/>
        <w:ind w:firstLine="420"/>
      </w:pPr>
    </w:p>
    <w:p w14:paraId="2D2EC09F">
      <w:pPr>
        <w:pStyle w:val="56"/>
        <w:ind w:firstLine="420"/>
        <w:sectPr>
          <w:pgSz w:w="11906" w:h="16838"/>
          <w:pgMar w:top="1928" w:right="1134" w:bottom="1134" w:left="1134" w:header="1418" w:footer="1134" w:gutter="284"/>
          <w:cols w:space="425" w:num="1"/>
          <w:formProt w:val="0"/>
          <w:docGrid w:linePitch="312" w:charSpace="0"/>
        </w:sectPr>
      </w:pPr>
    </w:p>
    <w:p w14:paraId="75A05FD0">
      <w:pPr>
        <w:pStyle w:val="198"/>
        <w:rPr>
          <w:rFonts w:hint="eastAsia"/>
          <w:vanish w:val="0"/>
        </w:rPr>
      </w:pPr>
    </w:p>
    <w:p w14:paraId="2488966A">
      <w:pPr>
        <w:pStyle w:val="199"/>
        <w:rPr>
          <w:vanish w:val="0"/>
        </w:rPr>
      </w:pPr>
    </w:p>
    <w:p w14:paraId="26FF310F">
      <w:pPr>
        <w:pStyle w:val="76"/>
        <w:spacing w:after="120"/>
      </w:pPr>
      <w:r>
        <w:br w:type="textWrapping"/>
      </w:r>
      <w:bookmarkStart w:id="79" w:name="_Toc226560882"/>
      <w:bookmarkStart w:id="80" w:name="_Toc226634888"/>
      <w:bookmarkStart w:id="81" w:name="_Toc226634933"/>
      <w:bookmarkStart w:id="82" w:name="_Toc226967032"/>
      <w:r>
        <w:rPr>
          <w:rFonts w:hint="eastAsia"/>
        </w:rPr>
        <w:t>（资料性）</w:t>
      </w:r>
      <w:r>
        <w:br w:type="textWrapping"/>
      </w:r>
      <w:r>
        <w:rPr>
          <w:rFonts w:hint="eastAsia"/>
        </w:rPr>
        <w:t>质量检查记录表格模板</w:t>
      </w:r>
      <w:bookmarkEnd w:id="79"/>
      <w:bookmarkEnd w:id="80"/>
      <w:bookmarkEnd w:id="81"/>
      <w:bookmarkEnd w:id="82"/>
    </w:p>
    <w:p w14:paraId="2709CA0B">
      <w:pPr>
        <w:pStyle w:val="211"/>
      </w:pPr>
      <w:r>
        <w:rPr>
          <w:rFonts w:hint="eastAsia"/>
        </w:rPr>
        <w:t>生产单位可参照本附录提供的表格模板建立质量检查记录，表格格式可根据实际需要调整，但记录内容不得少于模板要求。</w:t>
      </w:r>
    </w:p>
    <w:p w14:paraId="3D98C750">
      <w:pPr>
        <w:pStyle w:val="77"/>
        <w:spacing w:before="120" w:after="120"/>
      </w:pPr>
      <w:r>
        <w:rPr>
          <w:rFonts w:hint="eastAsia"/>
        </w:rPr>
        <w:t>关键工序检验记录（模板）</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35"/>
        <w:gridCol w:w="2180"/>
        <w:gridCol w:w="2180"/>
        <w:gridCol w:w="1200"/>
        <w:gridCol w:w="1200"/>
        <w:gridCol w:w="979"/>
      </w:tblGrid>
      <w:tr w14:paraId="7A7E9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72" w:type="pct"/>
            <w:tcBorders>
              <w:top w:val="single" w:color="auto" w:sz="8" w:space="0"/>
              <w:bottom w:val="single" w:color="auto" w:sz="8" w:space="0"/>
            </w:tcBorders>
            <w:vAlign w:val="center"/>
          </w:tcPr>
          <w:p w14:paraId="29230E32">
            <w:pPr>
              <w:pStyle w:val="178"/>
              <w:rPr>
                <w:bCs/>
              </w:rPr>
            </w:pPr>
            <w:r>
              <w:rPr>
                <w:rFonts w:hint="eastAsia"/>
                <w:bCs/>
              </w:rPr>
              <w:t>工序名称</w:t>
            </w:r>
          </w:p>
        </w:tc>
        <w:tc>
          <w:tcPr>
            <w:tcW w:w="1163" w:type="pct"/>
            <w:tcBorders>
              <w:top w:val="single" w:color="auto" w:sz="8" w:space="0"/>
              <w:bottom w:val="single" w:color="auto" w:sz="8" w:space="0"/>
            </w:tcBorders>
            <w:vAlign w:val="center"/>
          </w:tcPr>
          <w:p w14:paraId="40E46E9A">
            <w:pPr>
              <w:pStyle w:val="178"/>
              <w:rPr>
                <w:bCs/>
              </w:rPr>
            </w:pPr>
            <w:r>
              <w:rPr>
                <w:rFonts w:hint="eastAsia"/>
                <w:bCs/>
              </w:rPr>
              <w:t>检验项目</w:t>
            </w:r>
          </w:p>
        </w:tc>
        <w:tc>
          <w:tcPr>
            <w:tcW w:w="1163" w:type="pct"/>
            <w:tcBorders>
              <w:top w:val="single" w:color="auto" w:sz="8" w:space="0"/>
              <w:bottom w:val="single" w:color="auto" w:sz="8" w:space="0"/>
            </w:tcBorders>
            <w:vAlign w:val="center"/>
          </w:tcPr>
          <w:p w14:paraId="1673ED01">
            <w:pPr>
              <w:pStyle w:val="178"/>
              <w:rPr>
                <w:bCs/>
              </w:rPr>
            </w:pPr>
            <w:r>
              <w:rPr>
                <w:rFonts w:hint="eastAsia"/>
                <w:bCs/>
              </w:rPr>
              <w:t>技术要求</w:t>
            </w:r>
          </w:p>
        </w:tc>
        <w:tc>
          <w:tcPr>
            <w:tcW w:w="640" w:type="pct"/>
            <w:tcBorders>
              <w:top w:val="single" w:color="auto" w:sz="8" w:space="0"/>
              <w:bottom w:val="single" w:color="auto" w:sz="8" w:space="0"/>
            </w:tcBorders>
            <w:vAlign w:val="center"/>
          </w:tcPr>
          <w:p w14:paraId="7857F7C8">
            <w:pPr>
              <w:pStyle w:val="178"/>
              <w:rPr>
                <w:bCs/>
              </w:rPr>
            </w:pPr>
            <w:r>
              <w:rPr>
                <w:rFonts w:hint="eastAsia"/>
                <w:bCs/>
              </w:rPr>
              <w:t>实测结果</w:t>
            </w:r>
          </w:p>
        </w:tc>
        <w:tc>
          <w:tcPr>
            <w:tcW w:w="640" w:type="pct"/>
            <w:tcBorders>
              <w:top w:val="single" w:color="auto" w:sz="8" w:space="0"/>
              <w:bottom w:val="single" w:color="auto" w:sz="8" w:space="0"/>
            </w:tcBorders>
            <w:vAlign w:val="center"/>
          </w:tcPr>
          <w:p w14:paraId="61C9AB3D">
            <w:pPr>
              <w:pStyle w:val="178"/>
              <w:rPr>
                <w:bCs/>
              </w:rPr>
            </w:pPr>
            <w:r>
              <w:rPr>
                <w:rFonts w:hint="eastAsia"/>
                <w:bCs/>
              </w:rPr>
              <w:t>判定结论</w:t>
            </w:r>
          </w:p>
        </w:tc>
        <w:tc>
          <w:tcPr>
            <w:tcW w:w="523" w:type="pct"/>
            <w:tcBorders>
              <w:top w:val="single" w:color="auto" w:sz="8" w:space="0"/>
              <w:bottom w:val="single" w:color="auto" w:sz="8" w:space="0"/>
            </w:tcBorders>
            <w:vAlign w:val="center"/>
          </w:tcPr>
          <w:p w14:paraId="10BB3F78">
            <w:pPr>
              <w:pStyle w:val="178"/>
              <w:rPr>
                <w:bCs/>
              </w:rPr>
            </w:pPr>
            <w:r>
              <w:rPr>
                <w:rFonts w:hint="eastAsia"/>
                <w:bCs/>
              </w:rPr>
              <w:t>检验人</w:t>
            </w:r>
          </w:p>
        </w:tc>
      </w:tr>
      <w:tr w14:paraId="7888E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2" w:type="pct"/>
            <w:tcBorders>
              <w:top w:val="single" w:color="auto" w:sz="8" w:space="0"/>
            </w:tcBorders>
            <w:vAlign w:val="center"/>
          </w:tcPr>
          <w:p w14:paraId="66AD9794">
            <w:pPr>
              <w:pStyle w:val="178"/>
            </w:pPr>
          </w:p>
        </w:tc>
        <w:tc>
          <w:tcPr>
            <w:tcW w:w="1163" w:type="pct"/>
            <w:tcBorders>
              <w:top w:val="single" w:color="auto" w:sz="8" w:space="0"/>
            </w:tcBorders>
            <w:vAlign w:val="center"/>
          </w:tcPr>
          <w:p w14:paraId="2C9CE9F3">
            <w:pPr>
              <w:pStyle w:val="178"/>
            </w:pPr>
          </w:p>
        </w:tc>
        <w:tc>
          <w:tcPr>
            <w:tcW w:w="1163" w:type="pct"/>
            <w:tcBorders>
              <w:top w:val="single" w:color="auto" w:sz="8" w:space="0"/>
            </w:tcBorders>
            <w:vAlign w:val="center"/>
          </w:tcPr>
          <w:p w14:paraId="1AC7D94F">
            <w:pPr>
              <w:pStyle w:val="178"/>
            </w:pPr>
          </w:p>
        </w:tc>
        <w:tc>
          <w:tcPr>
            <w:tcW w:w="640" w:type="pct"/>
            <w:tcBorders>
              <w:top w:val="single" w:color="auto" w:sz="8" w:space="0"/>
            </w:tcBorders>
            <w:vAlign w:val="center"/>
          </w:tcPr>
          <w:p w14:paraId="7FE870DB">
            <w:pPr>
              <w:pStyle w:val="178"/>
            </w:pPr>
          </w:p>
        </w:tc>
        <w:tc>
          <w:tcPr>
            <w:tcW w:w="640" w:type="pct"/>
            <w:tcBorders>
              <w:top w:val="single" w:color="auto" w:sz="8" w:space="0"/>
            </w:tcBorders>
            <w:vAlign w:val="center"/>
          </w:tcPr>
          <w:p w14:paraId="133E7480">
            <w:pPr>
              <w:pStyle w:val="178"/>
            </w:pPr>
          </w:p>
        </w:tc>
        <w:tc>
          <w:tcPr>
            <w:tcW w:w="523" w:type="pct"/>
            <w:tcBorders>
              <w:top w:val="single" w:color="auto" w:sz="8" w:space="0"/>
            </w:tcBorders>
            <w:vAlign w:val="center"/>
          </w:tcPr>
          <w:p w14:paraId="5E081E8D">
            <w:pPr>
              <w:pStyle w:val="178"/>
            </w:pPr>
          </w:p>
        </w:tc>
      </w:tr>
      <w:tr w14:paraId="2F782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jc w:val="center"/>
        </w:trPr>
        <w:tc>
          <w:tcPr>
            <w:tcW w:w="872" w:type="pct"/>
            <w:vAlign w:val="center"/>
          </w:tcPr>
          <w:p w14:paraId="38487C4D">
            <w:pPr>
              <w:pStyle w:val="178"/>
            </w:pPr>
          </w:p>
        </w:tc>
        <w:tc>
          <w:tcPr>
            <w:tcW w:w="1163" w:type="pct"/>
            <w:vAlign w:val="center"/>
          </w:tcPr>
          <w:p w14:paraId="4FD56C11">
            <w:pPr>
              <w:pStyle w:val="178"/>
            </w:pPr>
          </w:p>
        </w:tc>
        <w:tc>
          <w:tcPr>
            <w:tcW w:w="1163" w:type="pct"/>
            <w:vAlign w:val="center"/>
          </w:tcPr>
          <w:p w14:paraId="499F96B3">
            <w:pPr>
              <w:pStyle w:val="178"/>
            </w:pPr>
          </w:p>
        </w:tc>
        <w:tc>
          <w:tcPr>
            <w:tcW w:w="640" w:type="pct"/>
            <w:vAlign w:val="center"/>
          </w:tcPr>
          <w:p w14:paraId="0A6538A8">
            <w:pPr>
              <w:pStyle w:val="178"/>
            </w:pPr>
          </w:p>
        </w:tc>
        <w:tc>
          <w:tcPr>
            <w:tcW w:w="640" w:type="pct"/>
            <w:vAlign w:val="center"/>
          </w:tcPr>
          <w:p w14:paraId="683B4086">
            <w:pPr>
              <w:pStyle w:val="178"/>
            </w:pPr>
          </w:p>
        </w:tc>
        <w:tc>
          <w:tcPr>
            <w:tcW w:w="523" w:type="pct"/>
            <w:vAlign w:val="center"/>
          </w:tcPr>
          <w:p w14:paraId="44273710">
            <w:pPr>
              <w:pStyle w:val="178"/>
            </w:pPr>
          </w:p>
        </w:tc>
      </w:tr>
    </w:tbl>
    <w:p w14:paraId="2F866BD6">
      <w:pPr>
        <w:pStyle w:val="56"/>
        <w:ind w:firstLine="420"/>
      </w:pPr>
    </w:p>
    <w:p w14:paraId="52E3C350">
      <w:pPr>
        <w:pStyle w:val="77"/>
        <w:spacing w:before="120" w:after="120"/>
      </w:pPr>
      <w:r>
        <w:rPr>
          <w:rFonts w:hint="eastAsia"/>
        </w:rPr>
        <w:t>不合格品处置记录（模板）</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99"/>
        <w:gridCol w:w="1980"/>
        <w:gridCol w:w="2418"/>
        <w:gridCol w:w="1650"/>
        <w:gridCol w:w="2227"/>
      </w:tblGrid>
      <w:tr w14:paraId="31371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pct"/>
            <w:tcBorders>
              <w:top w:val="single" w:color="auto" w:sz="8" w:space="0"/>
              <w:bottom w:val="single" w:color="auto" w:sz="8" w:space="0"/>
            </w:tcBorders>
            <w:vAlign w:val="center"/>
          </w:tcPr>
          <w:p w14:paraId="06C8B459">
            <w:pPr>
              <w:pStyle w:val="178"/>
              <w:rPr>
                <w:bCs/>
              </w:rPr>
            </w:pPr>
            <w:r>
              <w:rPr>
                <w:rFonts w:hint="eastAsia"/>
                <w:bCs/>
              </w:rPr>
              <w:t>编号</w:t>
            </w:r>
          </w:p>
        </w:tc>
        <w:tc>
          <w:tcPr>
            <w:tcW w:w="1056" w:type="pct"/>
            <w:tcBorders>
              <w:top w:val="single" w:color="auto" w:sz="8" w:space="0"/>
              <w:bottom w:val="single" w:color="auto" w:sz="8" w:space="0"/>
            </w:tcBorders>
            <w:vAlign w:val="center"/>
          </w:tcPr>
          <w:p w14:paraId="5CBB7D77">
            <w:pPr>
              <w:pStyle w:val="178"/>
              <w:rPr>
                <w:bCs/>
              </w:rPr>
            </w:pPr>
            <w:r>
              <w:rPr>
                <w:rFonts w:hint="eastAsia"/>
                <w:bCs/>
              </w:rPr>
              <w:t>不合格描述</w:t>
            </w:r>
          </w:p>
        </w:tc>
        <w:tc>
          <w:tcPr>
            <w:tcW w:w="1290" w:type="pct"/>
            <w:tcBorders>
              <w:top w:val="single" w:color="auto" w:sz="8" w:space="0"/>
              <w:bottom w:val="single" w:color="auto" w:sz="8" w:space="0"/>
            </w:tcBorders>
            <w:vAlign w:val="center"/>
          </w:tcPr>
          <w:p w14:paraId="1FC934D8">
            <w:pPr>
              <w:pStyle w:val="178"/>
              <w:rPr>
                <w:bCs/>
              </w:rPr>
            </w:pPr>
            <w:r>
              <w:rPr>
                <w:rFonts w:hint="eastAsia"/>
                <w:bCs/>
              </w:rPr>
              <w:t>原因分析</w:t>
            </w:r>
          </w:p>
        </w:tc>
        <w:tc>
          <w:tcPr>
            <w:tcW w:w="880" w:type="pct"/>
            <w:tcBorders>
              <w:top w:val="single" w:color="auto" w:sz="8" w:space="0"/>
              <w:bottom w:val="single" w:color="auto" w:sz="8" w:space="0"/>
            </w:tcBorders>
            <w:vAlign w:val="center"/>
          </w:tcPr>
          <w:p w14:paraId="04FD0A8E">
            <w:pPr>
              <w:pStyle w:val="178"/>
              <w:rPr>
                <w:bCs/>
              </w:rPr>
            </w:pPr>
            <w:r>
              <w:rPr>
                <w:rFonts w:hint="eastAsia"/>
                <w:bCs/>
              </w:rPr>
              <w:t>处置方式</w:t>
            </w:r>
          </w:p>
        </w:tc>
        <w:tc>
          <w:tcPr>
            <w:tcW w:w="1188" w:type="pct"/>
            <w:tcBorders>
              <w:top w:val="single" w:color="auto" w:sz="8" w:space="0"/>
              <w:bottom w:val="single" w:color="auto" w:sz="8" w:space="0"/>
            </w:tcBorders>
            <w:vAlign w:val="center"/>
          </w:tcPr>
          <w:p w14:paraId="7A8A9305">
            <w:pPr>
              <w:pStyle w:val="178"/>
              <w:rPr>
                <w:bCs/>
              </w:rPr>
            </w:pPr>
            <w:r>
              <w:rPr>
                <w:rFonts w:hint="eastAsia"/>
                <w:bCs/>
              </w:rPr>
              <w:t>复验结论及签字</w:t>
            </w:r>
          </w:p>
        </w:tc>
      </w:tr>
      <w:tr w14:paraId="40F91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86" w:type="pct"/>
            <w:tcBorders>
              <w:top w:val="single" w:color="auto" w:sz="8" w:space="0"/>
            </w:tcBorders>
            <w:vAlign w:val="center"/>
          </w:tcPr>
          <w:p w14:paraId="28B34117">
            <w:pPr>
              <w:pStyle w:val="178"/>
            </w:pPr>
          </w:p>
        </w:tc>
        <w:tc>
          <w:tcPr>
            <w:tcW w:w="1056" w:type="pct"/>
            <w:tcBorders>
              <w:top w:val="single" w:color="auto" w:sz="8" w:space="0"/>
            </w:tcBorders>
            <w:vAlign w:val="center"/>
          </w:tcPr>
          <w:p w14:paraId="7FD4D1BD">
            <w:pPr>
              <w:pStyle w:val="178"/>
            </w:pPr>
          </w:p>
        </w:tc>
        <w:tc>
          <w:tcPr>
            <w:tcW w:w="1290" w:type="pct"/>
            <w:tcBorders>
              <w:top w:val="single" w:color="auto" w:sz="8" w:space="0"/>
            </w:tcBorders>
            <w:vAlign w:val="center"/>
          </w:tcPr>
          <w:p w14:paraId="227F3D51">
            <w:pPr>
              <w:pStyle w:val="178"/>
            </w:pPr>
          </w:p>
        </w:tc>
        <w:tc>
          <w:tcPr>
            <w:tcW w:w="880" w:type="pct"/>
            <w:tcBorders>
              <w:top w:val="single" w:color="auto" w:sz="8" w:space="0"/>
            </w:tcBorders>
            <w:vAlign w:val="center"/>
          </w:tcPr>
          <w:p w14:paraId="0660176F">
            <w:pPr>
              <w:pStyle w:val="178"/>
            </w:pPr>
            <w:r>
              <w:rPr>
                <w:rFonts w:hint="eastAsia"/>
              </w:rPr>
              <w:t xml:space="preserve">□返工 □返修 </w:t>
            </w:r>
          </w:p>
          <w:p w14:paraId="2F6FA9FC">
            <w:pPr>
              <w:pStyle w:val="178"/>
            </w:pPr>
            <w:r>
              <w:rPr>
                <w:rFonts w:hint="eastAsia"/>
              </w:rPr>
              <w:t>□降级 □报废</w:t>
            </w:r>
          </w:p>
        </w:tc>
        <w:tc>
          <w:tcPr>
            <w:tcW w:w="1188" w:type="pct"/>
            <w:tcBorders>
              <w:top w:val="single" w:color="auto" w:sz="8" w:space="0"/>
            </w:tcBorders>
            <w:vAlign w:val="center"/>
          </w:tcPr>
          <w:p w14:paraId="69D8E5E9">
            <w:pPr>
              <w:pStyle w:val="178"/>
            </w:pPr>
          </w:p>
        </w:tc>
      </w:tr>
    </w:tbl>
    <w:p w14:paraId="4995664E">
      <w:pPr>
        <w:pStyle w:val="56"/>
        <w:ind w:firstLine="420"/>
      </w:pPr>
    </w:p>
    <w:bookmarkEnd w:id="74"/>
    <w:p w14:paraId="19CB3A3D">
      <w:pPr>
        <w:pStyle w:val="56"/>
        <w:ind w:firstLine="0" w:firstLineChars="0"/>
        <w:jc w:val="center"/>
      </w:pPr>
      <w:bookmarkStart w:id="83" w:name="BookMark8"/>
      <w:r>
        <w:rPr>
          <w:rFonts w:hint="eastAsia"/>
        </w:rPr>
        <w:drawing>
          <wp:inline distT="0" distB="0" distL="0" distR="0">
            <wp:extent cx="1485900" cy="317500"/>
            <wp:effectExtent l="0" t="0" r="0" b="6350"/>
            <wp:docPr id="1271374717" name="图片 3"/>
            <wp:cNvGraphicFramePr/>
            <a:graphic xmlns:a="http://schemas.openxmlformats.org/drawingml/2006/main">
              <a:graphicData uri="http://schemas.openxmlformats.org/drawingml/2006/picture">
                <pic:pic xmlns:pic="http://schemas.openxmlformats.org/drawingml/2006/picture">
                  <pic:nvPicPr>
                    <pic:cNvPr id="1271374717"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CC4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27E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FCE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FC9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C5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415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FD6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1D3B">
    <w:pPr>
      <w:pStyle w:val="61"/>
      <w:rPr>
        <w:rFonts w:hint="eastAsia"/>
      </w:rPr>
    </w:pPr>
    <w:r>
      <w:fldChar w:fldCharType="begin"/>
    </w:r>
    <w:r>
      <w:instrText xml:space="preserve"> STYLEREF  标准文件_文件编号  \* MERGEFORMAT </w:instrText>
    </w:r>
    <w:r>
      <w:fldChar w:fldCharType="separate"/>
    </w:r>
    <w:r>
      <w:t>T/CWDPA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1CC4">
    <w:pPr>
      <w:pStyle w:val="18"/>
      <w:jc w:val="right"/>
    </w:pPr>
    <w:r>
      <w:fldChar w:fldCharType="begin"/>
    </w:r>
    <w:r>
      <w:instrText xml:space="preserve"> STYLEREF  标准文件_文件编号  \* MERGEFORMAT </w:instrText>
    </w:r>
    <w:r>
      <w:fldChar w:fldCharType="separate"/>
    </w:r>
    <w:r>
      <w:t>T/CWDPA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EF"/>
    <w:rsid w:val="0000040A"/>
    <w:rsid w:val="00000A94"/>
    <w:rsid w:val="00001663"/>
    <w:rsid w:val="00001972"/>
    <w:rsid w:val="00001D9A"/>
    <w:rsid w:val="0000572E"/>
    <w:rsid w:val="00007B3A"/>
    <w:rsid w:val="000107E0"/>
    <w:rsid w:val="00011FDE"/>
    <w:rsid w:val="00012FFD"/>
    <w:rsid w:val="00014162"/>
    <w:rsid w:val="00014340"/>
    <w:rsid w:val="00016A9C"/>
    <w:rsid w:val="00022184"/>
    <w:rsid w:val="00022617"/>
    <w:rsid w:val="00022762"/>
    <w:rsid w:val="000238E0"/>
    <w:rsid w:val="000249DB"/>
    <w:rsid w:val="0002595E"/>
    <w:rsid w:val="000303C3"/>
    <w:rsid w:val="000331D3"/>
    <w:rsid w:val="000346A5"/>
    <w:rsid w:val="000359C3"/>
    <w:rsid w:val="00035A7D"/>
    <w:rsid w:val="000365ED"/>
    <w:rsid w:val="0004249A"/>
    <w:rsid w:val="00043282"/>
    <w:rsid w:val="00044286"/>
    <w:rsid w:val="00047011"/>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65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E9B"/>
    <w:rsid w:val="00113820"/>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A4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EAF"/>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2E77"/>
    <w:rsid w:val="0027320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7C4"/>
    <w:rsid w:val="002B5779"/>
    <w:rsid w:val="002B7332"/>
    <w:rsid w:val="002B7F51"/>
    <w:rsid w:val="002C09E7"/>
    <w:rsid w:val="002C1E06"/>
    <w:rsid w:val="002C2338"/>
    <w:rsid w:val="002C3F07"/>
    <w:rsid w:val="002C5278"/>
    <w:rsid w:val="002C7EBB"/>
    <w:rsid w:val="002D06C1"/>
    <w:rsid w:val="002D18A7"/>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567"/>
    <w:rsid w:val="003331E4"/>
    <w:rsid w:val="00336C64"/>
    <w:rsid w:val="00337162"/>
    <w:rsid w:val="0034194F"/>
    <w:rsid w:val="00344605"/>
    <w:rsid w:val="003474AA"/>
    <w:rsid w:val="00350D1D"/>
    <w:rsid w:val="00352C83"/>
    <w:rsid w:val="00352F1A"/>
    <w:rsid w:val="0036107C"/>
    <w:rsid w:val="0036148B"/>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36E"/>
    <w:rsid w:val="003D0519"/>
    <w:rsid w:val="003D0FF6"/>
    <w:rsid w:val="003D262C"/>
    <w:rsid w:val="003D36B8"/>
    <w:rsid w:val="003D4CF9"/>
    <w:rsid w:val="003D6D61"/>
    <w:rsid w:val="003E019F"/>
    <w:rsid w:val="003E091D"/>
    <w:rsid w:val="003E1C53"/>
    <w:rsid w:val="003E2A69"/>
    <w:rsid w:val="003E2D49"/>
    <w:rsid w:val="003E2FD4"/>
    <w:rsid w:val="003E49F6"/>
    <w:rsid w:val="003E4DF9"/>
    <w:rsid w:val="003E660F"/>
    <w:rsid w:val="003F0841"/>
    <w:rsid w:val="003F23D3"/>
    <w:rsid w:val="003F3F08"/>
    <w:rsid w:val="003F49F1"/>
    <w:rsid w:val="003F6272"/>
    <w:rsid w:val="00400E72"/>
    <w:rsid w:val="00401400"/>
    <w:rsid w:val="00401FDC"/>
    <w:rsid w:val="00404869"/>
    <w:rsid w:val="00405884"/>
    <w:rsid w:val="00407D39"/>
    <w:rsid w:val="0041477A"/>
    <w:rsid w:val="004167A3"/>
    <w:rsid w:val="004222EF"/>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28"/>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0B4"/>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486"/>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120C"/>
    <w:rsid w:val="006A25E5"/>
    <w:rsid w:val="006A2B46"/>
    <w:rsid w:val="006A336D"/>
    <w:rsid w:val="006A37B9"/>
    <w:rsid w:val="006B2672"/>
    <w:rsid w:val="006B54BF"/>
    <w:rsid w:val="006B5F44"/>
    <w:rsid w:val="006B5F90"/>
    <w:rsid w:val="006B62E4"/>
    <w:rsid w:val="006C1BBA"/>
    <w:rsid w:val="006C2079"/>
    <w:rsid w:val="006C5A62"/>
    <w:rsid w:val="006C5D68"/>
    <w:rsid w:val="006C62FA"/>
    <w:rsid w:val="006C6976"/>
    <w:rsid w:val="006C6DD0"/>
    <w:rsid w:val="006D04EA"/>
    <w:rsid w:val="006D16C4"/>
    <w:rsid w:val="006D3E96"/>
    <w:rsid w:val="006D4515"/>
    <w:rsid w:val="006D4BB1"/>
    <w:rsid w:val="006D6593"/>
    <w:rsid w:val="006F03A8"/>
    <w:rsid w:val="006F1DF3"/>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C4B"/>
    <w:rsid w:val="00724E1B"/>
    <w:rsid w:val="00725949"/>
    <w:rsid w:val="00727FA2"/>
    <w:rsid w:val="007322D9"/>
    <w:rsid w:val="00732BC0"/>
    <w:rsid w:val="00735534"/>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094"/>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6C0"/>
    <w:rsid w:val="00783ECF"/>
    <w:rsid w:val="0078413A"/>
    <w:rsid w:val="0079149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6B2"/>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2F5"/>
    <w:rsid w:val="00883F93"/>
    <w:rsid w:val="00884DB3"/>
    <w:rsid w:val="00885A9D"/>
    <w:rsid w:val="008864F6"/>
    <w:rsid w:val="0089049D"/>
    <w:rsid w:val="008928C9"/>
    <w:rsid w:val="008930CB"/>
    <w:rsid w:val="008938DC"/>
    <w:rsid w:val="00893D40"/>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51F"/>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F28"/>
    <w:rsid w:val="009245AE"/>
    <w:rsid w:val="009245F5"/>
    <w:rsid w:val="009249EC"/>
    <w:rsid w:val="009273B3"/>
    <w:rsid w:val="009305B5"/>
    <w:rsid w:val="00937838"/>
    <w:rsid w:val="009378DD"/>
    <w:rsid w:val="009429D5"/>
    <w:rsid w:val="00942BF1"/>
    <w:rsid w:val="00945180"/>
    <w:rsid w:val="00945428"/>
    <w:rsid w:val="00945E88"/>
    <w:rsid w:val="0094607B"/>
    <w:rsid w:val="00953604"/>
    <w:rsid w:val="0095496B"/>
    <w:rsid w:val="00960F1E"/>
    <w:rsid w:val="009610DC"/>
    <w:rsid w:val="00961490"/>
    <w:rsid w:val="0096381A"/>
    <w:rsid w:val="00965E04"/>
    <w:rsid w:val="009674AD"/>
    <w:rsid w:val="00970CDC"/>
    <w:rsid w:val="00975727"/>
    <w:rsid w:val="00977010"/>
    <w:rsid w:val="00977D02"/>
    <w:rsid w:val="00977DDB"/>
    <w:rsid w:val="00977FF9"/>
    <w:rsid w:val="009809BB"/>
    <w:rsid w:val="0098364B"/>
    <w:rsid w:val="009908A3"/>
    <w:rsid w:val="009911AF"/>
    <w:rsid w:val="00991875"/>
    <w:rsid w:val="00991F92"/>
    <w:rsid w:val="00992985"/>
    <w:rsid w:val="00993889"/>
    <w:rsid w:val="0099551B"/>
    <w:rsid w:val="00995DB3"/>
    <w:rsid w:val="00996BD2"/>
    <w:rsid w:val="00997BF1"/>
    <w:rsid w:val="009A089C"/>
    <w:rsid w:val="009A0C22"/>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3DD"/>
    <w:rsid w:val="00A3060C"/>
    <w:rsid w:val="00A30EFC"/>
    <w:rsid w:val="00A31984"/>
    <w:rsid w:val="00A32D73"/>
    <w:rsid w:val="00A3367B"/>
    <w:rsid w:val="00A33C67"/>
    <w:rsid w:val="00A3597D"/>
    <w:rsid w:val="00A36758"/>
    <w:rsid w:val="00A36DD1"/>
    <w:rsid w:val="00A4006C"/>
    <w:rsid w:val="00A40091"/>
    <w:rsid w:val="00A4030F"/>
    <w:rsid w:val="00A41C79"/>
    <w:rsid w:val="00A41CB5"/>
    <w:rsid w:val="00A42CDF"/>
    <w:rsid w:val="00A4452E"/>
    <w:rsid w:val="00A4472C"/>
    <w:rsid w:val="00A44E69"/>
    <w:rsid w:val="00A4661E"/>
    <w:rsid w:val="00A55BD6"/>
    <w:rsid w:val="00A55D50"/>
    <w:rsid w:val="00A561B7"/>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2B"/>
    <w:rsid w:val="00AA1E45"/>
    <w:rsid w:val="00AA4286"/>
    <w:rsid w:val="00AA456B"/>
    <w:rsid w:val="00AA57F5"/>
    <w:rsid w:val="00AA672E"/>
    <w:rsid w:val="00AA6EC9"/>
    <w:rsid w:val="00AA7271"/>
    <w:rsid w:val="00AA7413"/>
    <w:rsid w:val="00AB33D6"/>
    <w:rsid w:val="00AB6309"/>
    <w:rsid w:val="00AB6C5F"/>
    <w:rsid w:val="00AB7129"/>
    <w:rsid w:val="00AC27A6"/>
    <w:rsid w:val="00AC30F7"/>
    <w:rsid w:val="00AC3A5A"/>
    <w:rsid w:val="00AC4D95"/>
    <w:rsid w:val="00AC5DF4"/>
    <w:rsid w:val="00AD0AEF"/>
    <w:rsid w:val="00AD11B7"/>
    <w:rsid w:val="00AD1A94"/>
    <w:rsid w:val="00AD1C05"/>
    <w:rsid w:val="00AD32DD"/>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B3"/>
    <w:rsid w:val="00B31FB1"/>
    <w:rsid w:val="00B33952"/>
    <w:rsid w:val="00B33C5E"/>
    <w:rsid w:val="00B342F4"/>
    <w:rsid w:val="00B34369"/>
    <w:rsid w:val="00B34DC2"/>
    <w:rsid w:val="00B378E5"/>
    <w:rsid w:val="00B4346D"/>
    <w:rsid w:val="00B440F4"/>
    <w:rsid w:val="00B447A5"/>
    <w:rsid w:val="00B44C23"/>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E46"/>
    <w:rsid w:val="00BF74A6"/>
    <w:rsid w:val="00C013AD"/>
    <w:rsid w:val="00C04904"/>
    <w:rsid w:val="00C056B3"/>
    <w:rsid w:val="00C103E5"/>
    <w:rsid w:val="00C13319"/>
    <w:rsid w:val="00C13EE9"/>
    <w:rsid w:val="00C21540"/>
    <w:rsid w:val="00C21906"/>
    <w:rsid w:val="00C21BFA"/>
    <w:rsid w:val="00C22BD3"/>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393"/>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747"/>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05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2E9"/>
    <w:rsid w:val="00E1643F"/>
    <w:rsid w:val="00E202EF"/>
    <w:rsid w:val="00E210B5"/>
    <w:rsid w:val="00E2552F"/>
    <w:rsid w:val="00E3137A"/>
    <w:rsid w:val="00E32CCF"/>
    <w:rsid w:val="00E34A98"/>
    <w:rsid w:val="00E34F8E"/>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921"/>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6453"/>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DE7"/>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5A71"/>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001"/>
    <w:rsid w:val="00FD7299"/>
    <w:rsid w:val="00FE1FBE"/>
    <w:rsid w:val="00FE3901"/>
    <w:rsid w:val="00FE39D3"/>
    <w:rsid w:val="00FE4BCE"/>
    <w:rsid w:val="00FE54AE"/>
    <w:rsid w:val="00FE576A"/>
    <w:rsid w:val="00FE7E79"/>
    <w:rsid w:val="00FF3E7D"/>
    <w:rsid w:val="00FF5B99"/>
    <w:rsid w:val="00FF730C"/>
    <w:rsid w:val="00FF73F4"/>
    <w:rsid w:val="00FF7CE4"/>
    <w:rsid w:val="00FF7E39"/>
    <w:rsid w:val="12B11585"/>
    <w:rsid w:val="1B495A57"/>
    <w:rsid w:val="250C1FD0"/>
    <w:rsid w:val="340A1DD0"/>
    <w:rsid w:val="348E0C53"/>
    <w:rsid w:val="359F6A89"/>
    <w:rsid w:val="3C642299"/>
    <w:rsid w:val="41EE0F83"/>
    <w:rsid w:val="49C26C73"/>
    <w:rsid w:val="4A2C2648"/>
    <w:rsid w:val="4D55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4AA406CD664F79A5B0FAC3CFF409CC"/>
        <w:style w:val=""/>
        <w:category>
          <w:name w:val="常规"/>
          <w:gallery w:val="placeholder"/>
        </w:category>
        <w:types>
          <w:type w:val="bbPlcHdr"/>
        </w:types>
        <w:behaviors>
          <w:behavior w:val="content"/>
        </w:behaviors>
        <w:description w:val=""/>
        <w:guid w:val="{3BBFBF8E-3300-40F4-B245-DDF59669E23A}"/>
      </w:docPartPr>
      <w:docPartBody>
        <w:p w14:paraId="5B6A3A6E">
          <w:pPr>
            <w:pStyle w:val="5"/>
            <w:rPr>
              <w:rFonts w:hint="eastAsia"/>
            </w:rPr>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12"/>
    <w:rsid w:val="00044186"/>
    <w:rsid w:val="00052BEF"/>
    <w:rsid w:val="00110E9B"/>
    <w:rsid w:val="001F1712"/>
    <w:rsid w:val="002A16FB"/>
    <w:rsid w:val="006819D5"/>
    <w:rsid w:val="00735534"/>
    <w:rsid w:val="00893D40"/>
    <w:rsid w:val="008F1803"/>
    <w:rsid w:val="00917F28"/>
    <w:rsid w:val="00A01F9E"/>
    <w:rsid w:val="00A263DD"/>
    <w:rsid w:val="00A27B2F"/>
    <w:rsid w:val="00C71393"/>
    <w:rsid w:val="00E7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84AA406CD664F79A5B0FAC3CFF409C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5054</Words>
  <Characters>5449</Characters>
  <Lines>49</Lines>
  <Paragraphs>13</Paragraphs>
  <TotalTime>0</TotalTime>
  <ScaleCrop>false</ScaleCrop>
  <LinksUpToDate>false</LinksUpToDate>
  <CharactersWithSpaces>5567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2026-04-09T03:24:00Z</dcterms:created>
  <dc:creator>Administrator</dc:creator>
  <dc:description>&lt;config cover="true" show_menu="true" version="1.0.0" doctype="SDKXY"&gt;_x000d_
&lt;/config&gt;</dc:description>
  <cp:lastModifiedBy>Shimmer</cp:lastModifiedBy>
  <cp:lastPrinted>2021-02-02T08:22:00Z</cp:lastPrinted>
  <dcterms:modified xsi:type="dcterms:W3CDTF">2026-04-13T03:21:22Z</dcterms:modified>
  <dc:title>团体标准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eyJoZGlkIjoiZmI4NzA3YWJkZTNiMTc3NTMxNjg2NjdhMzlhNTVhYjgiLCJ1c2VySWQiOiIxNjEyNTI2NzM3In0=</vt:lpwstr>
  </property>
  <property fmtid="{D5CDD505-2E9C-101B-9397-08002B2CF9AE}" pid="15" name="KSOProductBuildVer">
    <vt:lpwstr>2052-12.1.0.25225</vt:lpwstr>
  </property>
  <property fmtid="{D5CDD505-2E9C-101B-9397-08002B2CF9AE}" pid="16" name="ICV">
    <vt:lpwstr>F28EEAD4F1434704A49153125C3AA7FD_13</vt:lpwstr>
  </property>
</Properties>
</file>