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Pr="00033B77" w:rsidRDefault="00505FBC">
      <w:pPr>
        <w:adjustRightInd w:val="0"/>
        <w:snapToGrid w:val="0"/>
        <w:spacing w:line="360" w:lineRule="auto"/>
        <w:jc w:val="center"/>
        <w:rPr>
          <w:rFonts w:ascii="Times New Roman" w:eastAsia="黑体" w:hAnsi="Times New Roman" w:cs="Times New Roman"/>
          <w:b/>
          <w:sz w:val="48"/>
          <w:szCs w:val="48"/>
        </w:rPr>
      </w:pPr>
    </w:p>
    <w:p w14:paraId="306ABD1B" w14:textId="7BF2DF7C" w:rsidR="00505FBC" w:rsidRPr="00033B77" w:rsidRDefault="00033B77">
      <w:pPr>
        <w:adjustRightInd w:val="0"/>
        <w:snapToGrid w:val="0"/>
        <w:spacing w:line="360" w:lineRule="auto"/>
        <w:jc w:val="center"/>
        <w:rPr>
          <w:rFonts w:ascii="Times New Roman" w:eastAsia="黑体" w:hAnsi="Times New Roman" w:cs="Times New Roman"/>
          <w:b/>
          <w:sz w:val="52"/>
          <w:szCs w:val="52"/>
        </w:rPr>
      </w:pPr>
      <w:r w:rsidRPr="00033B77">
        <w:rPr>
          <w:rFonts w:ascii="Times New Roman" w:eastAsia="黑体" w:hAnsi="Times New Roman" w:cs="Times New Roman"/>
          <w:b/>
          <w:sz w:val="52"/>
          <w:szCs w:val="52"/>
        </w:rPr>
        <w:t>机电特种设备制造安装质量管理规范</w:t>
      </w:r>
    </w:p>
    <w:p w14:paraId="09E57553" w14:textId="77777777" w:rsidR="00505FBC" w:rsidRPr="00033B77"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033B77" w:rsidRDefault="00000000">
      <w:pPr>
        <w:spacing w:line="480" w:lineRule="auto"/>
        <w:jc w:val="center"/>
        <w:rPr>
          <w:rFonts w:ascii="Times New Roman" w:eastAsia="黑体" w:hAnsi="Times New Roman" w:cs="Times New Roman"/>
          <w:b/>
          <w:sz w:val="52"/>
          <w:szCs w:val="52"/>
        </w:rPr>
      </w:pPr>
      <w:r w:rsidRPr="00033B77">
        <w:rPr>
          <w:rFonts w:ascii="Times New Roman" w:eastAsia="黑体" w:hAnsi="Times New Roman" w:cs="Times New Roman"/>
          <w:b/>
          <w:sz w:val="52"/>
          <w:szCs w:val="52"/>
        </w:rPr>
        <w:t>编</w:t>
      </w:r>
      <w:r w:rsidRPr="00033B77">
        <w:rPr>
          <w:rFonts w:ascii="Times New Roman" w:eastAsia="黑体" w:hAnsi="Times New Roman" w:cs="Times New Roman"/>
          <w:b/>
          <w:sz w:val="52"/>
          <w:szCs w:val="52"/>
        </w:rPr>
        <w:t xml:space="preserve"> </w:t>
      </w:r>
      <w:r w:rsidRPr="00033B77">
        <w:rPr>
          <w:rFonts w:ascii="Times New Roman" w:eastAsia="黑体" w:hAnsi="Times New Roman" w:cs="Times New Roman"/>
          <w:b/>
          <w:sz w:val="52"/>
          <w:szCs w:val="52"/>
        </w:rPr>
        <w:t>制</w:t>
      </w:r>
      <w:r w:rsidRPr="00033B77">
        <w:rPr>
          <w:rFonts w:ascii="Times New Roman" w:eastAsia="黑体" w:hAnsi="Times New Roman" w:cs="Times New Roman"/>
          <w:b/>
          <w:sz w:val="52"/>
          <w:szCs w:val="52"/>
        </w:rPr>
        <w:t xml:space="preserve"> </w:t>
      </w:r>
      <w:r w:rsidRPr="00033B77">
        <w:rPr>
          <w:rFonts w:ascii="Times New Roman" w:eastAsia="黑体" w:hAnsi="Times New Roman" w:cs="Times New Roman"/>
          <w:b/>
          <w:sz w:val="52"/>
          <w:szCs w:val="52"/>
        </w:rPr>
        <w:t>说</w:t>
      </w:r>
      <w:r w:rsidRPr="00033B77">
        <w:rPr>
          <w:rFonts w:ascii="Times New Roman" w:eastAsia="黑体" w:hAnsi="Times New Roman" w:cs="Times New Roman"/>
          <w:b/>
          <w:sz w:val="52"/>
          <w:szCs w:val="52"/>
        </w:rPr>
        <w:t xml:space="preserve"> </w:t>
      </w:r>
      <w:r w:rsidRPr="00033B77">
        <w:rPr>
          <w:rFonts w:ascii="Times New Roman" w:eastAsia="黑体" w:hAnsi="Times New Roman" w:cs="Times New Roman"/>
          <w:b/>
          <w:sz w:val="52"/>
          <w:szCs w:val="52"/>
        </w:rPr>
        <w:t>明</w:t>
      </w:r>
    </w:p>
    <w:p w14:paraId="28444C2B"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033B77" w:rsidRDefault="00505FBC">
      <w:pPr>
        <w:adjustRightInd w:val="0"/>
        <w:snapToGrid w:val="0"/>
        <w:spacing w:line="360" w:lineRule="auto"/>
        <w:rPr>
          <w:rFonts w:ascii="Times New Roman" w:eastAsia="仿宋" w:hAnsi="Times New Roman" w:cs="Times New Roman"/>
          <w:b/>
          <w:sz w:val="24"/>
          <w:szCs w:val="24"/>
        </w:rPr>
      </w:pPr>
    </w:p>
    <w:p w14:paraId="7A8D1626" w14:textId="0DA64048" w:rsidR="00505FBC" w:rsidRDefault="00000000">
      <w:pPr>
        <w:spacing w:line="480" w:lineRule="auto"/>
        <w:jc w:val="center"/>
        <w:rPr>
          <w:rFonts w:ascii="Times New Roman" w:eastAsia="楷体_GB2312" w:hAnsi="Times New Roman" w:cs="Times New Roman"/>
          <w:b/>
          <w:sz w:val="36"/>
          <w:szCs w:val="36"/>
        </w:rPr>
      </w:pPr>
      <w:r w:rsidRPr="00033B77">
        <w:rPr>
          <w:rFonts w:ascii="Times New Roman" w:eastAsia="楷体_GB2312" w:hAnsi="Times New Roman" w:cs="Times New Roman"/>
          <w:b/>
          <w:sz w:val="36"/>
          <w:szCs w:val="36"/>
        </w:rPr>
        <w:t>《</w:t>
      </w:r>
      <w:r w:rsidR="00033B77" w:rsidRPr="00033B77">
        <w:rPr>
          <w:rFonts w:ascii="Times New Roman" w:eastAsia="楷体_GB2312" w:hAnsi="Times New Roman" w:cs="Times New Roman"/>
          <w:b/>
          <w:sz w:val="36"/>
          <w:szCs w:val="36"/>
        </w:rPr>
        <w:t>机电特种设备制造安装质量管理规范</w:t>
      </w:r>
      <w:r w:rsidRPr="00033B77">
        <w:rPr>
          <w:rFonts w:ascii="Times New Roman" w:eastAsia="楷体_GB2312" w:hAnsi="Times New Roman" w:cs="Times New Roman"/>
          <w:b/>
          <w:sz w:val="36"/>
          <w:szCs w:val="36"/>
        </w:rPr>
        <w:t>》小组</w:t>
      </w:r>
    </w:p>
    <w:p w14:paraId="1197A080" w14:textId="27684C00"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C756A">
        <w:rPr>
          <w:rFonts w:ascii="Times New Roman" w:eastAsia="楷体_GB2312" w:hAnsi="Times New Roman" w:cs="Times New Roman" w:hint="eastAsia"/>
          <w:b/>
          <w:sz w:val="36"/>
          <w:szCs w:val="36"/>
        </w:rPr>
        <w:t>六</w:t>
      </w:r>
      <w:r>
        <w:rPr>
          <w:rFonts w:ascii="Times New Roman" w:eastAsia="楷体_GB2312" w:hAnsi="Times New Roman" w:cs="Times New Roman"/>
          <w:b/>
          <w:sz w:val="36"/>
          <w:szCs w:val="36"/>
        </w:rPr>
        <w:t>年</w:t>
      </w:r>
      <w:r w:rsidR="00F420F2">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2E5CF577"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r w:rsidRPr="00033B77">
            <w:rPr>
              <w:rFonts w:ascii="Times New Roman" w:eastAsia="黑体" w:hAnsi="Times New Roman" w:cs="Times New Roman"/>
              <w:sz w:val="32"/>
              <w:szCs w:val="32"/>
            </w:rPr>
            <w:fldChar w:fldCharType="begin"/>
          </w:r>
          <w:r w:rsidRPr="00033B77">
            <w:rPr>
              <w:rFonts w:ascii="Times New Roman" w:eastAsia="黑体" w:hAnsi="Times New Roman" w:cs="Times New Roman"/>
              <w:sz w:val="32"/>
              <w:szCs w:val="32"/>
            </w:rPr>
            <w:instrText xml:space="preserve">TOC \o "1-1" \h \u </w:instrText>
          </w:r>
          <w:r w:rsidRPr="00033B77">
            <w:rPr>
              <w:rFonts w:ascii="Times New Roman" w:eastAsia="黑体" w:hAnsi="Times New Roman" w:cs="Times New Roman"/>
              <w:sz w:val="32"/>
              <w:szCs w:val="32"/>
            </w:rPr>
            <w:fldChar w:fldCharType="separate"/>
          </w:r>
          <w:hyperlink w:anchor="_Toc19956" w:history="1">
            <w:r w:rsidRPr="00033B77">
              <w:rPr>
                <w:rFonts w:ascii="Times New Roman" w:eastAsia="黑体" w:hAnsi="Times New Roman" w:cs="Times New Roman"/>
                <w:noProof/>
                <w:sz w:val="28"/>
                <w:szCs w:val="40"/>
              </w:rPr>
              <w:t>一、工作简况</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_Toc19956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w:t>
            </w:r>
            <w:r w:rsidRPr="00033B77">
              <w:rPr>
                <w:rFonts w:ascii="Times New Roman" w:eastAsia="黑体" w:hAnsi="Times New Roman" w:cs="Times New Roman"/>
                <w:noProof/>
                <w:sz w:val="28"/>
                <w:szCs w:val="32"/>
              </w:rPr>
              <w:fldChar w:fldCharType="end"/>
            </w:r>
          </w:hyperlink>
        </w:p>
        <w:p w14:paraId="266F1170" w14:textId="4DD3B3CE"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sidRPr="00033B77">
              <w:rPr>
                <w:rFonts w:ascii="Times New Roman" w:eastAsia="黑体" w:hAnsi="Times New Roman" w:cs="Times New Roman"/>
                <w:noProof/>
                <w:sz w:val="28"/>
                <w:szCs w:val="40"/>
              </w:rPr>
              <w:t>二、标准编制原则和主要内容</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_Toc16067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3</w:t>
            </w:r>
            <w:r w:rsidRPr="00033B77">
              <w:rPr>
                <w:rFonts w:ascii="Times New Roman" w:eastAsia="黑体" w:hAnsi="Times New Roman" w:cs="Times New Roman"/>
                <w:noProof/>
                <w:sz w:val="28"/>
                <w:szCs w:val="32"/>
              </w:rPr>
              <w:fldChar w:fldCharType="end"/>
            </w:r>
          </w:hyperlink>
        </w:p>
        <w:p w14:paraId="0DFCC1BE" w14:textId="33220E84"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sidRPr="00033B77">
              <w:rPr>
                <w:rFonts w:ascii="Times New Roman" w:eastAsia="黑体" w:hAnsi="Times New Roman" w:cs="Times New Roman"/>
                <w:noProof/>
                <w:kern w:val="0"/>
                <w:sz w:val="28"/>
                <w:szCs w:val="40"/>
              </w:rPr>
              <w:t>三、主要试验和情况分析</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_Toc12675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14</w:t>
            </w:r>
            <w:r w:rsidRPr="00033B77">
              <w:rPr>
                <w:rFonts w:ascii="Times New Roman" w:eastAsia="黑体" w:hAnsi="Times New Roman" w:cs="Times New Roman"/>
                <w:noProof/>
                <w:sz w:val="28"/>
                <w:szCs w:val="32"/>
              </w:rPr>
              <w:fldChar w:fldCharType="end"/>
            </w:r>
          </w:hyperlink>
        </w:p>
        <w:p w14:paraId="34A15783" w14:textId="444E70FB"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sidRPr="00033B77">
              <w:rPr>
                <w:rFonts w:ascii="Times New Roman" w:eastAsia="黑体" w:hAnsi="Times New Roman" w:cs="Times New Roman"/>
                <w:noProof/>
                <w:kern w:val="0"/>
                <w:sz w:val="28"/>
                <w:szCs w:val="40"/>
              </w:rPr>
              <w:t>四、标准中涉及专利的情况</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_Toc20840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14</w:t>
            </w:r>
            <w:r w:rsidRPr="00033B77">
              <w:rPr>
                <w:rFonts w:ascii="Times New Roman" w:eastAsia="黑体" w:hAnsi="Times New Roman" w:cs="Times New Roman"/>
                <w:noProof/>
                <w:sz w:val="28"/>
                <w:szCs w:val="32"/>
              </w:rPr>
              <w:fldChar w:fldCharType="end"/>
            </w:r>
          </w:hyperlink>
        </w:p>
        <w:p w14:paraId="2CA70CFD" w14:textId="0AE20FE7"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sidRPr="00033B77">
              <w:rPr>
                <w:rFonts w:ascii="Times New Roman" w:eastAsia="黑体" w:hAnsi="Times New Roman" w:cs="Times New Roman"/>
                <w:noProof/>
                <w:kern w:val="0"/>
                <w:sz w:val="28"/>
                <w:szCs w:val="40"/>
              </w:rPr>
              <w:t>五、预期达到的效益（经济、效益、生态等），对产业发展的作用的情况</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_Toc29243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14</w:t>
            </w:r>
            <w:r w:rsidRPr="00033B77">
              <w:rPr>
                <w:rFonts w:ascii="Times New Roman" w:eastAsia="黑体" w:hAnsi="Times New Roman" w:cs="Times New Roman"/>
                <w:noProof/>
                <w:sz w:val="28"/>
                <w:szCs w:val="32"/>
              </w:rPr>
              <w:fldChar w:fldCharType="end"/>
            </w:r>
          </w:hyperlink>
        </w:p>
        <w:p w14:paraId="1FAA1BEE" w14:textId="23548E97"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sidRPr="00033B77">
              <w:rPr>
                <w:rFonts w:ascii="Times New Roman" w:eastAsia="黑体" w:hAnsi="Times New Roman" w:cs="Times New Roman"/>
                <w:noProof/>
                <w:kern w:val="0"/>
                <w:sz w:val="28"/>
                <w:szCs w:val="40"/>
              </w:rPr>
              <w:t>六、与有关的现行法律、法规和强制性国家标准的关系</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_Toc4979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14</w:t>
            </w:r>
            <w:r w:rsidRPr="00033B77">
              <w:rPr>
                <w:rFonts w:ascii="Times New Roman" w:eastAsia="黑体" w:hAnsi="Times New Roman" w:cs="Times New Roman"/>
                <w:noProof/>
                <w:sz w:val="28"/>
                <w:szCs w:val="32"/>
              </w:rPr>
              <w:fldChar w:fldCharType="end"/>
            </w:r>
          </w:hyperlink>
        </w:p>
        <w:p w14:paraId="5BFE4104" w14:textId="314E00BC"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sidRPr="00033B77">
              <w:rPr>
                <w:rFonts w:ascii="Times New Roman" w:eastAsia="黑体" w:hAnsi="Times New Roman" w:cs="Times New Roman"/>
                <w:noProof/>
                <w:kern w:val="0"/>
                <w:sz w:val="28"/>
                <w:szCs w:val="40"/>
              </w:rPr>
              <w:t>七、重大意见分歧的处理依据和结果</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_Toc21799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15</w:t>
            </w:r>
            <w:r w:rsidRPr="00033B77">
              <w:rPr>
                <w:rFonts w:ascii="Times New Roman" w:eastAsia="黑体" w:hAnsi="Times New Roman" w:cs="Times New Roman"/>
                <w:noProof/>
                <w:sz w:val="28"/>
                <w:szCs w:val="32"/>
              </w:rPr>
              <w:fldChar w:fldCharType="end"/>
            </w:r>
          </w:hyperlink>
        </w:p>
        <w:p w14:paraId="44112233" w14:textId="54169380"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sidRPr="00033B77">
              <w:rPr>
                <w:rFonts w:ascii="Times New Roman" w:eastAsia="黑体" w:hAnsi="Times New Roman" w:cs="Times New Roman"/>
                <w:noProof/>
                <w:kern w:val="0"/>
                <w:sz w:val="28"/>
                <w:szCs w:val="40"/>
              </w:rPr>
              <w:t>八、标准性质的建议说明</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_Toc20135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15</w:t>
            </w:r>
            <w:r w:rsidRPr="00033B77">
              <w:rPr>
                <w:rFonts w:ascii="Times New Roman" w:eastAsia="黑体" w:hAnsi="Times New Roman" w:cs="Times New Roman"/>
                <w:noProof/>
                <w:sz w:val="28"/>
                <w:szCs w:val="32"/>
              </w:rPr>
              <w:fldChar w:fldCharType="end"/>
            </w:r>
          </w:hyperlink>
        </w:p>
        <w:p w14:paraId="6059E002" w14:textId="7E1E9450"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sidRPr="00033B77">
              <w:rPr>
                <w:rFonts w:ascii="Times New Roman" w:eastAsia="黑体" w:hAnsi="Times New Roman" w:cs="Times New Roman"/>
                <w:noProof/>
                <w:kern w:val="0"/>
                <w:sz w:val="28"/>
                <w:szCs w:val="40"/>
              </w:rPr>
              <w:t>九、贯彻标准的要求和措施建议</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_Toc23106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15</w:t>
            </w:r>
            <w:r w:rsidRPr="00033B77">
              <w:rPr>
                <w:rFonts w:ascii="Times New Roman" w:eastAsia="黑体" w:hAnsi="Times New Roman" w:cs="Times New Roman"/>
                <w:noProof/>
                <w:sz w:val="28"/>
                <w:szCs w:val="32"/>
              </w:rPr>
              <w:fldChar w:fldCharType="end"/>
            </w:r>
          </w:hyperlink>
        </w:p>
        <w:p w14:paraId="72F392A0" w14:textId="223E623A" w:rsidR="00505FBC" w:rsidRPr="00033B77"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sidRPr="00033B77">
              <w:rPr>
                <w:rFonts w:ascii="Times New Roman" w:eastAsia="黑体" w:hAnsi="Times New Roman" w:cs="Times New Roman"/>
                <w:noProof/>
                <w:kern w:val="0"/>
                <w:sz w:val="28"/>
                <w:szCs w:val="40"/>
              </w:rPr>
              <w:t>十、废止现行相关标准的建议</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_Toc29517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15</w:t>
            </w:r>
            <w:r w:rsidRPr="00033B77">
              <w:rPr>
                <w:rFonts w:ascii="Times New Roman" w:eastAsia="黑体" w:hAnsi="Times New Roman" w:cs="Times New Roman"/>
                <w:noProof/>
                <w:sz w:val="28"/>
                <w:szCs w:val="32"/>
              </w:rPr>
              <w:fldChar w:fldCharType="end"/>
            </w:r>
          </w:hyperlink>
        </w:p>
        <w:p w14:paraId="054D0588" w14:textId="699BFDA9" w:rsidR="00505FBC" w:rsidRPr="00033B77" w:rsidRDefault="00505FBC">
          <w:pPr>
            <w:pStyle w:val="TOC1"/>
            <w:tabs>
              <w:tab w:val="right" w:leader="dot" w:pos="8691"/>
            </w:tabs>
            <w:spacing w:line="480" w:lineRule="auto"/>
            <w:rPr>
              <w:rFonts w:ascii="Times New Roman" w:eastAsia="黑体" w:hAnsi="Times New Roman" w:cs="Times New Roman"/>
              <w:sz w:val="36"/>
              <w:szCs w:val="36"/>
            </w:rPr>
            <w:sectPr w:rsidR="00505FBC" w:rsidRPr="00033B77" w:rsidSect="00B05A42">
              <w:footerReference w:type="default" r:id="rId9"/>
              <w:pgSz w:w="11906" w:h="16838"/>
              <w:pgMar w:top="1418" w:right="1418" w:bottom="1985" w:left="1797" w:header="851" w:footer="992" w:gutter="0"/>
              <w:pgNumType w:start="1"/>
              <w:cols w:space="425"/>
              <w:docGrid w:linePitch="312"/>
            </w:sectPr>
          </w:pPr>
          <w:hyperlink w:anchor="_Toc18435" w:history="1">
            <w:r w:rsidRPr="00033B77">
              <w:rPr>
                <w:rFonts w:ascii="Times New Roman" w:eastAsia="黑体" w:hAnsi="Times New Roman" w:cs="Times New Roman"/>
                <w:noProof/>
                <w:kern w:val="0"/>
                <w:sz w:val="28"/>
                <w:szCs w:val="40"/>
              </w:rPr>
              <w:t>十一、其他应予说明的事项</w:t>
            </w:r>
            <w:r w:rsidRPr="00033B77">
              <w:rPr>
                <w:rFonts w:ascii="Times New Roman" w:eastAsia="黑体" w:hAnsi="Times New Roman" w:cs="Times New Roman"/>
                <w:noProof/>
                <w:sz w:val="28"/>
                <w:szCs w:val="32"/>
              </w:rPr>
              <w:tab/>
            </w:r>
            <w:r w:rsidRPr="00033B77">
              <w:rPr>
                <w:rFonts w:ascii="Times New Roman" w:eastAsia="黑体" w:hAnsi="Times New Roman" w:cs="Times New Roman"/>
                <w:noProof/>
                <w:sz w:val="28"/>
                <w:szCs w:val="32"/>
              </w:rPr>
              <w:fldChar w:fldCharType="begin"/>
            </w:r>
            <w:r w:rsidRPr="00033B77">
              <w:rPr>
                <w:rFonts w:ascii="Times New Roman" w:eastAsia="黑体" w:hAnsi="Times New Roman" w:cs="Times New Roman"/>
                <w:noProof/>
                <w:sz w:val="28"/>
                <w:szCs w:val="32"/>
              </w:rPr>
              <w:instrText xml:space="preserve"> PAGEREF _Toc18435 \h </w:instrText>
            </w:r>
            <w:r w:rsidRPr="00033B77">
              <w:rPr>
                <w:rFonts w:ascii="Times New Roman" w:eastAsia="黑体" w:hAnsi="Times New Roman" w:cs="Times New Roman"/>
                <w:noProof/>
                <w:sz w:val="28"/>
                <w:szCs w:val="32"/>
              </w:rPr>
            </w:r>
            <w:r w:rsidRPr="00033B77">
              <w:rPr>
                <w:rFonts w:ascii="Times New Roman" w:eastAsia="黑体" w:hAnsi="Times New Roman" w:cs="Times New Roman"/>
                <w:noProof/>
                <w:sz w:val="28"/>
                <w:szCs w:val="32"/>
              </w:rPr>
              <w:fldChar w:fldCharType="separate"/>
            </w:r>
            <w:r w:rsidR="00601567">
              <w:rPr>
                <w:rFonts w:ascii="Times New Roman" w:eastAsia="黑体" w:hAnsi="Times New Roman" w:cs="Times New Roman"/>
                <w:noProof/>
                <w:sz w:val="28"/>
                <w:szCs w:val="32"/>
              </w:rPr>
              <w:t>15</w:t>
            </w:r>
            <w:r w:rsidRPr="00033B77">
              <w:rPr>
                <w:rFonts w:ascii="Times New Roman" w:eastAsia="黑体" w:hAnsi="Times New Roman" w:cs="Times New Roman"/>
                <w:noProof/>
                <w:sz w:val="28"/>
                <w:szCs w:val="32"/>
              </w:rPr>
              <w:fldChar w:fldCharType="end"/>
            </w:r>
          </w:hyperlink>
          <w:r w:rsidRPr="00033B77">
            <w:rPr>
              <w:rFonts w:ascii="Times New Roman" w:eastAsia="黑体" w:hAnsi="Times New Roman" w:cs="Times New Roman"/>
              <w:szCs w:val="32"/>
            </w:rPr>
            <w:fldChar w:fldCharType="end"/>
          </w:r>
        </w:p>
      </w:sdtContent>
    </w:sdt>
    <w:p w14:paraId="76D9DA31" w14:textId="263FC7CA" w:rsidR="00505FBC" w:rsidRPr="00033B77" w:rsidRDefault="00000000">
      <w:pPr>
        <w:spacing w:line="360" w:lineRule="auto"/>
        <w:jc w:val="center"/>
        <w:outlineLvl w:val="1"/>
        <w:rPr>
          <w:rFonts w:ascii="Times New Roman" w:eastAsia="黑体" w:hAnsi="Times New Roman" w:cs="Times New Roman"/>
          <w:b/>
          <w:sz w:val="36"/>
          <w:szCs w:val="36"/>
        </w:rPr>
      </w:pPr>
      <w:r w:rsidRPr="00033B77">
        <w:rPr>
          <w:rFonts w:ascii="Times New Roman" w:eastAsia="黑体" w:hAnsi="Times New Roman" w:cs="Times New Roman"/>
          <w:b/>
          <w:sz w:val="36"/>
          <w:szCs w:val="36"/>
        </w:rPr>
        <w:lastRenderedPageBreak/>
        <w:t>《</w:t>
      </w:r>
      <w:r w:rsidR="00033B77" w:rsidRPr="00033B77">
        <w:rPr>
          <w:rFonts w:ascii="Times New Roman" w:eastAsia="黑体" w:hAnsi="Times New Roman" w:cs="Times New Roman"/>
          <w:b/>
          <w:sz w:val="36"/>
          <w:szCs w:val="36"/>
        </w:rPr>
        <w:t>机电特种设备制造安装质量管理规范</w:t>
      </w:r>
      <w:r w:rsidRPr="00033B77">
        <w:rPr>
          <w:rFonts w:ascii="Times New Roman" w:eastAsia="黑体" w:hAnsi="Times New Roman" w:cs="Times New Roman"/>
          <w:b/>
          <w:sz w:val="36"/>
          <w:szCs w:val="36"/>
        </w:rPr>
        <w:t>》团体标准</w:t>
      </w:r>
    </w:p>
    <w:p w14:paraId="1E9474F3" w14:textId="77777777" w:rsidR="00505FBC" w:rsidRPr="00033B77" w:rsidRDefault="00000000">
      <w:pPr>
        <w:spacing w:line="360" w:lineRule="auto"/>
        <w:jc w:val="center"/>
        <w:outlineLvl w:val="1"/>
        <w:rPr>
          <w:rFonts w:ascii="Times New Roman" w:eastAsia="黑体" w:hAnsi="Times New Roman" w:cs="Times New Roman"/>
          <w:b/>
          <w:sz w:val="36"/>
          <w:szCs w:val="36"/>
        </w:rPr>
      </w:pPr>
      <w:r w:rsidRPr="00033B77">
        <w:rPr>
          <w:rFonts w:ascii="Times New Roman" w:eastAsia="黑体" w:hAnsi="Times New Roman" w:cs="Times New Roman"/>
          <w:b/>
          <w:sz w:val="36"/>
          <w:szCs w:val="36"/>
        </w:rPr>
        <w:t>编制说明</w:t>
      </w:r>
    </w:p>
    <w:p w14:paraId="40575E87" w14:textId="77777777" w:rsidR="00505FBC" w:rsidRPr="00033B77"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033B77">
        <w:rPr>
          <w:rFonts w:ascii="Times New Roman" w:eastAsia="黑体" w:hAnsi="Times New Roman" w:cs="Times New Roman"/>
          <w:b/>
          <w:sz w:val="30"/>
          <w:szCs w:val="30"/>
        </w:rPr>
        <w:t>一、工作简况</w:t>
      </w:r>
      <w:bookmarkEnd w:id="0"/>
    </w:p>
    <w:p w14:paraId="72D2291F" w14:textId="77777777" w:rsidR="00505FBC" w:rsidRPr="00033B77" w:rsidRDefault="00000000">
      <w:pPr>
        <w:spacing w:line="360" w:lineRule="auto"/>
        <w:outlineLvl w:val="2"/>
        <w:rPr>
          <w:rFonts w:ascii="Times New Roman" w:hAnsi="Times New Roman" w:cs="Times New Roman"/>
          <w:b/>
          <w:color w:val="000000" w:themeColor="text1"/>
          <w:sz w:val="28"/>
          <w:szCs w:val="28"/>
        </w:rPr>
      </w:pPr>
      <w:r w:rsidRPr="00033B77">
        <w:rPr>
          <w:rFonts w:ascii="Times New Roman" w:hAnsi="Times New Roman" w:cs="Times New Roman"/>
          <w:b/>
          <w:color w:val="000000" w:themeColor="text1"/>
          <w:sz w:val="28"/>
          <w:szCs w:val="28"/>
        </w:rPr>
        <w:t>（一）任务来源</w:t>
      </w:r>
    </w:p>
    <w:p w14:paraId="58F5D386" w14:textId="77777777" w:rsidR="008329E4" w:rsidRPr="008329E4" w:rsidRDefault="008329E4" w:rsidP="008329E4">
      <w:pPr>
        <w:snapToGrid w:val="0"/>
        <w:spacing w:line="360" w:lineRule="auto"/>
        <w:ind w:firstLineChars="200" w:firstLine="560"/>
        <w:rPr>
          <w:rFonts w:ascii="Times New Roman" w:hAnsi="Times New Roman" w:cs="Times New Roman" w:hint="eastAsia"/>
          <w:kern w:val="0"/>
          <w:sz w:val="28"/>
          <w:szCs w:val="28"/>
        </w:rPr>
      </w:pPr>
      <w:r w:rsidRPr="008329E4">
        <w:rPr>
          <w:rFonts w:ascii="Times New Roman" w:hAnsi="Times New Roman" w:cs="Times New Roman" w:hint="eastAsia"/>
          <w:kern w:val="0"/>
          <w:sz w:val="28"/>
          <w:szCs w:val="28"/>
        </w:rPr>
        <w:t>随着工业化进程深入推进与城市基础设施不断完善，机电特种设备（如电梯、起重机械、客运索道、大型游乐设施等）作为现代生产生活不可或缺的关键装备，其制造精度与安装质量直接关系到设备运行的安全性、可靠性与公众生命财产安全。当前，我国机电特种设备制造安装领域存在诸多痛点：一是制造与安装过程缺乏统一的质量管理规范，不同企业在关键工艺控制、工序验收标准、质量追溯方法等方面差异显著，导致产品质量参差不齐，部分设备投入运行后故障频发，安全隐患突出；二是安装环节存在现场装配规范缺失、调试流程标准化程度低、隐蔽工程验收依据模糊等问题，设备性能难以在设计工况下稳定发挥，后期运</w:t>
      </w:r>
      <w:proofErr w:type="gramStart"/>
      <w:r w:rsidRPr="008329E4">
        <w:rPr>
          <w:rFonts w:ascii="Times New Roman" w:hAnsi="Times New Roman" w:cs="Times New Roman" w:hint="eastAsia"/>
          <w:kern w:val="0"/>
          <w:sz w:val="28"/>
          <w:szCs w:val="28"/>
        </w:rPr>
        <w:t>维成本</w:t>
      </w:r>
      <w:proofErr w:type="gramEnd"/>
      <w:r w:rsidRPr="008329E4">
        <w:rPr>
          <w:rFonts w:ascii="Times New Roman" w:hAnsi="Times New Roman" w:cs="Times New Roman" w:hint="eastAsia"/>
          <w:kern w:val="0"/>
          <w:sz w:val="28"/>
          <w:szCs w:val="28"/>
        </w:rPr>
        <w:t>居高不下；三是行业内质量保障能力评价无统一依据，使用单位在选择制造及安装企业时难以精准判断服务质量，低价竞争现象时有发生，影响行业健康发展。</w:t>
      </w:r>
    </w:p>
    <w:p w14:paraId="73CB9A4E" w14:textId="1E3769D7" w:rsidR="00505FBC" w:rsidRPr="00033B77" w:rsidRDefault="008329E4" w:rsidP="008329E4">
      <w:pPr>
        <w:snapToGrid w:val="0"/>
        <w:spacing w:line="360" w:lineRule="auto"/>
        <w:ind w:firstLineChars="200" w:firstLine="560"/>
        <w:rPr>
          <w:rFonts w:ascii="Times New Roman" w:hAnsi="Times New Roman" w:cs="Times New Roman"/>
          <w:kern w:val="0"/>
          <w:sz w:val="28"/>
          <w:szCs w:val="28"/>
        </w:rPr>
      </w:pPr>
      <w:r w:rsidRPr="008329E4">
        <w:rPr>
          <w:rFonts w:ascii="Times New Roman" w:hAnsi="Times New Roman" w:cs="Times New Roman" w:hint="eastAsia"/>
          <w:kern w:val="0"/>
          <w:sz w:val="28"/>
          <w:szCs w:val="28"/>
        </w:rPr>
        <w:t>现有相关标准中，</w:t>
      </w:r>
      <w:r w:rsidRPr="008329E4">
        <w:rPr>
          <w:rFonts w:ascii="Times New Roman" w:hAnsi="Times New Roman" w:cs="Times New Roman" w:hint="eastAsia"/>
          <w:kern w:val="0"/>
          <w:sz w:val="28"/>
          <w:szCs w:val="28"/>
        </w:rPr>
        <w:t xml:space="preserve">GB/T 7588 </w:t>
      </w:r>
      <w:r w:rsidRPr="008329E4">
        <w:rPr>
          <w:rFonts w:ascii="Times New Roman" w:hAnsi="Times New Roman" w:cs="Times New Roman" w:hint="eastAsia"/>
          <w:kern w:val="0"/>
          <w:sz w:val="28"/>
          <w:szCs w:val="28"/>
        </w:rPr>
        <w:t>电梯制造与安装安全规范系列标准、</w:t>
      </w:r>
      <w:r w:rsidRPr="008329E4">
        <w:rPr>
          <w:rFonts w:ascii="Times New Roman" w:hAnsi="Times New Roman" w:cs="Times New Roman" w:hint="eastAsia"/>
          <w:kern w:val="0"/>
          <w:sz w:val="28"/>
          <w:szCs w:val="28"/>
        </w:rPr>
        <w:t>GB/T 3811</w:t>
      </w:r>
      <w:r w:rsidRPr="008329E4">
        <w:rPr>
          <w:rFonts w:ascii="Times New Roman" w:hAnsi="Times New Roman" w:cs="Times New Roman" w:hint="eastAsia"/>
          <w:kern w:val="0"/>
          <w:sz w:val="28"/>
          <w:szCs w:val="28"/>
        </w:rPr>
        <w:t>《起重机设计规范》等国家标准主要聚焦产品设计与安全要求，对制造过程的一致性控制、现场安装质量保障、全流程质量追溯等关键环节缺乏系统性规定，无法满足当前机电特种设备行业对精细化、全过程质量管理的迫切需求。因此，亟需制定《机电特种设备制造安装质量管理规范》，为制造安装全过程提供统一的技术依据，从源头保障设备本质安全，推动行业高质量发展</w:t>
      </w:r>
      <w:r>
        <w:rPr>
          <w:rFonts w:ascii="Times New Roman" w:hAnsi="Times New Roman" w:cs="Times New Roman" w:hint="eastAsia"/>
          <w:kern w:val="0"/>
          <w:sz w:val="28"/>
          <w:szCs w:val="28"/>
        </w:rPr>
        <w:t>。</w:t>
      </w:r>
    </w:p>
    <w:p w14:paraId="64EB91D4" w14:textId="77777777" w:rsidR="00505FBC" w:rsidRPr="00033B77" w:rsidRDefault="00000000">
      <w:pPr>
        <w:spacing w:line="360" w:lineRule="auto"/>
        <w:outlineLvl w:val="2"/>
        <w:rPr>
          <w:rFonts w:ascii="Times New Roman" w:hAnsi="Times New Roman" w:cs="Times New Roman"/>
          <w:b/>
          <w:color w:val="000000" w:themeColor="text1"/>
          <w:sz w:val="28"/>
          <w:szCs w:val="28"/>
        </w:rPr>
      </w:pPr>
      <w:r w:rsidRPr="00033B77">
        <w:rPr>
          <w:rFonts w:ascii="Times New Roman" w:hAnsi="Times New Roman" w:cs="Times New Roman"/>
          <w:b/>
          <w:color w:val="000000" w:themeColor="text1"/>
          <w:sz w:val="28"/>
          <w:szCs w:val="28"/>
        </w:rPr>
        <w:t>（二）编制过程</w:t>
      </w:r>
    </w:p>
    <w:p w14:paraId="3C4656A5" w14:textId="6C95F0D3" w:rsidR="00505FBC" w:rsidRPr="00033B77" w:rsidRDefault="00000000">
      <w:pPr>
        <w:snapToGrid w:val="0"/>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为使本标准在</w:t>
      </w:r>
      <w:bookmarkStart w:id="1" w:name="_Hlk226451012"/>
      <w:r w:rsidR="00033B77" w:rsidRPr="00033B77">
        <w:rPr>
          <w:rFonts w:ascii="Times New Roman" w:hAnsi="Times New Roman" w:cs="Times New Roman"/>
          <w:kern w:val="0"/>
          <w:sz w:val="28"/>
          <w:szCs w:val="28"/>
        </w:rPr>
        <w:t>机电特种设备制造安装</w:t>
      </w:r>
      <w:r w:rsidRPr="00033B77">
        <w:rPr>
          <w:rFonts w:ascii="Times New Roman" w:hAnsi="Times New Roman" w:cs="Times New Roman"/>
          <w:kern w:val="0"/>
          <w:sz w:val="28"/>
          <w:szCs w:val="28"/>
        </w:rPr>
        <w:t>管理</w:t>
      </w:r>
      <w:bookmarkEnd w:id="1"/>
      <w:r w:rsidRPr="00033B77">
        <w:rPr>
          <w:rFonts w:ascii="Times New Roman" w:hAnsi="Times New Roman" w:cs="Times New Roman"/>
          <w:kern w:val="0"/>
          <w:sz w:val="28"/>
          <w:szCs w:val="28"/>
        </w:rPr>
        <w:t>工作中起到规范信息化管理作</w:t>
      </w:r>
      <w:r w:rsidRPr="00033B77">
        <w:rPr>
          <w:rFonts w:ascii="Times New Roman" w:hAnsi="Times New Roman" w:cs="Times New Roman"/>
          <w:kern w:val="0"/>
          <w:sz w:val="28"/>
          <w:szCs w:val="28"/>
        </w:rPr>
        <w:lastRenderedPageBreak/>
        <w:t>用，标准起草工作组力求科学性、可操作性，以科学、谨慎的态度，在对我国现有</w:t>
      </w:r>
      <w:r w:rsidR="00033B77" w:rsidRPr="00033B77">
        <w:rPr>
          <w:rFonts w:ascii="Times New Roman" w:hAnsi="Times New Roman" w:cs="Times New Roman"/>
          <w:kern w:val="0"/>
          <w:sz w:val="28"/>
          <w:szCs w:val="28"/>
        </w:rPr>
        <w:t>机电特种设备制造安装</w:t>
      </w:r>
      <w:r w:rsidRPr="00033B77">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033B77" w:rsidRDefault="00000000">
      <w:pPr>
        <w:snapToGrid w:val="0"/>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标准起草工作组在标准起草期间主要开展工作情况如下</w:t>
      </w:r>
      <w:r w:rsidRPr="00033B77">
        <w:rPr>
          <w:rFonts w:ascii="Times New Roman" w:hAnsi="Times New Roman" w:cs="Times New Roman" w:hint="eastAsia"/>
          <w:kern w:val="0"/>
          <w:sz w:val="28"/>
          <w:szCs w:val="28"/>
        </w:rPr>
        <w:t>：</w:t>
      </w:r>
    </w:p>
    <w:p w14:paraId="76075B13" w14:textId="77777777" w:rsidR="00505FBC" w:rsidRPr="00033B77" w:rsidRDefault="00000000">
      <w:pPr>
        <w:snapToGrid w:val="0"/>
        <w:spacing w:line="360" w:lineRule="auto"/>
        <w:rPr>
          <w:rFonts w:ascii="Times New Roman" w:hAnsi="Times New Roman" w:cs="Times New Roman"/>
          <w:b/>
          <w:bCs/>
          <w:kern w:val="0"/>
          <w:sz w:val="28"/>
          <w:szCs w:val="28"/>
        </w:rPr>
      </w:pPr>
      <w:r w:rsidRPr="00033B77">
        <w:rPr>
          <w:rFonts w:ascii="Times New Roman" w:hAnsi="Times New Roman" w:cs="Times New Roman"/>
          <w:b/>
          <w:bCs/>
          <w:kern w:val="0"/>
          <w:sz w:val="28"/>
          <w:szCs w:val="28"/>
        </w:rPr>
        <w:t>1</w:t>
      </w:r>
      <w:r w:rsidRPr="00033B77">
        <w:rPr>
          <w:rFonts w:ascii="Times New Roman" w:hAnsi="Times New Roman" w:cs="Times New Roman"/>
          <w:b/>
          <w:bCs/>
          <w:kern w:val="0"/>
          <w:sz w:val="28"/>
          <w:szCs w:val="28"/>
        </w:rPr>
        <w:t>、项目立项及理论研究阶段</w:t>
      </w:r>
    </w:p>
    <w:p w14:paraId="133DEC27" w14:textId="66606CBC" w:rsidR="00505FBC" w:rsidRPr="00033B77" w:rsidRDefault="00000000">
      <w:pPr>
        <w:snapToGrid w:val="0"/>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标准起草组成立伊始就对国内外</w:t>
      </w:r>
      <w:r w:rsidR="00033B77" w:rsidRPr="00033B77">
        <w:rPr>
          <w:rFonts w:ascii="Times New Roman" w:hAnsi="Times New Roman" w:cs="Times New Roman"/>
          <w:kern w:val="0"/>
          <w:sz w:val="28"/>
          <w:szCs w:val="28"/>
        </w:rPr>
        <w:t>机电特种设备制造安装质量管理</w:t>
      </w:r>
      <w:r w:rsidRPr="00033B77">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033B77" w:rsidRPr="00033B77">
        <w:rPr>
          <w:rFonts w:ascii="Times New Roman" w:hAnsi="Times New Roman" w:cs="Times New Roman"/>
          <w:kern w:val="0"/>
          <w:sz w:val="28"/>
          <w:szCs w:val="28"/>
        </w:rPr>
        <w:t>机电特种设备制造安装</w:t>
      </w:r>
      <w:r w:rsidRPr="00033B77">
        <w:rPr>
          <w:rFonts w:ascii="Times New Roman" w:hAnsi="Times New Roman" w:cs="Times New Roman"/>
          <w:kern w:val="0"/>
          <w:sz w:val="28"/>
          <w:szCs w:val="28"/>
        </w:rPr>
        <w:t>标准化管理中现存问题，结合现有产品实际应用经验，为标准起草奠定了基础。</w:t>
      </w:r>
    </w:p>
    <w:p w14:paraId="49995E92" w14:textId="38D1C1E9" w:rsidR="00505FBC" w:rsidRPr="00033B77" w:rsidRDefault="00000000">
      <w:pPr>
        <w:snapToGrid w:val="0"/>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标准起草组进一步研究了</w:t>
      </w:r>
      <w:r w:rsidR="00033B77" w:rsidRPr="00033B77">
        <w:rPr>
          <w:rFonts w:ascii="Times New Roman" w:hAnsi="Times New Roman" w:cs="Times New Roman"/>
          <w:kern w:val="0"/>
          <w:sz w:val="28"/>
          <w:szCs w:val="28"/>
        </w:rPr>
        <w:t>机电特种设备制造安装质量管理</w:t>
      </w:r>
      <w:r w:rsidRPr="00033B77">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033B77" w:rsidRDefault="00000000">
      <w:pPr>
        <w:snapToGrid w:val="0"/>
        <w:spacing w:line="360" w:lineRule="auto"/>
        <w:rPr>
          <w:rFonts w:ascii="Times New Roman" w:hAnsi="Times New Roman" w:cs="Times New Roman"/>
          <w:b/>
          <w:bCs/>
          <w:kern w:val="0"/>
          <w:sz w:val="28"/>
          <w:szCs w:val="28"/>
        </w:rPr>
      </w:pPr>
      <w:r w:rsidRPr="00033B77">
        <w:rPr>
          <w:rFonts w:ascii="Times New Roman" w:hAnsi="Times New Roman" w:cs="Times New Roman"/>
          <w:b/>
          <w:bCs/>
          <w:kern w:val="0"/>
          <w:sz w:val="28"/>
          <w:szCs w:val="28"/>
        </w:rPr>
        <w:t>2</w:t>
      </w:r>
      <w:r w:rsidRPr="00033B77">
        <w:rPr>
          <w:rFonts w:ascii="Times New Roman" w:hAnsi="Times New Roman" w:cs="Times New Roman"/>
          <w:b/>
          <w:bCs/>
          <w:kern w:val="0"/>
          <w:sz w:val="28"/>
          <w:szCs w:val="28"/>
        </w:rPr>
        <w:t>、标准起草阶段</w:t>
      </w:r>
    </w:p>
    <w:p w14:paraId="465830F8" w14:textId="751BD81D" w:rsidR="00505FBC" w:rsidRPr="00033B77" w:rsidRDefault="00000000">
      <w:pPr>
        <w:snapToGrid w:val="0"/>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033B77" w:rsidRPr="00033B77">
        <w:rPr>
          <w:rFonts w:ascii="Times New Roman" w:hAnsi="Times New Roman" w:cs="Times New Roman"/>
          <w:kern w:val="0"/>
          <w:sz w:val="28"/>
          <w:szCs w:val="28"/>
        </w:rPr>
        <w:t>机电特种设备制造安装质量管理规范</w:t>
      </w:r>
      <w:r w:rsidRPr="00033B77">
        <w:rPr>
          <w:rFonts w:ascii="Times New Roman" w:hAnsi="Times New Roman" w:cs="Times New Roman"/>
          <w:kern w:val="0"/>
          <w:sz w:val="28"/>
          <w:szCs w:val="28"/>
        </w:rPr>
        <w:t>》标准草案。</w:t>
      </w:r>
    </w:p>
    <w:p w14:paraId="405B67DF" w14:textId="77777777" w:rsidR="00505FBC" w:rsidRPr="00033B77" w:rsidRDefault="00000000">
      <w:pPr>
        <w:snapToGrid w:val="0"/>
        <w:spacing w:line="360" w:lineRule="auto"/>
        <w:rPr>
          <w:rFonts w:ascii="Times New Roman" w:hAnsi="Times New Roman" w:cs="Times New Roman"/>
          <w:b/>
          <w:bCs/>
          <w:kern w:val="0"/>
          <w:sz w:val="28"/>
          <w:szCs w:val="28"/>
        </w:rPr>
      </w:pPr>
      <w:r w:rsidRPr="00033B77">
        <w:rPr>
          <w:rFonts w:ascii="Times New Roman" w:hAnsi="Times New Roman" w:cs="Times New Roman"/>
          <w:b/>
          <w:bCs/>
          <w:kern w:val="0"/>
          <w:sz w:val="28"/>
          <w:szCs w:val="28"/>
        </w:rPr>
        <w:t>3</w:t>
      </w:r>
      <w:r w:rsidRPr="00033B77">
        <w:rPr>
          <w:rFonts w:ascii="Times New Roman" w:hAnsi="Times New Roman" w:cs="Times New Roman"/>
          <w:b/>
          <w:bCs/>
          <w:kern w:val="0"/>
          <w:sz w:val="28"/>
          <w:szCs w:val="28"/>
        </w:rPr>
        <w:t>、标准征求意见阶段</w:t>
      </w:r>
    </w:p>
    <w:p w14:paraId="0DAC9E52" w14:textId="29375E4F" w:rsidR="00505FBC" w:rsidRPr="00033B77" w:rsidRDefault="00000000">
      <w:pPr>
        <w:snapToGrid w:val="0"/>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033B77" w:rsidRPr="00033B77">
        <w:rPr>
          <w:rFonts w:ascii="Times New Roman" w:hAnsi="Times New Roman" w:cs="Times New Roman"/>
          <w:kern w:val="0"/>
          <w:sz w:val="28"/>
          <w:szCs w:val="28"/>
        </w:rPr>
        <w:t>机电特种设备制造安装质量管理规范</w:t>
      </w:r>
      <w:r w:rsidRPr="00033B77">
        <w:rPr>
          <w:rFonts w:ascii="Times New Roman" w:hAnsi="Times New Roman" w:cs="Times New Roman"/>
          <w:kern w:val="0"/>
          <w:sz w:val="28"/>
          <w:szCs w:val="28"/>
        </w:rPr>
        <w:t>》（征求意见稿）。</w:t>
      </w:r>
    </w:p>
    <w:p w14:paraId="32426E21" w14:textId="77777777" w:rsidR="00505FBC" w:rsidRPr="00033B77" w:rsidRDefault="00000000">
      <w:pPr>
        <w:spacing w:line="360" w:lineRule="auto"/>
        <w:outlineLvl w:val="2"/>
        <w:rPr>
          <w:rFonts w:ascii="Times New Roman" w:hAnsi="Times New Roman" w:cs="Times New Roman"/>
          <w:b/>
          <w:sz w:val="28"/>
          <w:szCs w:val="28"/>
        </w:rPr>
      </w:pPr>
      <w:r w:rsidRPr="00033B77">
        <w:rPr>
          <w:rFonts w:ascii="Times New Roman" w:hAnsi="Times New Roman" w:cs="Times New Roman"/>
          <w:b/>
          <w:sz w:val="28"/>
          <w:szCs w:val="28"/>
        </w:rPr>
        <w:t>（三）主要起草单位及起草人所做的工作</w:t>
      </w:r>
    </w:p>
    <w:p w14:paraId="3987C6A0" w14:textId="77777777" w:rsidR="00505FBC" w:rsidRPr="00033B77" w:rsidRDefault="00000000">
      <w:pPr>
        <w:spacing w:line="360" w:lineRule="auto"/>
        <w:rPr>
          <w:rFonts w:ascii="Times New Roman" w:hAnsi="Times New Roman" w:cs="Times New Roman"/>
          <w:b/>
          <w:bCs/>
          <w:kern w:val="0"/>
          <w:sz w:val="28"/>
          <w:szCs w:val="28"/>
        </w:rPr>
      </w:pPr>
      <w:r w:rsidRPr="00033B77">
        <w:rPr>
          <w:rFonts w:ascii="Times New Roman" w:hAnsi="Times New Roman" w:cs="Times New Roman"/>
          <w:b/>
          <w:bCs/>
          <w:kern w:val="0"/>
          <w:sz w:val="28"/>
          <w:szCs w:val="28"/>
        </w:rPr>
        <w:t>1</w:t>
      </w:r>
      <w:r w:rsidRPr="00033B77">
        <w:rPr>
          <w:rFonts w:ascii="Times New Roman" w:hAnsi="Times New Roman" w:cs="Times New Roman"/>
          <w:b/>
          <w:bCs/>
          <w:kern w:val="0"/>
          <w:sz w:val="28"/>
          <w:szCs w:val="28"/>
        </w:rPr>
        <w:t>、主要起草单位</w:t>
      </w:r>
    </w:p>
    <w:p w14:paraId="28DBAB6A" w14:textId="77777777" w:rsidR="00505FBC" w:rsidRPr="00033B77" w:rsidRDefault="00000000">
      <w:pPr>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t>协会</w:t>
      </w:r>
      <w:r w:rsidRPr="00033B77">
        <w:rPr>
          <w:rFonts w:ascii="Times New Roman" w:hAnsi="Times New Roman" w:cs="Times New Roman" w:hint="eastAsia"/>
          <w:kern w:val="0"/>
          <w:sz w:val="28"/>
          <w:szCs w:val="28"/>
        </w:rPr>
        <w:t>、企业</w:t>
      </w:r>
      <w:r w:rsidRPr="00033B77">
        <w:rPr>
          <w:rFonts w:ascii="Times New Roman" w:hAnsi="Times New Roman" w:cs="Times New Roman"/>
          <w:kern w:val="0"/>
          <w:sz w:val="28"/>
          <w:szCs w:val="28"/>
        </w:rPr>
        <w:t>等多家单位的专家成立了规范起草小组，开展标准的编制工作。</w:t>
      </w:r>
    </w:p>
    <w:p w14:paraId="0E4BB955" w14:textId="77E5FAA0" w:rsidR="00505FBC" w:rsidRDefault="00000000">
      <w:pPr>
        <w:spacing w:line="360" w:lineRule="auto"/>
        <w:ind w:firstLineChars="200" w:firstLine="560"/>
        <w:rPr>
          <w:rFonts w:ascii="Times New Roman" w:hAnsi="Times New Roman" w:cs="Times New Roman"/>
          <w:kern w:val="0"/>
          <w:sz w:val="28"/>
          <w:szCs w:val="28"/>
        </w:rPr>
      </w:pPr>
      <w:r w:rsidRPr="00033B77">
        <w:rPr>
          <w:rFonts w:ascii="Times New Roman" w:hAnsi="Times New Roman" w:cs="Times New Roman"/>
          <w:kern w:val="0"/>
          <w:sz w:val="28"/>
          <w:szCs w:val="28"/>
        </w:rPr>
        <w:lastRenderedPageBreak/>
        <w:t>经工作组的不懈努力，在</w:t>
      </w:r>
      <w:r w:rsidRPr="00033B77">
        <w:rPr>
          <w:rFonts w:ascii="Times New Roman" w:hAnsi="Times New Roman" w:cs="Times New Roman"/>
          <w:kern w:val="0"/>
          <w:sz w:val="28"/>
          <w:szCs w:val="28"/>
        </w:rPr>
        <w:t>202</w:t>
      </w:r>
      <w:r w:rsidR="00A8519C" w:rsidRPr="00033B77">
        <w:rPr>
          <w:rFonts w:ascii="Times New Roman" w:hAnsi="Times New Roman" w:cs="Times New Roman" w:hint="eastAsia"/>
          <w:kern w:val="0"/>
          <w:sz w:val="28"/>
          <w:szCs w:val="28"/>
        </w:rPr>
        <w:t>6</w:t>
      </w:r>
      <w:r w:rsidRPr="00033B77">
        <w:rPr>
          <w:rFonts w:ascii="Times New Roman" w:hAnsi="Times New Roman" w:cs="Times New Roman"/>
          <w:kern w:val="0"/>
          <w:sz w:val="28"/>
          <w:szCs w:val="28"/>
        </w:rPr>
        <w:t>年</w:t>
      </w:r>
      <w:r w:rsidR="00F420F2" w:rsidRPr="00033B77">
        <w:rPr>
          <w:rFonts w:ascii="Times New Roman" w:hAnsi="Times New Roman" w:cs="Times New Roman" w:hint="eastAsia"/>
          <w:kern w:val="0"/>
          <w:sz w:val="28"/>
          <w:szCs w:val="28"/>
        </w:rPr>
        <w:t>4</w:t>
      </w:r>
      <w:r w:rsidRPr="00033B77">
        <w:rPr>
          <w:rFonts w:ascii="Times New Roman" w:hAnsi="Times New Roman" w:cs="Times New Roman"/>
          <w:kern w:val="0"/>
          <w:sz w:val="28"/>
          <w:szCs w:val="28"/>
        </w:rPr>
        <w:t>月，完成了标准</w:t>
      </w:r>
      <w:r>
        <w:rPr>
          <w:rFonts w:ascii="Times New Roman" w:hAnsi="Times New Roman" w:cs="Times New Roman"/>
          <w:kern w:val="0"/>
          <w:sz w:val="28"/>
          <w:szCs w:val="28"/>
        </w:rPr>
        <w:t>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0074E0F" w:rsidR="00505FBC" w:rsidRPr="00B962FA"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sidRPr="00B962FA">
        <w:rPr>
          <w:rFonts w:ascii="Times New Roman" w:hAnsi="Times New Roman" w:cs="Times New Roman"/>
          <w:sz w:val="28"/>
          <w:szCs w:val="28"/>
        </w:rPr>
        <w:t>稿包括</w:t>
      </w:r>
      <w:proofErr w:type="gramEnd"/>
      <w:r w:rsidR="00B962FA" w:rsidRPr="00B962FA">
        <w:rPr>
          <w:rFonts w:ascii="Times New Roman" w:hAnsi="Times New Roman" w:cs="Times New Roman" w:hint="eastAsia"/>
          <w:sz w:val="28"/>
          <w:szCs w:val="28"/>
        </w:rPr>
        <w:t>10</w:t>
      </w:r>
      <w:r w:rsidRPr="00B962FA">
        <w:rPr>
          <w:rFonts w:ascii="Times New Roman" w:hAnsi="Times New Roman" w:cs="Times New Roman"/>
          <w:sz w:val="28"/>
          <w:szCs w:val="28"/>
        </w:rPr>
        <w:t>个部分，主要内容如下：</w:t>
      </w:r>
    </w:p>
    <w:p w14:paraId="224CDB65"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3" w:name="_Toc_tz_01"/>
      <w:r w:rsidRPr="005B4F03">
        <w:rPr>
          <w:rFonts w:ascii="宋体" w:eastAsia="宋体" w:hAnsi="宋体" w:hint="eastAsia"/>
          <w:sz w:val="28"/>
          <w:szCs w:val="24"/>
        </w:rPr>
        <w:t>范围</w:t>
      </w:r>
      <w:bookmarkEnd w:id="3"/>
    </w:p>
    <w:p w14:paraId="798978DF"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本文件规定了机电特种设备制造与安装活动中的质量管理体系要求、制造过程质量控制、安装过程质量控制、检验与试验、文件与记录管理及持续改进要求。</w:t>
      </w:r>
    </w:p>
    <w:p w14:paraId="29EEF248"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本文件适用于从事机电特种设备（包括起重机械、电梯、大型游乐设施及客运索道等）制造与安装的生产单位，其他类型机电特种设备制造安装单位可参照执行。</w:t>
      </w:r>
    </w:p>
    <w:p w14:paraId="4ED183F4"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4" w:name="_Toc_tz_02"/>
      <w:r w:rsidRPr="005B4F03">
        <w:rPr>
          <w:rFonts w:ascii="宋体" w:eastAsia="宋体" w:hAnsi="宋体" w:hint="eastAsia"/>
          <w:sz w:val="28"/>
          <w:szCs w:val="24"/>
        </w:rPr>
        <w:t>规范性引用文件</w:t>
      </w:r>
      <w:bookmarkEnd w:id="4"/>
    </w:p>
    <w:p w14:paraId="56C012A3"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197DFBE"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lastRenderedPageBreak/>
        <w:t>GB/T 19000  质量管理体系 基础和术语</w:t>
      </w:r>
    </w:p>
    <w:p w14:paraId="5A6F3E69"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GB/T 19001  质量管理体系 要求</w:t>
      </w:r>
    </w:p>
    <w:p w14:paraId="78BA196F"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GB/T 19022  测量管理体系 测量过程和测量设备的要求</w:t>
      </w:r>
    </w:p>
    <w:p w14:paraId="166EA89E"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GB/T 24001  环境管理体系 要求及使用指南</w:t>
      </w:r>
    </w:p>
    <w:p w14:paraId="2E478174"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TSG 07-2019  特种设备生产和充装单位许可规则</w:t>
      </w:r>
    </w:p>
    <w:p w14:paraId="083E00A2"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TSG 51  起重机械安全技术规程</w:t>
      </w:r>
    </w:p>
    <w:p w14:paraId="4DAAF0E3"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5" w:name="_Toc_tz_03"/>
      <w:r w:rsidRPr="005B4F03">
        <w:rPr>
          <w:rFonts w:ascii="宋体" w:eastAsia="宋体" w:hAnsi="宋体" w:hint="eastAsia"/>
          <w:sz w:val="28"/>
          <w:szCs w:val="24"/>
        </w:rPr>
        <w:t>术语和定义</w:t>
      </w:r>
      <w:bookmarkEnd w:id="5"/>
    </w:p>
    <w:p w14:paraId="31E80A7C"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GB/T 19000界定的以及下列术语和定义适用于本文件。</w:t>
      </w:r>
    </w:p>
    <w:p w14:paraId="2DE6FE9B" w14:textId="77777777" w:rsidR="00B962FA" w:rsidRPr="005B4F03" w:rsidRDefault="00B962FA" w:rsidP="005B4F03">
      <w:pPr>
        <w:pStyle w:val="afff2"/>
        <w:spacing w:line="360" w:lineRule="auto"/>
        <w:ind w:left="560" w:hangingChars="200" w:hanging="560"/>
        <w:rPr>
          <w:rFonts w:hAnsi="宋体" w:hint="eastAsia"/>
          <w:sz w:val="28"/>
          <w:szCs w:val="24"/>
        </w:rPr>
      </w:pPr>
      <w:r w:rsidRPr="005B4F03">
        <w:rPr>
          <w:rFonts w:hAnsi="宋体"/>
          <w:sz w:val="28"/>
          <w:szCs w:val="24"/>
        </w:rPr>
        <w:br/>
      </w:r>
      <w:r w:rsidRPr="005B4F03">
        <w:rPr>
          <w:rFonts w:hAnsi="宋体" w:hint="eastAsia"/>
          <w:sz w:val="28"/>
          <w:szCs w:val="24"/>
        </w:rPr>
        <w:t>机电特种设备　electromechanical special equipment</w:t>
      </w:r>
    </w:p>
    <w:p w14:paraId="11C245B2"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依据《中华人民共和国特种设备安全法》列入特种设备目录、以机电为主要工作方式的设备，包括起重机械、电梯、大型游乐设施和客运索道等，本文件简称“特种设备”。</w:t>
      </w:r>
    </w:p>
    <w:p w14:paraId="64F878C8" w14:textId="77777777" w:rsidR="00B962FA" w:rsidRPr="005B4F03" w:rsidRDefault="00B962FA" w:rsidP="005B4F03">
      <w:pPr>
        <w:pStyle w:val="afff2"/>
        <w:spacing w:line="360" w:lineRule="auto"/>
        <w:ind w:left="560" w:hangingChars="200" w:hanging="560"/>
        <w:rPr>
          <w:rFonts w:hAnsi="宋体" w:hint="eastAsia"/>
          <w:sz w:val="28"/>
          <w:szCs w:val="24"/>
        </w:rPr>
      </w:pPr>
      <w:r w:rsidRPr="005B4F03">
        <w:rPr>
          <w:rFonts w:hAnsi="宋体"/>
          <w:sz w:val="28"/>
          <w:szCs w:val="24"/>
        </w:rPr>
        <w:br/>
      </w:r>
      <w:r w:rsidRPr="005B4F03">
        <w:rPr>
          <w:rFonts w:hAnsi="宋体" w:hint="eastAsia"/>
          <w:sz w:val="28"/>
          <w:szCs w:val="24"/>
        </w:rPr>
        <w:t>制造过程　manufacturing process</w:t>
      </w:r>
    </w:p>
    <w:p w14:paraId="2B3E768F"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将原材料、外购件、外协</w:t>
      </w:r>
      <w:proofErr w:type="gramStart"/>
      <w:r w:rsidRPr="005B4F03">
        <w:rPr>
          <w:rFonts w:hAnsi="宋体" w:hint="eastAsia"/>
          <w:sz w:val="28"/>
          <w:szCs w:val="24"/>
        </w:rPr>
        <w:t>件按照</w:t>
      </w:r>
      <w:proofErr w:type="gramEnd"/>
      <w:r w:rsidRPr="005B4F03">
        <w:rPr>
          <w:rFonts w:hAnsi="宋体" w:hint="eastAsia"/>
          <w:sz w:val="28"/>
          <w:szCs w:val="24"/>
        </w:rPr>
        <w:t>设计文件和工艺文件的要求，通过加工、装配等工序转化为特种设备产品的全部活动。</w:t>
      </w:r>
    </w:p>
    <w:p w14:paraId="165726FD" w14:textId="77777777" w:rsidR="00B962FA" w:rsidRPr="005B4F03" w:rsidRDefault="00B962FA" w:rsidP="005B4F03">
      <w:pPr>
        <w:pStyle w:val="afff2"/>
        <w:spacing w:line="360" w:lineRule="auto"/>
        <w:ind w:left="560" w:hangingChars="200" w:hanging="560"/>
        <w:rPr>
          <w:rFonts w:hAnsi="宋体" w:hint="eastAsia"/>
          <w:sz w:val="28"/>
          <w:szCs w:val="24"/>
        </w:rPr>
      </w:pPr>
      <w:r w:rsidRPr="005B4F03">
        <w:rPr>
          <w:rFonts w:hAnsi="宋体"/>
          <w:sz w:val="28"/>
          <w:szCs w:val="24"/>
        </w:rPr>
        <w:br/>
      </w:r>
      <w:r w:rsidRPr="005B4F03">
        <w:rPr>
          <w:rFonts w:hAnsi="宋体" w:hint="eastAsia"/>
          <w:sz w:val="28"/>
          <w:szCs w:val="24"/>
        </w:rPr>
        <w:t>安装过程　installation process</w:t>
      </w:r>
    </w:p>
    <w:p w14:paraId="287F85FD"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将特种设备产品在规定地点进行就位、连接、调试，使其达到设计规定的安全性能要求的全部活动，包括现场施工、联调测试及验收等环节。</w:t>
      </w:r>
    </w:p>
    <w:p w14:paraId="3F43F8BA" w14:textId="77777777" w:rsidR="00B962FA" w:rsidRPr="005B4F03" w:rsidRDefault="00B962FA" w:rsidP="005B4F03">
      <w:pPr>
        <w:pStyle w:val="afff2"/>
        <w:spacing w:line="360" w:lineRule="auto"/>
        <w:ind w:left="560" w:hangingChars="200" w:hanging="560"/>
        <w:rPr>
          <w:rFonts w:hAnsi="宋体" w:hint="eastAsia"/>
          <w:sz w:val="28"/>
          <w:szCs w:val="24"/>
        </w:rPr>
      </w:pPr>
      <w:r w:rsidRPr="005B4F03">
        <w:rPr>
          <w:rFonts w:hAnsi="宋体"/>
          <w:sz w:val="28"/>
          <w:szCs w:val="24"/>
        </w:rPr>
        <w:br/>
      </w:r>
      <w:r w:rsidRPr="005B4F03">
        <w:rPr>
          <w:rFonts w:hAnsi="宋体" w:hint="eastAsia"/>
          <w:sz w:val="28"/>
          <w:szCs w:val="24"/>
        </w:rPr>
        <w:t>质量计划　quality plan</w:t>
      </w:r>
    </w:p>
    <w:p w14:paraId="2DA9CBCB"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规定针对特定特种设备产品的制造或安装活动，</w:t>
      </w:r>
      <w:proofErr w:type="gramStart"/>
      <w:r w:rsidRPr="005B4F03">
        <w:rPr>
          <w:rFonts w:hAnsi="宋体" w:hint="eastAsia"/>
          <w:sz w:val="28"/>
          <w:szCs w:val="24"/>
        </w:rPr>
        <w:t>由谁及何时</w:t>
      </w:r>
      <w:proofErr w:type="gramEnd"/>
      <w:r w:rsidRPr="005B4F03">
        <w:rPr>
          <w:rFonts w:hAnsi="宋体" w:hint="eastAsia"/>
          <w:sz w:val="28"/>
          <w:szCs w:val="24"/>
        </w:rPr>
        <w:t>应用哪些程序和相关资源的文件，符合GB/T 19001中质量策划的要求。</w:t>
      </w:r>
    </w:p>
    <w:p w14:paraId="65FBE484" w14:textId="77777777" w:rsidR="00B962FA" w:rsidRPr="005B4F03" w:rsidRDefault="00B962FA" w:rsidP="005B4F03">
      <w:pPr>
        <w:pStyle w:val="afff2"/>
        <w:spacing w:line="360" w:lineRule="auto"/>
        <w:ind w:left="560" w:hangingChars="200" w:hanging="560"/>
        <w:rPr>
          <w:rFonts w:hAnsi="宋体" w:hint="eastAsia"/>
          <w:sz w:val="28"/>
          <w:szCs w:val="24"/>
        </w:rPr>
      </w:pPr>
      <w:r w:rsidRPr="005B4F03">
        <w:rPr>
          <w:rFonts w:hAnsi="宋体"/>
          <w:sz w:val="28"/>
          <w:szCs w:val="24"/>
        </w:rPr>
        <w:lastRenderedPageBreak/>
        <w:br/>
      </w:r>
      <w:r w:rsidRPr="005B4F03">
        <w:rPr>
          <w:rFonts w:hAnsi="宋体" w:hint="eastAsia"/>
          <w:sz w:val="28"/>
          <w:szCs w:val="24"/>
        </w:rPr>
        <w:t>关键工序　critical process</w:t>
      </w:r>
    </w:p>
    <w:p w14:paraId="0B7A7785"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对特种设备的安全性能起决定性作用、质量难以在后续工序中弥补的工序，</w:t>
      </w:r>
      <w:proofErr w:type="gramStart"/>
      <w:r w:rsidRPr="005B4F03">
        <w:rPr>
          <w:rFonts w:hAnsi="宋体" w:hint="eastAsia"/>
          <w:sz w:val="28"/>
          <w:szCs w:val="24"/>
        </w:rPr>
        <w:t>须实施</w:t>
      </w:r>
      <w:proofErr w:type="gramEnd"/>
      <w:r w:rsidRPr="005B4F03">
        <w:rPr>
          <w:rFonts w:hAnsi="宋体" w:hint="eastAsia"/>
          <w:sz w:val="28"/>
          <w:szCs w:val="24"/>
        </w:rPr>
        <w:t>重点控制并保存专项记录。</w:t>
      </w:r>
    </w:p>
    <w:p w14:paraId="7447DB71" w14:textId="77777777" w:rsidR="00B962FA" w:rsidRPr="005B4F03" w:rsidRDefault="00B962FA" w:rsidP="005B4F03">
      <w:pPr>
        <w:pStyle w:val="afff2"/>
        <w:spacing w:line="360" w:lineRule="auto"/>
        <w:ind w:left="560" w:hangingChars="200" w:hanging="560"/>
        <w:rPr>
          <w:rFonts w:hAnsi="宋体" w:hint="eastAsia"/>
          <w:sz w:val="28"/>
          <w:szCs w:val="24"/>
        </w:rPr>
      </w:pPr>
      <w:r w:rsidRPr="005B4F03">
        <w:rPr>
          <w:rFonts w:hAnsi="宋体"/>
          <w:color w:val="000000"/>
          <w:sz w:val="28"/>
          <w:szCs w:val="24"/>
          <w:highlight w:val="lightGray"/>
        </w:rPr>
        <w:br/>
      </w:r>
      <w:r w:rsidRPr="005B4F03">
        <w:rPr>
          <w:rFonts w:hAnsi="宋体" w:hint="eastAsia"/>
          <w:sz w:val="28"/>
          <w:szCs w:val="24"/>
        </w:rPr>
        <w:t>不合格品　nonconforming product</w:t>
      </w:r>
    </w:p>
    <w:p w14:paraId="03BA6BC0"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在制造或安装过程中，不符合设计文件、工艺文件或相关标准规定要求的零件、组件或整机，须按规定程序进行标识、隔离及评审处置。</w:t>
      </w:r>
    </w:p>
    <w:p w14:paraId="21C4553B"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6" w:name="_Toc_tz_04"/>
      <w:bookmarkStart w:id="7" w:name="_Toc226560874"/>
      <w:r w:rsidRPr="005B4F03">
        <w:rPr>
          <w:rFonts w:ascii="宋体" w:eastAsia="宋体" w:hAnsi="宋体" w:hint="eastAsia"/>
          <w:sz w:val="28"/>
          <w:szCs w:val="24"/>
        </w:rPr>
        <w:t>总体要求</w:t>
      </w:r>
      <w:bookmarkEnd w:id="6"/>
      <w:bookmarkEnd w:id="7"/>
    </w:p>
    <w:p w14:paraId="04067FEB"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许可要求</w:t>
      </w:r>
    </w:p>
    <w:p w14:paraId="086618CA"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从事机电特种设备制造与安装的单位（以下简称“生产单位”）应依法取得TSG 07-2019规定的相应特种设备生产许可，并在许可范围内开展活动。</w:t>
      </w:r>
    </w:p>
    <w:p w14:paraId="4FD1BC9F"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质量管理体系</w:t>
      </w:r>
    </w:p>
    <w:p w14:paraId="3C3E054A"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生产单位应建立并持续保持覆盖全过程的质量管理体系，体系要求应符合GB/T 19001的规定，并结合特种设备制造安装活动的特殊性予以充实完善。</w:t>
      </w:r>
    </w:p>
    <w:p w14:paraId="325DC672"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领导责任</w:t>
      </w:r>
    </w:p>
    <w:p w14:paraId="5292BFBB"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生产单位的最高管理者应对质量管理体系的建立、实施和持续改进承担领导责任，确保质量方针、质量目标与本文件要求相协调。</w:t>
      </w:r>
    </w:p>
    <w:p w14:paraId="62D24B3D"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环境管理</w:t>
      </w:r>
    </w:p>
    <w:p w14:paraId="389D48FD"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生产单位在开展制造与安装活动时，还应符合GB/T 24001规定的环境管理要求，识别并控制可能产生的重要环境因素。</w:t>
      </w:r>
    </w:p>
    <w:p w14:paraId="0505E5FC"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8" w:name="_Toc_tz_05"/>
      <w:bookmarkStart w:id="9" w:name="_Toc226560875"/>
      <w:r w:rsidRPr="005B4F03">
        <w:rPr>
          <w:rFonts w:ascii="宋体" w:eastAsia="宋体" w:hAnsi="宋体" w:hint="eastAsia"/>
          <w:sz w:val="28"/>
          <w:szCs w:val="24"/>
        </w:rPr>
        <w:t>质量管理体系要求</w:t>
      </w:r>
      <w:bookmarkEnd w:id="8"/>
      <w:bookmarkEnd w:id="9"/>
    </w:p>
    <w:p w14:paraId="4E54A061"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质量保证体系</w:t>
      </w:r>
    </w:p>
    <w:p w14:paraId="1F998D0C"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生产单位应按照TSG 07-2019附件M的要求建立特种设备生产质量保证体系，明确各质量控制要素的责任人员及职责权限。</w:t>
      </w:r>
    </w:p>
    <w:p w14:paraId="60C4B6BC"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lastRenderedPageBreak/>
        <w:t>质量保证体系应包含但不限于以下控制要素：设计控制、材料与零部件控制、工艺控制、焊接控制、无损检测控制、热处理控制（适用时）、检验与试验控制、不合格品控制、文件与记录控制。</w:t>
      </w:r>
    </w:p>
    <w:p w14:paraId="75A33F08"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生产单位应定期（不少于每年一次）组织内部审核，评价质量保证体系的符合性和有效性，审核结果应形成书面报告并提交最高管理者评审。</w:t>
      </w:r>
    </w:p>
    <w:p w14:paraId="12B615F6"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人员管理</w:t>
      </w:r>
    </w:p>
    <w:p w14:paraId="6E75422D"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生产单位应配备满足制造安装规模和技术要求的技术人员、质量管理人员及作业人员，各类人员的资格和数量应符合TSG 07-2019的相关规定。</w:t>
      </w:r>
    </w:p>
    <w:p w14:paraId="2378A0F3"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从事焊接、无损检测、起重机械安装等特种作业的人员，应取得国家规定的特种设备作业人员证书，并在证书有效期内持证上岗。</w:t>
      </w:r>
    </w:p>
    <w:p w14:paraId="65C353A1"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生产单位应制定年度培训计划，对各类人员开展专业技术培训和质量意识培训，培训记录应存档备查。</w:t>
      </w:r>
    </w:p>
    <w:p w14:paraId="116C4106"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设施与工作环境</w:t>
      </w:r>
    </w:p>
    <w:p w14:paraId="01074E7D"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生产单位应具备与制造安装规模相适应的厂房、设备、工装和检测仪器，设施条件应满足TSG 07-2019及相应产品安全技术规程的要求。</w:t>
      </w:r>
    </w:p>
    <w:p w14:paraId="105AB395"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测量和检测设备应按照GB/T 19022的要求进行计量管理，建立计量</w:t>
      </w:r>
      <w:proofErr w:type="gramStart"/>
      <w:r w:rsidRPr="005B4F03">
        <w:rPr>
          <w:rFonts w:hAnsi="宋体" w:hint="eastAsia"/>
          <w:sz w:val="28"/>
          <w:szCs w:val="24"/>
        </w:rPr>
        <w:t>器具台</w:t>
      </w:r>
      <w:proofErr w:type="gramEnd"/>
      <w:r w:rsidRPr="005B4F03">
        <w:rPr>
          <w:rFonts w:hAnsi="宋体" w:hint="eastAsia"/>
          <w:sz w:val="28"/>
          <w:szCs w:val="24"/>
        </w:rPr>
        <w:t>账，定期进行检定或校准，检定/校准记录应完整保存。</w:t>
      </w:r>
    </w:p>
    <w:p w14:paraId="02A80804"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生产场所应保持整洁有序，对制造安装质量有影响的温度、湿度、洁净度等环境条件应进行必要的监控和记录。</w:t>
      </w:r>
    </w:p>
    <w:p w14:paraId="034838DE"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10" w:name="_Toc_tz_06"/>
      <w:bookmarkStart w:id="11" w:name="_Toc226560876"/>
      <w:r w:rsidRPr="005B4F03">
        <w:rPr>
          <w:rFonts w:ascii="宋体" w:eastAsia="宋体" w:hAnsi="宋体" w:hint="eastAsia"/>
          <w:sz w:val="28"/>
          <w:szCs w:val="24"/>
        </w:rPr>
        <w:t>制造过程质量控制</w:t>
      </w:r>
      <w:bookmarkEnd w:id="10"/>
      <w:bookmarkEnd w:id="11"/>
    </w:p>
    <w:p w14:paraId="04BA4959"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设计控制</w:t>
      </w:r>
    </w:p>
    <w:p w14:paraId="799C9FFF"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特种设备的设计文件应由具有相应资质的设计人员编制，并经设计责任人审核批准后方可用于生产。</w:t>
      </w:r>
    </w:p>
    <w:p w14:paraId="08B2F134"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设计变更应严格执行变更审批程序，变更内容影响安全性能的，应重新进行安全技术评审并通知相关职能部门。</w:t>
      </w:r>
    </w:p>
    <w:p w14:paraId="53DC07C5"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lastRenderedPageBreak/>
        <w:t>生产单位应建立设计文件受控清单，确保生产现场使用的设计文件为有效版本。</w:t>
      </w:r>
    </w:p>
    <w:p w14:paraId="3B22ED07"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材料与外购件控制</w:t>
      </w:r>
    </w:p>
    <w:p w14:paraId="45EC04ED"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用于特种设备主要受力结构件的原材料应具有制造商出具的材质证明书，生产单位应对材质证明书的真实性进行审查，必要时进行抽样复验。</w:t>
      </w:r>
    </w:p>
    <w:p w14:paraId="0A85DAB5"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外购的安全附件（如限速器、安全钳、缓冲器等）应取得相应的型式试验证书，进货时应进行型号规格和外观检查，并保存进货检验记录。</w:t>
      </w:r>
    </w:p>
    <w:p w14:paraId="4C2406BA"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材料和外购件应按品种、规格、炉批号分类存放，设置标识标签，防止混料；不合格材料应单独隔离，防止误用。</w:t>
      </w:r>
    </w:p>
    <w:p w14:paraId="1D22F785"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工艺控制</w:t>
      </w:r>
    </w:p>
    <w:p w14:paraId="617E7D02"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生产单位应根据设计文件编制工艺规程，工艺规程应经工艺责任人审核批准，并在制造前发放至相关工序。</w:t>
      </w:r>
    </w:p>
    <w:p w14:paraId="4C8EB1CF"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关键工序应设立工序检验点，经检验合格并签字确认后方可转入下道工序。</w:t>
      </w:r>
    </w:p>
    <w:p w14:paraId="19482440"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工艺文件中规定的工艺参数应在制造过程中严格执行，实测参数应记录于工序检验记录中。</w:t>
      </w:r>
    </w:p>
    <w:p w14:paraId="7FA35AC0"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焊接质量控制</w:t>
      </w:r>
    </w:p>
    <w:p w14:paraId="38DD7E19"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焊接工艺规程应经焊接工艺评定验证，评定项目及要求应符合相应特种设备安全技术规程的规定，焊接工艺评定记录应长期保存。</w:t>
      </w:r>
    </w:p>
    <w:p w14:paraId="243B52C9"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焊工应持有与焊接工艺规程相适应的焊工证书，每位焊工应在规定的认可范围内施焊，超范围焊接为不合格。</w:t>
      </w:r>
    </w:p>
    <w:p w14:paraId="12E3AA5C"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重要焊缝的焊接记录应包含焊工标识、焊接日期、焊接工艺规程编号及焊接参数实测值，并具有可追溯性。</w:t>
      </w:r>
    </w:p>
    <w:p w14:paraId="430B4DE2"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无损检测控制</w:t>
      </w:r>
    </w:p>
    <w:p w14:paraId="23B7B55D"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无损检测应由取得相应资质的检测人员按照批准的检测工艺进行，检测</w:t>
      </w:r>
      <w:r w:rsidRPr="005B4F03">
        <w:rPr>
          <w:rFonts w:hAnsi="宋体" w:hint="eastAsia"/>
          <w:sz w:val="28"/>
          <w:szCs w:val="24"/>
        </w:rPr>
        <w:lastRenderedPageBreak/>
        <w:t>项目、方法和合格指标应符合相应安全技术规程和标准的规定。</w:t>
      </w:r>
    </w:p>
    <w:p w14:paraId="59B57797"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无损检测原始记录应真实、完整，检测报告应由Ⅱ级及以上持证人员审核签发，检测报告和原始记录应随产品存档。</w:t>
      </w:r>
    </w:p>
    <w:p w14:paraId="21B9CEA6"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12" w:name="_Toc_tz_07"/>
      <w:bookmarkStart w:id="13" w:name="_Toc226560877"/>
      <w:r w:rsidRPr="005B4F03">
        <w:rPr>
          <w:rFonts w:ascii="宋体" w:eastAsia="宋体" w:hAnsi="宋体" w:hint="eastAsia"/>
          <w:sz w:val="28"/>
          <w:szCs w:val="24"/>
        </w:rPr>
        <w:t>安装过程质量控制</w:t>
      </w:r>
      <w:bookmarkEnd w:id="12"/>
      <w:bookmarkEnd w:id="13"/>
    </w:p>
    <w:p w14:paraId="70397445"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安装前准备</w:t>
      </w:r>
    </w:p>
    <w:p w14:paraId="672E5D38"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安装前应编制安装施工方案，施工方案应包括：工程概况、施工组织、安装工序、质量控制措施、安全措施及应急预案。施工方案应经技术负责人审批。</w:t>
      </w:r>
    </w:p>
    <w:p w14:paraId="78BB2BBF"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安装人员进场前应核查特种设备的出厂资料（包括产品合格证、设计文件、安装及使用说明书等）的完整性，不齐全时不得开始安装。</w:t>
      </w:r>
    </w:p>
    <w:p w14:paraId="3F8A28A3"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安装作业人员应具备相应资格，安装负责人应向作业人员进行施工方案和安全技术交底，交底记录应存档。</w:t>
      </w:r>
    </w:p>
    <w:p w14:paraId="3245BE92"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安装过程控制</w:t>
      </w:r>
    </w:p>
    <w:p w14:paraId="38ACBA36"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安装单位应按照批准的施工方案和产品安装说明书进行施工，不得擅自更改安装技术参数。</w:t>
      </w:r>
    </w:p>
    <w:p w14:paraId="557074EB"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关键安装工序应设置停工待检点，检验合格后方可继续作业，检验结果应记录于施工记录表。</w:t>
      </w:r>
    </w:p>
    <w:p w14:paraId="56424A44"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安装过程中发现产品存在质量问题或与安装现场条件不符时，应停止施工，报告制造单位和使用单位，协商处置方案后方可继续安装。</w:t>
      </w:r>
    </w:p>
    <w:p w14:paraId="4827E5F3"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起重机械安装过程中的重要技术参数的测量应使用经检定合格的计量器具，测量记录应完整保存。</w:t>
      </w:r>
    </w:p>
    <w:p w14:paraId="3DAD6D8D"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调试与自检</w:t>
      </w:r>
    </w:p>
    <w:p w14:paraId="41507EA2"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安装完成后，安装单位应按照相关安全技术规程和产品技术文件规定进行全面调试，调试项目应覆盖设备的全部安全功能和主要性能参数。</w:t>
      </w:r>
    </w:p>
    <w:p w14:paraId="4816E079"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调试过程中应对各安全保护装置逐一进行功能验证，保护装置动作应灵</w:t>
      </w:r>
      <w:r w:rsidRPr="005B4F03">
        <w:rPr>
          <w:rFonts w:hAnsi="宋体" w:hint="eastAsia"/>
          <w:sz w:val="28"/>
          <w:szCs w:val="24"/>
        </w:rPr>
        <w:lastRenderedPageBreak/>
        <w:t>敏可靠，不符合要求的应调整合格后方可进行下一步骤。</w:t>
      </w:r>
    </w:p>
    <w:p w14:paraId="30AE50B5"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调试结束后，安装单位应对安装工程进行自检，自检项目应符合相应安全技术规程的要求，自检结果应形成书面报告。</w:t>
      </w:r>
    </w:p>
    <w:p w14:paraId="2A5B05EC"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监督检验配合</w:t>
      </w:r>
    </w:p>
    <w:p w14:paraId="00FF043B"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安装单位应按照相关安全技术规程的要求，向有相应核准资质的特种设备检验机构申请安装监督检验，提供完整的施工资料并配合检验工作。</w:t>
      </w:r>
    </w:p>
    <w:p w14:paraId="52520893"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监督检验中提出的整改项目，安装单位应按期完成整改，整改记录应存档。</w:t>
      </w:r>
    </w:p>
    <w:p w14:paraId="301FD1A3"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14" w:name="_Toc_tz_08"/>
      <w:bookmarkStart w:id="15" w:name="_Toc226560878"/>
      <w:r w:rsidRPr="005B4F03">
        <w:rPr>
          <w:rFonts w:ascii="宋体" w:eastAsia="宋体" w:hAnsi="宋体" w:hint="eastAsia"/>
          <w:sz w:val="28"/>
          <w:szCs w:val="24"/>
        </w:rPr>
        <w:t>检验与试验</w:t>
      </w:r>
      <w:bookmarkEnd w:id="14"/>
      <w:bookmarkEnd w:id="15"/>
    </w:p>
    <w:p w14:paraId="4FBA1E2D"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检验分类</w:t>
      </w:r>
    </w:p>
    <w:p w14:paraId="32247486"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特种设备的检验分为过程检验、出厂检验（制造单位）、</w:t>
      </w:r>
      <w:proofErr w:type="gramStart"/>
      <w:r w:rsidRPr="005B4F03">
        <w:rPr>
          <w:rFonts w:hAnsi="宋体" w:hint="eastAsia"/>
          <w:sz w:val="28"/>
          <w:szCs w:val="24"/>
        </w:rPr>
        <w:t>安装自</w:t>
      </w:r>
      <w:proofErr w:type="gramEnd"/>
      <w:r w:rsidRPr="005B4F03">
        <w:rPr>
          <w:rFonts w:hAnsi="宋体" w:hint="eastAsia"/>
          <w:sz w:val="28"/>
          <w:szCs w:val="24"/>
        </w:rPr>
        <w:t>检（安装单位）和监督检验四类，各类检验应按本章规定执行。</w:t>
      </w:r>
    </w:p>
    <w:p w14:paraId="3B96F9CB"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过程检验</w:t>
      </w:r>
    </w:p>
    <w:p w14:paraId="29F9B4AB"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过程检验包括材料进货检验、工序检验和关键工序专项检验，由生产单位质量检验部门负责实施。</w:t>
      </w:r>
    </w:p>
    <w:p w14:paraId="6B94C861"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工序检验应依据工艺规程规定的检验项目和检验频率进行，检验结果应及时记录，不合格品应按第6章或第7章规定处置。</w:t>
      </w:r>
    </w:p>
    <w:p w14:paraId="45D81D49"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出厂检验要求</w:t>
      </w:r>
    </w:p>
    <w:p w14:paraId="0EE850AA"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出厂检验应在完成全部制造工序、各项过程检验合格后进行，出厂检验项目应覆盖设备的主要安全性能和功能要求。</w:t>
      </w:r>
    </w:p>
    <w:p w14:paraId="016B46C1"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出厂检验结果应记录于出厂检验报告，报告应随产品出厂文件归档。</w:t>
      </w:r>
    </w:p>
    <w:p w14:paraId="0B86080C"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proofErr w:type="gramStart"/>
      <w:r w:rsidRPr="005B4F03">
        <w:rPr>
          <w:rFonts w:ascii="宋体" w:eastAsia="宋体" w:hAnsi="宋体" w:hint="eastAsia"/>
          <w:sz w:val="28"/>
          <w:szCs w:val="24"/>
        </w:rPr>
        <w:t>安装自</w:t>
      </w:r>
      <w:proofErr w:type="gramEnd"/>
      <w:r w:rsidRPr="005B4F03">
        <w:rPr>
          <w:rFonts w:ascii="宋体" w:eastAsia="宋体" w:hAnsi="宋体" w:hint="eastAsia"/>
          <w:sz w:val="28"/>
          <w:szCs w:val="24"/>
        </w:rPr>
        <w:t>检要求</w:t>
      </w:r>
    </w:p>
    <w:p w14:paraId="2FEF751A" w14:textId="77777777" w:rsidR="00B962FA" w:rsidRPr="005B4F03" w:rsidRDefault="00B962FA" w:rsidP="005B4F03">
      <w:pPr>
        <w:pStyle w:val="affe"/>
        <w:spacing w:line="360" w:lineRule="auto"/>
        <w:rPr>
          <w:rFonts w:hAnsi="宋体"/>
          <w:sz w:val="28"/>
          <w:szCs w:val="24"/>
        </w:rPr>
      </w:pPr>
      <w:proofErr w:type="gramStart"/>
      <w:r w:rsidRPr="005B4F03">
        <w:rPr>
          <w:rFonts w:hAnsi="宋体" w:hint="eastAsia"/>
          <w:sz w:val="28"/>
          <w:szCs w:val="24"/>
        </w:rPr>
        <w:t>安装自</w:t>
      </w:r>
      <w:proofErr w:type="gramEnd"/>
      <w:r w:rsidRPr="005B4F03">
        <w:rPr>
          <w:rFonts w:hAnsi="宋体" w:hint="eastAsia"/>
          <w:sz w:val="28"/>
          <w:szCs w:val="24"/>
        </w:rPr>
        <w:t>检应在监督检验前完成，自检项目应符合TSG 07-2019及相应安全技术规程的要求。</w:t>
      </w:r>
    </w:p>
    <w:p w14:paraId="106C2307" w14:textId="77777777" w:rsidR="00B962FA" w:rsidRPr="005B4F03" w:rsidRDefault="00B962FA" w:rsidP="005B4F03">
      <w:pPr>
        <w:pStyle w:val="affe"/>
        <w:spacing w:line="360" w:lineRule="auto"/>
        <w:rPr>
          <w:rFonts w:hAnsi="宋体"/>
          <w:sz w:val="28"/>
          <w:szCs w:val="24"/>
        </w:rPr>
      </w:pPr>
      <w:proofErr w:type="gramStart"/>
      <w:r w:rsidRPr="005B4F03">
        <w:rPr>
          <w:rFonts w:hAnsi="宋体" w:hint="eastAsia"/>
          <w:sz w:val="28"/>
          <w:szCs w:val="24"/>
        </w:rPr>
        <w:t>安装自</w:t>
      </w:r>
      <w:proofErr w:type="gramEnd"/>
      <w:r w:rsidRPr="005B4F03">
        <w:rPr>
          <w:rFonts w:hAnsi="宋体" w:hint="eastAsia"/>
          <w:sz w:val="28"/>
          <w:szCs w:val="24"/>
        </w:rPr>
        <w:t>检发现的不符合项应在自检记录中如实记录，经整改合格后在自</w:t>
      </w:r>
      <w:r w:rsidRPr="005B4F03">
        <w:rPr>
          <w:rFonts w:hAnsi="宋体" w:hint="eastAsia"/>
          <w:sz w:val="28"/>
          <w:szCs w:val="24"/>
        </w:rPr>
        <w:lastRenderedPageBreak/>
        <w:t>检报告中予以确认。</w:t>
      </w:r>
    </w:p>
    <w:p w14:paraId="1F8884B2"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16" w:name="_Toc_tz_09"/>
      <w:bookmarkStart w:id="17" w:name="_Toc226560879"/>
      <w:r w:rsidRPr="005B4F03">
        <w:rPr>
          <w:rFonts w:ascii="宋体" w:eastAsia="宋体" w:hAnsi="宋体" w:hint="eastAsia"/>
          <w:sz w:val="28"/>
          <w:szCs w:val="24"/>
        </w:rPr>
        <w:t>文件与记录管理</w:t>
      </w:r>
      <w:bookmarkEnd w:id="16"/>
      <w:bookmarkEnd w:id="17"/>
    </w:p>
    <w:p w14:paraId="535764E3"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文件控制</w:t>
      </w:r>
    </w:p>
    <w:p w14:paraId="5AC62DD8"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生产单位应建立文件控制程序，确保质量管理体系文件的制定、审批、发布、发放、修订和作废均处于受控状态。</w:t>
      </w:r>
    </w:p>
    <w:p w14:paraId="7FD9A3A9"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与特种设备安全性</w:t>
      </w:r>
      <w:proofErr w:type="gramStart"/>
      <w:r w:rsidRPr="005B4F03">
        <w:rPr>
          <w:rFonts w:hAnsi="宋体" w:hint="eastAsia"/>
          <w:sz w:val="28"/>
          <w:szCs w:val="24"/>
        </w:rPr>
        <w:t>能相关</w:t>
      </w:r>
      <w:proofErr w:type="gramEnd"/>
      <w:r w:rsidRPr="005B4F03">
        <w:rPr>
          <w:rFonts w:hAnsi="宋体" w:hint="eastAsia"/>
          <w:sz w:val="28"/>
          <w:szCs w:val="24"/>
        </w:rPr>
        <w:t>的设计文件、工艺文件应实施版本管理，现场使用的应为最新有效版本，作废文件应及时从使用现场撤回并标识销毁。</w:t>
      </w:r>
    </w:p>
    <w:p w14:paraId="5B6895AF"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质量记录控制</w:t>
      </w:r>
    </w:p>
    <w:p w14:paraId="56434E30"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生产单位应建立质量记录清单，明确各</w:t>
      </w:r>
      <w:proofErr w:type="gramStart"/>
      <w:r w:rsidRPr="005B4F03">
        <w:rPr>
          <w:rFonts w:hAnsi="宋体" w:hint="eastAsia"/>
          <w:sz w:val="28"/>
          <w:szCs w:val="24"/>
        </w:rPr>
        <w:t>类记录</w:t>
      </w:r>
      <w:proofErr w:type="gramEnd"/>
      <w:r w:rsidRPr="005B4F03">
        <w:rPr>
          <w:rFonts w:hAnsi="宋体" w:hint="eastAsia"/>
          <w:sz w:val="28"/>
          <w:szCs w:val="24"/>
        </w:rPr>
        <w:t>的标识、收集、编目、归档、保存、调用和销毁的要求。</w:t>
      </w:r>
    </w:p>
    <w:p w14:paraId="6F1B6BB0"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质量记录应真实、清晰、完整，不得随意涂改；确需更改时，应在原内容上划线，在旁边填写正确内容，并由更改人签字注明日期。</w:t>
      </w:r>
    </w:p>
    <w:p w14:paraId="09FF407E"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涉及特种设备安全性能的质量记录保存期限不应少于特种设备的设计使用年限。</w:t>
      </w:r>
    </w:p>
    <w:p w14:paraId="2059D780"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产品随机文件</w:t>
      </w:r>
    </w:p>
    <w:p w14:paraId="31AD060B"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特种设备出厂时应随机提供符合TSG 07-2019要求的技术文件，至少包括：产品合格证、设计文件（目录）、安装及使用说明书、整机检验报告及安全装置型式试验证书副本。</w:t>
      </w:r>
    </w:p>
    <w:p w14:paraId="55CDA4D8"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安装完成后，安装单位应向使用单位提供：安装合同、施工方案、</w:t>
      </w:r>
      <w:proofErr w:type="gramStart"/>
      <w:r w:rsidRPr="005B4F03">
        <w:rPr>
          <w:rFonts w:hAnsi="宋体" w:hint="eastAsia"/>
          <w:sz w:val="28"/>
          <w:szCs w:val="24"/>
        </w:rPr>
        <w:t>安装自</w:t>
      </w:r>
      <w:proofErr w:type="gramEnd"/>
      <w:r w:rsidRPr="005B4F03">
        <w:rPr>
          <w:rFonts w:hAnsi="宋体" w:hint="eastAsia"/>
          <w:sz w:val="28"/>
          <w:szCs w:val="24"/>
        </w:rPr>
        <w:t>检报告、监督检验报告（或受理凭证）及竣工图（适用时）。</w:t>
      </w:r>
    </w:p>
    <w:p w14:paraId="4D39CBEF" w14:textId="77777777" w:rsidR="00B962FA" w:rsidRPr="005B4F03" w:rsidRDefault="00B962FA" w:rsidP="005B4F03">
      <w:pPr>
        <w:pStyle w:val="af0"/>
        <w:spacing w:beforeLines="0" w:before="0" w:afterLines="0" w:after="0" w:line="360" w:lineRule="auto"/>
        <w:outlineLvl w:val="9"/>
        <w:rPr>
          <w:rFonts w:ascii="宋体" w:eastAsia="宋体" w:hAnsi="宋体"/>
          <w:sz w:val="28"/>
          <w:szCs w:val="24"/>
        </w:rPr>
      </w:pPr>
      <w:bookmarkStart w:id="18" w:name="_Toc_tz_10"/>
      <w:bookmarkStart w:id="19" w:name="_Toc226560880"/>
      <w:r w:rsidRPr="005B4F03">
        <w:rPr>
          <w:rFonts w:ascii="宋体" w:eastAsia="宋体" w:hAnsi="宋体" w:hint="eastAsia"/>
          <w:sz w:val="28"/>
          <w:szCs w:val="24"/>
        </w:rPr>
        <w:t>持续改进</w:t>
      </w:r>
      <w:bookmarkEnd w:id="18"/>
      <w:bookmarkEnd w:id="19"/>
    </w:p>
    <w:p w14:paraId="3D516505"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不合格品控制</w:t>
      </w:r>
    </w:p>
    <w:p w14:paraId="769D3872"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生产单位应建立不合格品控制程序，对制造和安装过程中发现的不合格品进行标识、隔离、记录，并组织评审确定处置方式（返工、返修、降级使用或报废）。</w:t>
      </w:r>
    </w:p>
    <w:p w14:paraId="088B6022"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lastRenderedPageBreak/>
        <w:t>经返工、返修的不合格品须经重新检验，合格后方可流转；涉及特种设备安全性能的不合格品返工或返修后，应重新进行相关项目的检验和试验。</w:t>
      </w:r>
    </w:p>
    <w:p w14:paraId="65F3AF6C"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纠正措施与预防措施</w:t>
      </w:r>
    </w:p>
    <w:p w14:paraId="509DAF7B"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生产单位应定期对质量问题进行统计分析，查找根本原因，制定并实施纠正措施，跟踪验证措施效果。</w:t>
      </w:r>
    </w:p>
    <w:p w14:paraId="4C61D514"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对潜在的质量风险，生产单位应主动识别并采取预防措施，防止问题发生，预防措施的实施效果应纳入管理评审输入。</w:t>
      </w:r>
    </w:p>
    <w:p w14:paraId="60384079" w14:textId="77777777" w:rsidR="00B962FA" w:rsidRPr="005B4F03" w:rsidRDefault="00B962FA" w:rsidP="005B4F03">
      <w:pPr>
        <w:pStyle w:val="af1"/>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管理评审</w:t>
      </w:r>
    </w:p>
    <w:p w14:paraId="690E447C"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最高管理者应定期（不少于每年一次）主持管理评审，评价质量管理体系的适宜性、充分性和有效性，评审输入应包含内审结果、客户反馈、过程绩效、纠正预防措施状态等信息。</w:t>
      </w:r>
    </w:p>
    <w:p w14:paraId="636643C7" w14:textId="77777777" w:rsidR="00B962FA" w:rsidRPr="005B4F03" w:rsidRDefault="00B962FA" w:rsidP="005B4F03">
      <w:pPr>
        <w:pStyle w:val="affe"/>
        <w:spacing w:line="360" w:lineRule="auto"/>
        <w:rPr>
          <w:rFonts w:hAnsi="宋体"/>
          <w:sz w:val="28"/>
          <w:szCs w:val="24"/>
        </w:rPr>
      </w:pPr>
      <w:r w:rsidRPr="005B4F03">
        <w:rPr>
          <w:rFonts w:hAnsi="宋体" w:hint="eastAsia"/>
          <w:sz w:val="28"/>
          <w:szCs w:val="24"/>
        </w:rPr>
        <w:t>管理评审结论应形成书面记录，对需要改进的事项应确定责任部门、改进目标和完成时限，改进效果应在下次管理评审中跟踪确认。</w:t>
      </w:r>
    </w:p>
    <w:p w14:paraId="6543175C" w14:textId="77777777" w:rsidR="00B962FA" w:rsidRPr="005B4F03" w:rsidRDefault="00B962FA" w:rsidP="005B4F03">
      <w:pPr>
        <w:pStyle w:val="affd"/>
        <w:spacing w:line="360" w:lineRule="auto"/>
        <w:ind w:firstLine="560"/>
        <w:rPr>
          <w:rFonts w:hAnsi="宋体"/>
          <w:sz w:val="28"/>
          <w:szCs w:val="24"/>
        </w:rPr>
        <w:sectPr w:rsidR="00B962FA" w:rsidRPr="005B4F03" w:rsidSect="00B962FA">
          <w:pgSz w:w="11906" w:h="16838"/>
          <w:pgMar w:top="1928" w:right="1134" w:bottom="1134" w:left="1134" w:header="1418" w:footer="1134" w:gutter="284"/>
          <w:pgNumType w:start="1"/>
          <w:cols w:space="425"/>
          <w:formProt w:val="0"/>
          <w:docGrid w:linePitch="312"/>
        </w:sectPr>
      </w:pPr>
    </w:p>
    <w:p w14:paraId="52717203" w14:textId="77777777" w:rsidR="00B962FA" w:rsidRPr="005B4F03" w:rsidRDefault="00B962FA" w:rsidP="005B4F03">
      <w:pPr>
        <w:pStyle w:val="a9"/>
        <w:spacing w:before="0" w:afterLines="0" w:after="0" w:line="360" w:lineRule="auto"/>
        <w:outlineLvl w:val="9"/>
        <w:rPr>
          <w:rFonts w:ascii="宋体" w:eastAsia="宋体" w:hAnsi="宋体"/>
          <w:sz w:val="28"/>
          <w:szCs w:val="24"/>
        </w:rPr>
      </w:pPr>
      <w:bookmarkStart w:id="20" w:name="BookMark5"/>
      <w:r w:rsidRPr="005B4F03">
        <w:rPr>
          <w:rFonts w:ascii="宋体" w:eastAsia="宋体" w:hAnsi="宋体"/>
          <w:sz w:val="28"/>
          <w:szCs w:val="24"/>
        </w:rPr>
        <w:lastRenderedPageBreak/>
        <w:br/>
      </w:r>
      <w:bookmarkStart w:id="21" w:name="_Toc226560881"/>
      <w:r w:rsidRPr="005B4F03">
        <w:rPr>
          <w:rFonts w:ascii="宋体" w:eastAsia="宋体" w:hAnsi="宋体" w:hint="eastAsia"/>
          <w:sz w:val="28"/>
          <w:szCs w:val="24"/>
        </w:rPr>
        <w:t>（规范性）</w:t>
      </w:r>
      <w:r w:rsidRPr="005B4F03">
        <w:rPr>
          <w:rFonts w:ascii="宋体" w:eastAsia="宋体" w:hAnsi="宋体"/>
          <w:sz w:val="28"/>
          <w:szCs w:val="24"/>
        </w:rPr>
        <w:br/>
      </w:r>
      <w:r w:rsidRPr="005B4F03">
        <w:rPr>
          <w:rFonts w:ascii="宋体" w:eastAsia="宋体" w:hAnsi="宋体" w:hint="eastAsia"/>
          <w:sz w:val="28"/>
          <w:szCs w:val="24"/>
        </w:rPr>
        <w:t>质量计划编制要求</w:t>
      </w:r>
      <w:bookmarkEnd w:id="21"/>
    </w:p>
    <w:p w14:paraId="652FB115" w14:textId="77777777" w:rsidR="00B962FA" w:rsidRPr="005B4F03" w:rsidRDefault="00B962FA" w:rsidP="005B4F03">
      <w:pPr>
        <w:pStyle w:val="aa"/>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总则</w:t>
      </w:r>
    </w:p>
    <w:p w14:paraId="71A96438"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生产单位应为每个特种设备制造或安装项目编制质量计划，质量计划应符合GB/T 19001中质量策划的要求，并体现本文件各章节的控制要求。</w:t>
      </w:r>
    </w:p>
    <w:p w14:paraId="0A76A046" w14:textId="77777777" w:rsidR="00B962FA" w:rsidRPr="005B4F03" w:rsidRDefault="00B962FA" w:rsidP="005B4F03">
      <w:pPr>
        <w:pStyle w:val="aa"/>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质量计划内容要求</w:t>
      </w:r>
    </w:p>
    <w:p w14:paraId="03EF4E83" w14:textId="77777777" w:rsidR="00B962FA" w:rsidRPr="005B4F03" w:rsidRDefault="00B962FA" w:rsidP="005B4F03">
      <w:pPr>
        <w:pStyle w:val="afff1"/>
        <w:wordWrap/>
        <w:spacing w:line="360" w:lineRule="auto"/>
        <w:rPr>
          <w:rFonts w:hAnsi="宋体"/>
          <w:sz w:val="28"/>
          <w:szCs w:val="24"/>
        </w:rPr>
      </w:pPr>
      <w:r w:rsidRPr="005B4F03">
        <w:rPr>
          <w:rFonts w:hAnsi="宋体" w:hint="eastAsia"/>
          <w:sz w:val="28"/>
          <w:szCs w:val="24"/>
        </w:rPr>
        <w:t>质量计划应包括以下基本内容：</w:t>
      </w:r>
    </w:p>
    <w:p w14:paraId="0EA3AA18"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项目概况（设备类型、规格参数、合同编号）；</w:t>
      </w:r>
    </w:p>
    <w:p w14:paraId="37C11E88"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适用的法规、安全技术规程及标准清单；</w:t>
      </w:r>
    </w:p>
    <w:p w14:paraId="06BD09A6"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质量目标及考核指标；</w:t>
      </w:r>
    </w:p>
    <w:p w14:paraId="1D27C84C"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组织机构与岗位职责；</w:t>
      </w:r>
    </w:p>
    <w:p w14:paraId="1A3BDEC8"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关键工序及停工待检点清单；</w:t>
      </w:r>
    </w:p>
    <w:p w14:paraId="05DE69F7"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检验与试验计划；</w:t>
      </w:r>
    </w:p>
    <w:p w14:paraId="4093CAE6"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不合格品处置规定；</w:t>
      </w:r>
    </w:p>
    <w:p w14:paraId="00DBACCE" w14:textId="77777777" w:rsidR="00B962FA" w:rsidRPr="005B4F03" w:rsidRDefault="00B962FA" w:rsidP="005B4F03">
      <w:pPr>
        <w:pStyle w:val="a2"/>
        <w:spacing w:line="360" w:lineRule="auto"/>
        <w:rPr>
          <w:rFonts w:hAnsi="宋体"/>
          <w:sz w:val="28"/>
          <w:szCs w:val="24"/>
        </w:rPr>
      </w:pPr>
      <w:r w:rsidRPr="005B4F03">
        <w:rPr>
          <w:rFonts w:hAnsi="宋体" w:hint="eastAsia"/>
          <w:sz w:val="28"/>
          <w:szCs w:val="24"/>
        </w:rPr>
        <w:t>质量记录清单。</w:t>
      </w:r>
    </w:p>
    <w:p w14:paraId="068106BF" w14:textId="77777777" w:rsidR="00B962FA" w:rsidRPr="005B4F03" w:rsidRDefault="00B962FA" w:rsidP="005B4F03">
      <w:pPr>
        <w:pStyle w:val="afff1"/>
        <w:wordWrap/>
        <w:spacing w:line="360" w:lineRule="auto"/>
        <w:rPr>
          <w:rFonts w:hAnsi="宋体"/>
          <w:sz w:val="28"/>
          <w:szCs w:val="24"/>
        </w:rPr>
      </w:pPr>
      <w:r w:rsidRPr="005B4F03">
        <w:rPr>
          <w:rFonts w:hAnsi="宋体" w:hint="eastAsia"/>
          <w:sz w:val="28"/>
          <w:szCs w:val="24"/>
        </w:rPr>
        <w:t>涉及起重机械安装项目的质量计划，还应包含现场安全管理要求和应急处置预案，并符合TSG 51-2023的相关规定。</w:t>
      </w:r>
    </w:p>
    <w:p w14:paraId="1EEC91CD" w14:textId="77777777" w:rsidR="00B962FA" w:rsidRPr="005B4F03" w:rsidRDefault="00B962FA" w:rsidP="005B4F03">
      <w:pPr>
        <w:pStyle w:val="aa"/>
        <w:spacing w:beforeLines="0" w:before="0" w:afterLines="0" w:after="0" w:line="360" w:lineRule="auto"/>
        <w:outlineLvl w:val="9"/>
        <w:rPr>
          <w:rFonts w:ascii="宋体" w:eastAsia="宋体" w:hAnsi="宋体"/>
          <w:sz w:val="28"/>
          <w:szCs w:val="24"/>
        </w:rPr>
      </w:pPr>
      <w:r w:rsidRPr="005B4F03">
        <w:rPr>
          <w:rFonts w:ascii="宋体" w:eastAsia="宋体" w:hAnsi="宋体" w:hint="eastAsia"/>
          <w:sz w:val="28"/>
          <w:szCs w:val="24"/>
        </w:rPr>
        <w:t>质量计划审批与管理</w:t>
      </w:r>
    </w:p>
    <w:p w14:paraId="74A21E39" w14:textId="77777777" w:rsidR="00B962FA" w:rsidRPr="005B4F03" w:rsidRDefault="00B962FA" w:rsidP="005B4F03">
      <w:pPr>
        <w:pStyle w:val="afff1"/>
        <w:wordWrap/>
        <w:spacing w:line="360" w:lineRule="auto"/>
        <w:rPr>
          <w:rFonts w:hAnsi="宋体"/>
          <w:sz w:val="28"/>
          <w:szCs w:val="24"/>
        </w:rPr>
      </w:pPr>
      <w:r w:rsidRPr="005B4F03">
        <w:rPr>
          <w:rFonts w:hAnsi="宋体" w:hint="eastAsia"/>
          <w:sz w:val="28"/>
          <w:szCs w:val="24"/>
        </w:rPr>
        <w:t>质量计划由项目质量负责人组织编制，经技术负责人审核后，报质量保证工程师批准实施。</w:t>
      </w:r>
    </w:p>
    <w:p w14:paraId="0A6E6CD4" w14:textId="77777777" w:rsidR="00B962FA" w:rsidRPr="005B4F03" w:rsidRDefault="00B962FA" w:rsidP="005B4F03">
      <w:pPr>
        <w:pStyle w:val="afff1"/>
        <w:wordWrap/>
        <w:spacing w:line="360" w:lineRule="auto"/>
        <w:rPr>
          <w:rFonts w:hAnsi="宋体"/>
          <w:sz w:val="28"/>
          <w:szCs w:val="24"/>
        </w:rPr>
      </w:pPr>
      <w:r w:rsidRPr="005B4F03">
        <w:rPr>
          <w:rFonts w:hAnsi="宋体" w:hint="eastAsia"/>
          <w:sz w:val="28"/>
          <w:szCs w:val="24"/>
        </w:rPr>
        <w:t>质量计划在实施过程中如需变更，应按文件控制程序履行变更审批手续；重大变更需经原批准人重新批准后方可实施。</w:t>
      </w:r>
    </w:p>
    <w:p w14:paraId="4951C37A" w14:textId="77777777" w:rsidR="00B962FA" w:rsidRPr="005B4F03" w:rsidRDefault="00B962FA" w:rsidP="005B4F03">
      <w:pPr>
        <w:pStyle w:val="aa"/>
        <w:spacing w:beforeLines="0" w:before="0" w:afterLines="0" w:after="0" w:line="360" w:lineRule="auto"/>
        <w:outlineLvl w:val="9"/>
        <w:rPr>
          <w:rFonts w:ascii="宋体" w:eastAsia="宋体" w:hAnsi="宋体"/>
          <w:sz w:val="28"/>
          <w:szCs w:val="24"/>
        </w:rPr>
      </w:pPr>
      <w:proofErr w:type="gramStart"/>
      <w:r w:rsidRPr="005B4F03">
        <w:rPr>
          <w:rFonts w:ascii="宋体" w:eastAsia="宋体" w:hAnsi="宋体" w:hint="eastAsia"/>
          <w:sz w:val="28"/>
          <w:szCs w:val="24"/>
        </w:rPr>
        <w:t>安装自</w:t>
      </w:r>
      <w:proofErr w:type="gramEnd"/>
      <w:r w:rsidRPr="005B4F03">
        <w:rPr>
          <w:rFonts w:ascii="宋体" w:eastAsia="宋体" w:hAnsi="宋体" w:hint="eastAsia"/>
          <w:sz w:val="28"/>
          <w:szCs w:val="24"/>
        </w:rPr>
        <w:t>检项目清单（示例）</w:t>
      </w:r>
    </w:p>
    <w:p w14:paraId="60C4FD94" w14:textId="77777777" w:rsidR="00B962FA" w:rsidRPr="005B4F03" w:rsidRDefault="00B962FA" w:rsidP="005B4F03">
      <w:pPr>
        <w:pStyle w:val="affd"/>
        <w:spacing w:line="360" w:lineRule="auto"/>
        <w:ind w:firstLine="560"/>
        <w:rPr>
          <w:rFonts w:hAnsi="宋体"/>
          <w:sz w:val="28"/>
          <w:szCs w:val="24"/>
        </w:rPr>
      </w:pPr>
      <w:r w:rsidRPr="005B4F03">
        <w:rPr>
          <w:rFonts w:hAnsi="宋体" w:hint="eastAsia"/>
          <w:sz w:val="28"/>
          <w:szCs w:val="24"/>
        </w:rPr>
        <w:t>起重机械</w:t>
      </w:r>
      <w:proofErr w:type="gramStart"/>
      <w:r w:rsidRPr="005B4F03">
        <w:rPr>
          <w:rFonts w:hAnsi="宋体" w:hint="eastAsia"/>
          <w:sz w:val="28"/>
          <w:szCs w:val="24"/>
        </w:rPr>
        <w:t>安装自</w:t>
      </w:r>
      <w:proofErr w:type="gramEnd"/>
      <w:r w:rsidRPr="005B4F03">
        <w:rPr>
          <w:rFonts w:hAnsi="宋体" w:hint="eastAsia"/>
          <w:sz w:val="28"/>
          <w:szCs w:val="24"/>
        </w:rPr>
        <w:t>检的主要项目见表A.1。</w:t>
      </w:r>
    </w:p>
    <w:p w14:paraId="004103F1" w14:textId="77777777" w:rsidR="00B962FA" w:rsidRPr="005B4F03" w:rsidRDefault="00B962FA" w:rsidP="005B4F03">
      <w:pPr>
        <w:pStyle w:val="a8"/>
        <w:spacing w:beforeLines="0" w:before="0" w:afterLines="0" w:after="0" w:line="360" w:lineRule="auto"/>
        <w:rPr>
          <w:rFonts w:ascii="宋体" w:eastAsia="宋体" w:hAnsi="宋体"/>
          <w:sz w:val="28"/>
          <w:szCs w:val="24"/>
        </w:rPr>
      </w:pPr>
      <w:r w:rsidRPr="005B4F03">
        <w:rPr>
          <w:rFonts w:ascii="宋体" w:eastAsia="宋体" w:hAnsi="宋体" w:hint="eastAsia"/>
          <w:sz w:val="28"/>
          <w:szCs w:val="24"/>
        </w:rPr>
        <w:lastRenderedPageBreak/>
        <w:t>起重机械</w:t>
      </w:r>
      <w:proofErr w:type="gramStart"/>
      <w:r w:rsidRPr="005B4F03">
        <w:rPr>
          <w:rFonts w:ascii="宋体" w:eastAsia="宋体" w:hAnsi="宋体" w:hint="eastAsia"/>
          <w:sz w:val="28"/>
          <w:szCs w:val="24"/>
        </w:rPr>
        <w:t>安装自检主要</w:t>
      </w:r>
      <w:proofErr w:type="gramEnd"/>
      <w:r w:rsidRPr="005B4F03">
        <w:rPr>
          <w:rFonts w:ascii="宋体" w:eastAsia="宋体" w:hAnsi="宋体" w:hint="eastAsia"/>
          <w:sz w:val="28"/>
          <w:szCs w:val="24"/>
        </w:rPr>
        <w:t>项目</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00"/>
        <w:gridCol w:w="2500"/>
        <w:gridCol w:w="2500"/>
        <w:gridCol w:w="1526"/>
      </w:tblGrid>
      <w:tr w:rsidR="00B962FA" w:rsidRPr="005B4F03" w14:paraId="5A656172" w14:textId="77777777" w:rsidTr="002C51BD">
        <w:trPr>
          <w:jc w:val="center"/>
        </w:trPr>
        <w:tc>
          <w:tcPr>
            <w:tcW w:w="2500" w:type="dxa"/>
            <w:tcBorders>
              <w:top w:val="single" w:sz="8" w:space="0" w:color="auto"/>
              <w:left w:val="single" w:sz="8" w:space="0" w:color="auto"/>
              <w:bottom w:val="single" w:sz="8" w:space="0" w:color="auto"/>
            </w:tcBorders>
            <w:vAlign w:val="center"/>
          </w:tcPr>
          <w:p w14:paraId="5940DA9D"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自检项目</w:t>
            </w:r>
          </w:p>
        </w:tc>
        <w:tc>
          <w:tcPr>
            <w:tcW w:w="2500" w:type="dxa"/>
            <w:tcBorders>
              <w:top w:val="single" w:sz="8" w:space="0" w:color="auto"/>
              <w:bottom w:val="single" w:sz="8" w:space="0" w:color="auto"/>
            </w:tcBorders>
            <w:vAlign w:val="center"/>
          </w:tcPr>
          <w:p w14:paraId="280F9D5E"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检查内容</w:t>
            </w:r>
          </w:p>
        </w:tc>
        <w:tc>
          <w:tcPr>
            <w:tcW w:w="2500" w:type="dxa"/>
            <w:tcBorders>
              <w:top w:val="single" w:sz="8" w:space="0" w:color="auto"/>
              <w:bottom w:val="single" w:sz="8" w:space="0" w:color="auto"/>
            </w:tcBorders>
            <w:vAlign w:val="center"/>
          </w:tcPr>
          <w:p w14:paraId="7A14E953"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合格判定依据</w:t>
            </w:r>
          </w:p>
        </w:tc>
        <w:tc>
          <w:tcPr>
            <w:tcW w:w="1526" w:type="dxa"/>
            <w:tcBorders>
              <w:top w:val="single" w:sz="8" w:space="0" w:color="auto"/>
              <w:bottom w:val="single" w:sz="8" w:space="0" w:color="auto"/>
              <w:right w:val="single" w:sz="8" w:space="0" w:color="auto"/>
            </w:tcBorders>
            <w:vAlign w:val="center"/>
          </w:tcPr>
          <w:p w14:paraId="0F480E9D"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记录要求</w:t>
            </w:r>
          </w:p>
        </w:tc>
      </w:tr>
      <w:tr w:rsidR="00B962FA" w:rsidRPr="005B4F03" w14:paraId="48DF2D07" w14:textId="77777777" w:rsidTr="002C51BD">
        <w:trPr>
          <w:jc w:val="center"/>
        </w:trPr>
        <w:tc>
          <w:tcPr>
            <w:tcW w:w="2500" w:type="dxa"/>
            <w:tcBorders>
              <w:top w:val="single" w:sz="8" w:space="0" w:color="auto"/>
            </w:tcBorders>
            <w:vAlign w:val="center"/>
          </w:tcPr>
          <w:p w14:paraId="7E582608"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轨道安装</w:t>
            </w:r>
          </w:p>
        </w:tc>
        <w:tc>
          <w:tcPr>
            <w:tcW w:w="2500" w:type="dxa"/>
            <w:tcBorders>
              <w:top w:val="single" w:sz="8" w:space="0" w:color="auto"/>
            </w:tcBorders>
            <w:vAlign w:val="center"/>
          </w:tcPr>
          <w:p w14:paraId="16B7F606"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轨道跨度、水平度、接头间隙</w:t>
            </w:r>
          </w:p>
        </w:tc>
        <w:tc>
          <w:tcPr>
            <w:tcW w:w="2500" w:type="dxa"/>
            <w:tcBorders>
              <w:top w:val="single" w:sz="8" w:space="0" w:color="auto"/>
            </w:tcBorders>
            <w:vAlign w:val="center"/>
          </w:tcPr>
          <w:p w14:paraId="2A65F40F"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符合设计文件规定值</w:t>
            </w:r>
          </w:p>
        </w:tc>
        <w:tc>
          <w:tcPr>
            <w:tcW w:w="1526" w:type="dxa"/>
            <w:tcBorders>
              <w:top w:val="single" w:sz="8" w:space="0" w:color="auto"/>
            </w:tcBorders>
            <w:vAlign w:val="center"/>
          </w:tcPr>
          <w:p w14:paraId="2450BFEA" w14:textId="77777777" w:rsidR="00B962FA" w:rsidRPr="005B4F03" w:rsidRDefault="00B962FA" w:rsidP="005B4F03">
            <w:pPr>
              <w:pStyle w:val="afff"/>
              <w:spacing w:line="360" w:lineRule="auto"/>
              <w:rPr>
                <w:rFonts w:hAnsi="宋体"/>
                <w:sz w:val="22"/>
                <w:szCs w:val="24"/>
              </w:rPr>
            </w:pPr>
            <w:proofErr w:type="gramStart"/>
            <w:r w:rsidRPr="005B4F03">
              <w:rPr>
                <w:rFonts w:hAnsi="宋体" w:hint="eastAsia"/>
                <w:sz w:val="22"/>
                <w:szCs w:val="24"/>
              </w:rPr>
              <w:t>须记录</w:t>
            </w:r>
            <w:proofErr w:type="gramEnd"/>
            <w:r w:rsidRPr="005B4F03">
              <w:rPr>
                <w:rFonts w:hAnsi="宋体" w:hint="eastAsia"/>
                <w:sz w:val="22"/>
                <w:szCs w:val="24"/>
              </w:rPr>
              <w:t>实测值</w:t>
            </w:r>
          </w:p>
        </w:tc>
      </w:tr>
      <w:tr w:rsidR="00B962FA" w:rsidRPr="005B4F03" w14:paraId="74C9E9E0" w14:textId="77777777" w:rsidTr="002C51BD">
        <w:trPr>
          <w:jc w:val="center"/>
        </w:trPr>
        <w:tc>
          <w:tcPr>
            <w:tcW w:w="2500" w:type="dxa"/>
            <w:vAlign w:val="center"/>
          </w:tcPr>
          <w:p w14:paraId="34CF4826"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车轮组安装</w:t>
            </w:r>
          </w:p>
        </w:tc>
        <w:tc>
          <w:tcPr>
            <w:tcW w:w="2500" w:type="dxa"/>
            <w:vAlign w:val="center"/>
          </w:tcPr>
          <w:p w14:paraId="0F0FB525"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车轮水平偏斜、垂直偏斜、同位差</w:t>
            </w:r>
          </w:p>
        </w:tc>
        <w:tc>
          <w:tcPr>
            <w:tcW w:w="2500" w:type="dxa"/>
            <w:vAlign w:val="center"/>
          </w:tcPr>
          <w:p w14:paraId="68A51006"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符合TSG 51规定</w:t>
            </w:r>
          </w:p>
        </w:tc>
        <w:tc>
          <w:tcPr>
            <w:tcW w:w="1526" w:type="dxa"/>
            <w:vAlign w:val="center"/>
          </w:tcPr>
          <w:p w14:paraId="1F64B03D" w14:textId="77777777" w:rsidR="00B962FA" w:rsidRPr="005B4F03" w:rsidRDefault="00B962FA" w:rsidP="005B4F03">
            <w:pPr>
              <w:pStyle w:val="afff"/>
              <w:spacing w:line="360" w:lineRule="auto"/>
              <w:rPr>
                <w:rFonts w:hAnsi="宋体"/>
                <w:sz w:val="22"/>
                <w:szCs w:val="24"/>
              </w:rPr>
            </w:pPr>
            <w:proofErr w:type="gramStart"/>
            <w:r w:rsidRPr="005B4F03">
              <w:rPr>
                <w:rFonts w:hAnsi="宋体" w:hint="eastAsia"/>
                <w:sz w:val="22"/>
                <w:szCs w:val="24"/>
              </w:rPr>
              <w:t>须记录</w:t>
            </w:r>
            <w:proofErr w:type="gramEnd"/>
            <w:r w:rsidRPr="005B4F03">
              <w:rPr>
                <w:rFonts w:hAnsi="宋体" w:hint="eastAsia"/>
                <w:sz w:val="22"/>
                <w:szCs w:val="24"/>
              </w:rPr>
              <w:t>实测值</w:t>
            </w:r>
          </w:p>
        </w:tc>
      </w:tr>
      <w:tr w:rsidR="00B962FA" w:rsidRPr="005B4F03" w14:paraId="0223E771" w14:textId="77777777" w:rsidTr="002C51BD">
        <w:trPr>
          <w:jc w:val="center"/>
        </w:trPr>
        <w:tc>
          <w:tcPr>
            <w:tcW w:w="2500" w:type="dxa"/>
            <w:vAlign w:val="center"/>
          </w:tcPr>
          <w:p w14:paraId="011E2ECA"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钢结构</w:t>
            </w:r>
          </w:p>
        </w:tc>
        <w:tc>
          <w:tcPr>
            <w:tcW w:w="2500" w:type="dxa"/>
            <w:vAlign w:val="center"/>
          </w:tcPr>
          <w:p w14:paraId="7DF5AAF5"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主梁上拱度、旁弯、扭曲</w:t>
            </w:r>
          </w:p>
        </w:tc>
        <w:tc>
          <w:tcPr>
            <w:tcW w:w="2500" w:type="dxa"/>
            <w:vAlign w:val="center"/>
          </w:tcPr>
          <w:p w14:paraId="54AC8652"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符合产品技术文件规定</w:t>
            </w:r>
          </w:p>
        </w:tc>
        <w:tc>
          <w:tcPr>
            <w:tcW w:w="1526" w:type="dxa"/>
            <w:vAlign w:val="center"/>
          </w:tcPr>
          <w:p w14:paraId="79A9CCD4" w14:textId="77777777" w:rsidR="00B962FA" w:rsidRPr="005B4F03" w:rsidRDefault="00B962FA" w:rsidP="005B4F03">
            <w:pPr>
              <w:pStyle w:val="afff"/>
              <w:spacing w:line="360" w:lineRule="auto"/>
              <w:rPr>
                <w:rFonts w:hAnsi="宋体"/>
                <w:sz w:val="22"/>
                <w:szCs w:val="24"/>
              </w:rPr>
            </w:pPr>
            <w:proofErr w:type="gramStart"/>
            <w:r w:rsidRPr="005B4F03">
              <w:rPr>
                <w:rFonts w:hAnsi="宋体" w:hint="eastAsia"/>
                <w:sz w:val="22"/>
                <w:szCs w:val="24"/>
              </w:rPr>
              <w:t>须记录</w:t>
            </w:r>
            <w:proofErr w:type="gramEnd"/>
            <w:r w:rsidRPr="005B4F03">
              <w:rPr>
                <w:rFonts w:hAnsi="宋体" w:hint="eastAsia"/>
                <w:sz w:val="22"/>
                <w:szCs w:val="24"/>
              </w:rPr>
              <w:t>实测值</w:t>
            </w:r>
          </w:p>
        </w:tc>
      </w:tr>
      <w:tr w:rsidR="00B962FA" w:rsidRPr="005B4F03" w14:paraId="42E2F241" w14:textId="77777777" w:rsidTr="002C51BD">
        <w:trPr>
          <w:jc w:val="center"/>
        </w:trPr>
        <w:tc>
          <w:tcPr>
            <w:tcW w:w="2500" w:type="dxa"/>
            <w:vAlign w:val="center"/>
          </w:tcPr>
          <w:p w14:paraId="3672886F"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安全装置</w:t>
            </w:r>
          </w:p>
        </w:tc>
        <w:tc>
          <w:tcPr>
            <w:tcW w:w="2500" w:type="dxa"/>
            <w:vAlign w:val="center"/>
          </w:tcPr>
          <w:p w14:paraId="62E8CE82"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限位器、缓冲器、防坠装置动作</w:t>
            </w:r>
          </w:p>
        </w:tc>
        <w:tc>
          <w:tcPr>
            <w:tcW w:w="2500" w:type="dxa"/>
            <w:vAlign w:val="center"/>
          </w:tcPr>
          <w:p w14:paraId="18474D50"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动作灵敏、可靠</w:t>
            </w:r>
          </w:p>
        </w:tc>
        <w:tc>
          <w:tcPr>
            <w:tcW w:w="1526" w:type="dxa"/>
            <w:vAlign w:val="center"/>
          </w:tcPr>
          <w:p w14:paraId="026DA1C0" w14:textId="77777777" w:rsidR="00B962FA" w:rsidRPr="005B4F03" w:rsidRDefault="00B962FA" w:rsidP="005B4F03">
            <w:pPr>
              <w:pStyle w:val="afff"/>
              <w:spacing w:line="360" w:lineRule="auto"/>
              <w:rPr>
                <w:rFonts w:hAnsi="宋体"/>
                <w:sz w:val="22"/>
                <w:szCs w:val="24"/>
              </w:rPr>
            </w:pPr>
            <w:proofErr w:type="gramStart"/>
            <w:r w:rsidRPr="005B4F03">
              <w:rPr>
                <w:rFonts w:hAnsi="宋体" w:hint="eastAsia"/>
                <w:sz w:val="22"/>
                <w:szCs w:val="24"/>
              </w:rPr>
              <w:t>须记录</w:t>
            </w:r>
            <w:proofErr w:type="gramEnd"/>
            <w:r w:rsidRPr="005B4F03">
              <w:rPr>
                <w:rFonts w:hAnsi="宋体" w:hint="eastAsia"/>
                <w:sz w:val="22"/>
                <w:szCs w:val="24"/>
              </w:rPr>
              <w:t>动作情况</w:t>
            </w:r>
          </w:p>
        </w:tc>
      </w:tr>
      <w:tr w:rsidR="00B962FA" w:rsidRPr="005B4F03" w14:paraId="031694BA" w14:textId="77777777" w:rsidTr="002C51BD">
        <w:trPr>
          <w:jc w:val="center"/>
        </w:trPr>
        <w:tc>
          <w:tcPr>
            <w:tcW w:w="2500" w:type="dxa"/>
            <w:vAlign w:val="center"/>
          </w:tcPr>
          <w:p w14:paraId="1774879A"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载荷试验</w:t>
            </w:r>
          </w:p>
        </w:tc>
        <w:tc>
          <w:tcPr>
            <w:tcW w:w="2500" w:type="dxa"/>
            <w:vAlign w:val="center"/>
          </w:tcPr>
          <w:p w14:paraId="6C82DD35"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静载试验、动载试验</w:t>
            </w:r>
          </w:p>
        </w:tc>
        <w:tc>
          <w:tcPr>
            <w:tcW w:w="2500" w:type="dxa"/>
            <w:vAlign w:val="center"/>
          </w:tcPr>
          <w:p w14:paraId="736D3848"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符合TSG 51规定</w:t>
            </w:r>
          </w:p>
        </w:tc>
        <w:tc>
          <w:tcPr>
            <w:tcW w:w="1526" w:type="dxa"/>
            <w:vAlign w:val="center"/>
          </w:tcPr>
          <w:p w14:paraId="40151014" w14:textId="77777777" w:rsidR="00B962FA" w:rsidRPr="005B4F03" w:rsidRDefault="00B962FA" w:rsidP="005B4F03">
            <w:pPr>
              <w:pStyle w:val="afff"/>
              <w:spacing w:line="360" w:lineRule="auto"/>
              <w:rPr>
                <w:rFonts w:hAnsi="宋体"/>
                <w:sz w:val="22"/>
                <w:szCs w:val="24"/>
              </w:rPr>
            </w:pPr>
            <w:proofErr w:type="gramStart"/>
            <w:r w:rsidRPr="005B4F03">
              <w:rPr>
                <w:rFonts w:hAnsi="宋体" w:hint="eastAsia"/>
                <w:sz w:val="22"/>
                <w:szCs w:val="24"/>
              </w:rPr>
              <w:t>须记录</w:t>
            </w:r>
            <w:proofErr w:type="gramEnd"/>
            <w:r w:rsidRPr="005B4F03">
              <w:rPr>
                <w:rFonts w:hAnsi="宋体" w:hint="eastAsia"/>
                <w:sz w:val="22"/>
                <w:szCs w:val="24"/>
              </w:rPr>
              <w:t>试验数据</w:t>
            </w:r>
          </w:p>
        </w:tc>
      </w:tr>
    </w:tbl>
    <w:p w14:paraId="145465A9" w14:textId="77777777" w:rsidR="00B962FA" w:rsidRPr="005B4F03" w:rsidRDefault="00B962FA" w:rsidP="005B4F03">
      <w:pPr>
        <w:pStyle w:val="affd"/>
        <w:spacing w:line="360" w:lineRule="auto"/>
        <w:ind w:firstLine="560"/>
        <w:rPr>
          <w:rFonts w:hAnsi="宋体"/>
          <w:sz w:val="28"/>
          <w:szCs w:val="24"/>
        </w:rPr>
      </w:pPr>
    </w:p>
    <w:p w14:paraId="04CCBFD2" w14:textId="77777777" w:rsidR="00B962FA" w:rsidRPr="005B4F03" w:rsidRDefault="00B962FA" w:rsidP="005B4F03">
      <w:pPr>
        <w:pStyle w:val="affd"/>
        <w:spacing w:line="360" w:lineRule="auto"/>
        <w:ind w:firstLine="560"/>
        <w:rPr>
          <w:rFonts w:hAnsi="宋体"/>
          <w:sz w:val="28"/>
          <w:szCs w:val="24"/>
        </w:rPr>
        <w:sectPr w:rsidR="00B962FA" w:rsidRPr="005B4F03" w:rsidSect="00B962FA">
          <w:pgSz w:w="11906" w:h="16838"/>
          <w:pgMar w:top="1928" w:right="1134" w:bottom="1134" w:left="1134" w:header="1418" w:footer="1134" w:gutter="284"/>
          <w:cols w:space="425"/>
          <w:formProt w:val="0"/>
          <w:docGrid w:linePitch="312"/>
        </w:sectPr>
      </w:pPr>
    </w:p>
    <w:p w14:paraId="7AAA3CE1" w14:textId="77777777" w:rsidR="00B962FA" w:rsidRPr="005B4F03" w:rsidRDefault="00B962FA" w:rsidP="005B4F03">
      <w:pPr>
        <w:pStyle w:val="a9"/>
        <w:spacing w:before="0" w:afterLines="0" w:after="0" w:line="360" w:lineRule="auto"/>
        <w:outlineLvl w:val="9"/>
        <w:rPr>
          <w:rFonts w:ascii="宋体" w:eastAsia="宋体" w:hAnsi="宋体"/>
          <w:sz w:val="28"/>
          <w:szCs w:val="24"/>
        </w:rPr>
      </w:pPr>
      <w:r w:rsidRPr="005B4F03">
        <w:rPr>
          <w:rFonts w:ascii="宋体" w:eastAsia="宋体" w:hAnsi="宋体"/>
          <w:sz w:val="28"/>
          <w:szCs w:val="24"/>
        </w:rPr>
        <w:lastRenderedPageBreak/>
        <w:br/>
      </w:r>
      <w:bookmarkStart w:id="22" w:name="_Toc226560882"/>
      <w:r w:rsidRPr="005B4F03">
        <w:rPr>
          <w:rFonts w:ascii="宋体" w:eastAsia="宋体" w:hAnsi="宋体" w:hint="eastAsia"/>
          <w:sz w:val="28"/>
          <w:szCs w:val="24"/>
        </w:rPr>
        <w:t>（资料性）</w:t>
      </w:r>
      <w:r w:rsidRPr="005B4F03">
        <w:rPr>
          <w:rFonts w:ascii="宋体" w:eastAsia="宋体" w:hAnsi="宋体"/>
          <w:sz w:val="28"/>
          <w:szCs w:val="24"/>
        </w:rPr>
        <w:br/>
      </w:r>
      <w:r w:rsidRPr="005B4F03">
        <w:rPr>
          <w:rFonts w:ascii="宋体" w:eastAsia="宋体" w:hAnsi="宋体" w:hint="eastAsia"/>
          <w:sz w:val="28"/>
          <w:szCs w:val="24"/>
        </w:rPr>
        <w:t>质量检查记录表格模板</w:t>
      </w:r>
      <w:bookmarkEnd w:id="22"/>
    </w:p>
    <w:p w14:paraId="6FEE8031" w14:textId="77777777" w:rsidR="00B962FA" w:rsidRPr="005B4F03" w:rsidRDefault="00B962FA" w:rsidP="005B4F03">
      <w:pPr>
        <w:pStyle w:val="afff0"/>
        <w:spacing w:line="360" w:lineRule="auto"/>
        <w:rPr>
          <w:rFonts w:hAnsi="宋体"/>
          <w:sz w:val="28"/>
          <w:szCs w:val="24"/>
        </w:rPr>
      </w:pPr>
      <w:r w:rsidRPr="005B4F03">
        <w:rPr>
          <w:rFonts w:hAnsi="宋体" w:hint="eastAsia"/>
          <w:sz w:val="28"/>
          <w:szCs w:val="24"/>
        </w:rPr>
        <w:t>生产单位可参照本附录提供的表格模板建立质量检查记录，表格格式可根据实际需要调整，但记录内容不得少于模板要求。</w:t>
      </w:r>
    </w:p>
    <w:p w14:paraId="2BB8CCC4" w14:textId="77777777" w:rsidR="00B962FA" w:rsidRPr="005B4F03" w:rsidRDefault="00B962FA" w:rsidP="005B4F03">
      <w:pPr>
        <w:pStyle w:val="a8"/>
        <w:spacing w:beforeLines="0" w:before="0" w:afterLines="0" w:after="0" w:line="360" w:lineRule="auto"/>
        <w:rPr>
          <w:rFonts w:ascii="宋体" w:eastAsia="宋体" w:hAnsi="宋体"/>
          <w:sz w:val="28"/>
          <w:szCs w:val="24"/>
        </w:rPr>
      </w:pPr>
      <w:r w:rsidRPr="005B4F03">
        <w:rPr>
          <w:rFonts w:ascii="宋体" w:eastAsia="宋体" w:hAnsi="宋体" w:hint="eastAsia"/>
          <w:sz w:val="28"/>
          <w:szCs w:val="24"/>
        </w:rPr>
        <w:t>关键工序检验记录（模板）</w:t>
      </w:r>
    </w:p>
    <w:tbl>
      <w:tblPr>
        <w:tblStyle w:val="aff8"/>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20"/>
        <w:gridCol w:w="2026"/>
        <w:gridCol w:w="2026"/>
        <w:gridCol w:w="1115"/>
        <w:gridCol w:w="1115"/>
        <w:gridCol w:w="909"/>
      </w:tblGrid>
      <w:tr w:rsidR="00B962FA" w:rsidRPr="005B4F03" w14:paraId="242A820D" w14:textId="77777777" w:rsidTr="002C51BD">
        <w:trPr>
          <w:jc w:val="center"/>
        </w:trPr>
        <w:tc>
          <w:tcPr>
            <w:tcW w:w="872" w:type="pct"/>
            <w:tcBorders>
              <w:top w:val="single" w:sz="8" w:space="0" w:color="auto"/>
              <w:bottom w:val="single" w:sz="8" w:space="0" w:color="auto"/>
            </w:tcBorders>
            <w:vAlign w:val="center"/>
          </w:tcPr>
          <w:p w14:paraId="6B944382"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工序名称</w:t>
            </w:r>
          </w:p>
        </w:tc>
        <w:tc>
          <w:tcPr>
            <w:tcW w:w="1163" w:type="pct"/>
            <w:tcBorders>
              <w:top w:val="single" w:sz="8" w:space="0" w:color="auto"/>
              <w:bottom w:val="single" w:sz="8" w:space="0" w:color="auto"/>
            </w:tcBorders>
            <w:vAlign w:val="center"/>
          </w:tcPr>
          <w:p w14:paraId="31EEB6EE"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检验项目</w:t>
            </w:r>
          </w:p>
        </w:tc>
        <w:tc>
          <w:tcPr>
            <w:tcW w:w="1163" w:type="pct"/>
            <w:tcBorders>
              <w:top w:val="single" w:sz="8" w:space="0" w:color="auto"/>
              <w:bottom w:val="single" w:sz="8" w:space="0" w:color="auto"/>
            </w:tcBorders>
            <w:vAlign w:val="center"/>
          </w:tcPr>
          <w:p w14:paraId="2DECA719"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技术要求</w:t>
            </w:r>
          </w:p>
        </w:tc>
        <w:tc>
          <w:tcPr>
            <w:tcW w:w="640" w:type="pct"/>
            <w:tcBorders>
              <w:top w:val="single" w:sz="8" w:space="0" w:color="auto"/>
              <w:bottom w:val="single" w:sz="8" w:space="0" w:color="auto"/>
            </w:tcBorders>
            <w:vAlign w:val="center"/>
          </w:tcPr>
          <w:p w14:paraId="6AD32D5E"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实测结果</w:t>
            </w:r>
          </w:p>
        </w:tc>
        <w:tc>
          <w:tcPr>
            <w:tcW w:w="640" w:type="pct"/>
            <w:tcBorders>
              <w:top w:val="single" w:sz="8" w:space="0" w:color="auto"/>
              <w:bottom w:val="single" w:sz="8" w:space="0" w:color="auto"/>
            </w:tcBorders>
            <w:vAlign w:val="center"/>
          </w:tcPr>
          <w:p w14:paraId="42804D55"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判定结论</w:t>
            </w:r>
          </w:p>
        </w:tc>
        <w:tc>
          <w:tcPr>
            <w:tcW w:w="523" w:type="pct"/>
            <w:tcBorders>
              <w:top w:val="single" w:sz="8" w:space="0" w:color="auto"/>
              <w:bottom w:val="single" w:sz="8" w:space="0" w:color="auto"/>
            </w:tcBorders>
            <w:vAlign w:val="center"/>
          </w:tcPr>
          <w:p w14:paraId="4F239C28"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检验人</w:t>
            </w:r>
          </w:p>
        </w:tc>
      </w:tr>
      <w:tr w:rsidR="00B962FA" w:rsidRPr="005B4F03" w14:paraId="3FE06995" w14:textId="77777777" w:rsidTr="002C51BD">
        <w:trPr>
          <w:trHeight w:val="567"/>
          <w:jc w:val="center"/>
        </w:trPr>
        <w:tc>
          <w:tcPr>
            <w:tcW w:w="872" w:type="pct"/>
            <w:tcBorders>
              <w:top w:val="single" w:sz="8" w:space="0" w:color="auto"/>
            </w:tcBorders>
            <w:vAlign w:val="center"/>
          </w:tcPr>
          <w:p w14:paraId="0DCBE632" w14:textId="77777777" w:rsidR="00B962FA" w:rsidRPr="005B4F03" w:rsidRDefault="00B962FA" w:rsidP="005B4F03">
            <w:pPr>
              <w:pStyle w:val="afff"/>
              <w:spacing w:line="360" w:lineRule="auto"/>
              <w:rPr>
                <w:rFonts w:hAnsi="宋体"/>
                <w:sz w:val="22"/>
                <w:szCs w:val="24"/>
              </w:rPr>
            </w:pPr>
          </w:p>
        </w:tc>
        <w:tc>
          <w:tcPr>
            <w:tcW w:w="1163" w:type="pct"/>
            <w:tcBorders>
              <w:top w:val="single" w:sz="8" w:space="0" w:color="auto"/>
            </w:tcBorders>
            <w:vAlign w:val="center"/>
          </w:tcPr>
          <w:p w14:paraId="624ACBDA" w14:textId="77777777" w:rsidR="00B962FA" w:rsidRPr="005B4F03" w:rsidRDefault="00B962FA" w:rsidP="005B4F03">
            <w:pPr>
              <w:pStyle w:val="afff"/>
              <w:spacing w:line="360" w:lineRule="auto"/>
              <w:rPr>
                <w:rFonts w:hAnsi="宋体"/>
                <w:sz w:val="22"/>
                <w:szCs w:val="24"/>
              </w:rPr>
            </w:pPr>
          </w:p>
        </w:tc>
        <w:tc>
          <w:tcPr>
            <w:tcW w:w="1163" w:type="pct"/>
            <w:tcBorders>
              <w:top w:val="single" w:sz="8" w:space="0" w:color="auto"/>
            </w:tcBorders>
            <w:vAlign w:val="center"/>
          </w:tcPr>
          <w:p w14:paraId="6A7B532B" w14:textId="77777777" w:rsidR="00B962FA" w:rsidRPr="005B4F03" w:rsidRDefault="00B962FA" w:rsidP="005B4F03">
            <w:pPr>
              <w:pStyle w:val="afff"/>
              <w:spacing w:line="360" w:lineRule="auto"/>
              <w:rPr>
                <w:rFonts w:hAnsi="宋体"/>
                <w:sz w:val="22"/>
                <w:szCs w:val="24"/>
              </w:rPr>
            </w:pPr>
          </w:p>
        </w:tc>
        <w:tc>
          <w:tcPr>
            <w:tcW w:w="640" w:type="pct"/>
            <w:tcBorders>
              <w:top w:val="single" w:sz="8" w:space="0" w:color="auto"/>
            </w:tcBorders>
            <w:vAlign w:val="center"/>
          </w:tcPr>
          <w:p w14:paraId="183284D2" w14:textId="77777777" w:rsidR="00B962FA" w:rsidRPr="005B4F03" w:rsidRDefault="00B962FA" w:rsidP="005B4F03">
            <w:pPr>
              <w:pStyle w:val="afff"/>
              <w:spacing w:line="360" w:lineRule="auto"/>
              <w:rPr>
                <w:rFonts w:hAnsi="宋体"/>
                <w:sz w:val="22"/>
                <w:szCs w:val="24"/>
              </w:rPr>
            </w:pPr>
          </w:p>
        </w:tc>
        <w:tc>
          <w:tcPr>
            <w:tcW w:w="640" w:type="pct"/>
            <w:tcBorders>
              <w:top w:val="single" w:sz="8" w:space="0" w:color="auto"/>
            </w:tcBorders>
            <w:vAlign w:val="center"/>
          </w:tcPr>
          <w:p w14:paraId="651E2ADA" w14:textId="77777777" w:rsidR="00B962FA" w:rsidRPr="005B4F03" w:rsidRDefault="00B962FA" w:rsidP="005B4F03">
            <w:pPr>
              <w:pStyle w:val="afff"/>
              <w:spacing w:line="360" w:lineRule="auto"/>
              <w:rPr>
                <w:rFonts w:hAnsi="宋体"/>
                <w:sz w:val="22"/>
                <w:szCs w:val="24"/>
              </w:rPr>
            </w:pPr>
          </w:p>
        </w:tc>
        <w:tc>
          <w:tcPr>
            <w:tcW w:w="523" w:type="pct"/>
            <w:tcBorders>
              <w:top w:val="single" w:sz="8" w:space="0" w:color="auto"/>
            </w:tcBorders>
            <w:vAlign w:val="center"/>
          </w:tcPr>
          <w:p w14:paraId="515EE0BC" w14:textId="77777777" w:rsidR="00B962FA" w:rsidRPr="005B4F03" w:rsidRDefault="00B962FA" w:rsidP="005B4F03">
            <w:pPr>
              <w:pStyle w:val="afff"/>
              <w:spacing w:line="360" w:lineRule="auto"/>
              <w:rPr>
                <w:rFonts w:hAnsi="宋体"/>
                <w:sz w:val="22"/>
                <w:szCs w:val="24"/>
              </w:rPr>
            </w:pPr>
          </w:p>
        </w:tc>
      </w:tr>
      <w:tr w:rsidR="00B962FA" w:rsidRPr="005B4F03" w14:paraId="002E6DBE" w14:textId="77777777" w:rsidTr="002C51BD">
        <w:trPr>
          <w:trHeight w:val="567"/>
          <w:jc w:val="center"/>
        </w:trPr>
        <w:tc>
          <w:tcPr>
            <w:tcW w:w="872" w:type="pct"/>
            <w:vAlign w:val="center"/>
          </w:tcPr>
          <w:p w14:paraId="1F3F5871" w14:textId="77777777" w:rsidR="00B962FA" w:rsidRPr="005B4F03" w:rsidRDefault="00B962FA" w:rsidP="005B4F03">
            <w:pPr>
              <w:pStyle w:val="afff"/>
              <w:spacing w:line="360" w:lineRule="auto"/>
              <w:rPr>
                <w:rFonts w:hAnsi="宋体"/>
                <w:sz w:val="22"/>
                <w:szCs w:val="24"/>
              </w:rPr>
            </w:pPr>
          </w:p>
        </w:tc>
        <w:tc>
          <w:tcPr>
            <w:tcW w:w="1163" w:type="pct"/>
            <w:vAlign w:val="center"/>
          </w:tcPr>
          <w:p w14:paraId="5C309C53" w14:textId="77777777" w:rsidR="00B962FA" w:rsidRPr="005B4F03" w:rsidRDefault="00B962FA" w:rsidP="005B4F03">
            <w:pPr>
              <w:pStyle w:val="afff"/>
              <w:spacing w:line="360" w:lineRule="auto"/>
              <w:rPr>
                <w:rFonts w:hAnsi="宋体"/>
                <w:sz w:val="22"/>
                <w:szCs w:val="24"/>
              </w:rPr>
            </w:pPr>
          </w:p>
        </w:tc>
        <w:tc>
          <w:tcPr>
            <w:tcW w:w="1163" w:type="pct"/>
            <w:vAlign w:val="center"/>
          </w:tcPr>
          <w:p w14:paraId="4FE9FB9C" w14:textId="77777777" w:rsidR="00B962FA" w:rsidRPr="005B4F03" w:rsidRDefault="00B962FA" w:rsidP="005B4F03">
            <w:pPr>
              <w:pStyle w:val="afff"/>
              <w:spacing w:line="360" w:lineRule="auto"/>
              <w:rPr>
                <w:rFonts w:hAnsi="宋体"/>
                <w:sz w:val="22"/>
                <w:szCs w:val="24"/>
              </w:rPr>
            </w:pPr>
          </w:p>
        </w:tc>
        <w:tc>
          <w:tcPr>
            <w:tcW w:w="640" w:type="pct"/>
            <w:vAlign w:val="center"/>
          </w:tcPr>
          <w:p w14:paraId="5E66793F" w14:textId="77777777" w:rsidR="00B962FA" w:rsidRPr="005B4F03" w:rsidRDefault="00B962FA" w:rsidP="005B4F03">
            <w:pPr>
              <w:pStyle w:val="afff"/>
              <w:spacing w:line="360" w:lineRule="auto"/>
              <w:rPr>
                <w:rFonts w:hAnsi="宋体"/>
                <w:sz w:val="22"/>
                <w:szCs w:val="24"/>
              </w:rPr>
            </w:pPr>
          </w:p>
        </w:tc>
        <w:tc>
          <w:tcPr>
            <w:tcW w:w="640" w:type="pct"/>
            <w:vAlign w:val="center"/>
          </w:tcPr>
          <w:p w14:paraId="1C463D1B" w14:textId="77777777" w:rsidR="00B962FA" w:rsidRPr="005B4F03" w:rsidRDefault="00B962FA" w:rsidP="005B4F03">
            <w:pPr>
              <w:pStyle w:val="afff"/>
              <w:spacing w:line="360" w:lineRule="auto"/>
              <w:rPr>
                <w:rFonts w:hAnsi="宋体"/>
                <w:sz w:val="22"/>
                <w:szCs w:val="24"/>
              </w:rPr>
            </w:pPr>
          </w:p>
        </w:tc>
        <w:tc>
          <w:tcPr>
            <w:tcW w:w="523" w:type="pct"/>
            <w:vAlign w:val="center"/>
          </w:tcPr>
          <w:p w14:paraId="4DA2F8C5" w14:textId="77777777" w:rsidR="00B962FA" w:rsidRPr="005B4F03" w:rsidRDefault="00B962FA" w:rsidP="005B4F03">
            <w:pPr>
              <w:pStyle w:val="afff"/>
              <w:spacing w:line="360" w:lineRule="auto"/>
              <w:rPr>
                <w:rFonts w:hAnsi="宋体"/>
                <w:sz w:val="22"/>
                <w:szCs w:val="24"/>
              </w:rPr>
            </w:pPr>
          </w:p>
        </w:tc>
      </w:tr>
    </w:tbl>
    <w:p w14:paraId="1034D324" w14:textId="77777777" w:rsidR="00B962FA" w:rsidRPr="005B4F03" w:rsidRDefault="00B962FA" w:rsidP="005B4F03">
      <w:pPr>
        <w:pStyle w:val="affd"/>
        <w:spacing w:line="360" w:lineRule="auto"/>
        <w:ind w:firstLine="560"/>
        <w:rPr>
          <w:rFonts w:hAnsi="宋体"/>
          <w:sz w:val="28"/>
          <w:szCs w:val="24"/>
        </w:rPr>
      </w:pPr>
    </w:p>
    <w:p w14:paraId="5594B9A3" w14:textId="77777777" w:rsidR="00B962FA" w:rsidRPr="005B4F03" w:rsidRDefault="00B962FA" w:rsidP="005B4F03">
      <w:pPr>
        <w:pStyle w:val="a8"/>
        <w:spacing w:beforeLines="0" w:before="0" w:afterLines="0" w:after="0" w:line="360" w:lineRule="auto"/>
        <w:rPr>
          <w:rFonts w:ascii="宋体" w:eastAsia="宋体" w:hAnsi="宋体"/>
          <w:sz w:val="28"/>
          <w:szCs w:val="24"/>
        </w:rPr>
      </w:pPr>
      <w:r w:rsidRPr="005B4F03">
        <w:rPr>
          <w:rFonts w:ascii="宋体" w:eastAsia="宋体" w:hAnsi="宋体" w:hint="eastAsia"/>
          <w:sz w:val="28"/>
          <w:szCs w:val="24"/>
        </w:rPr>
        <w:t>不合格品处置记录（模板）</w:t>
      </w:r>
    </w:p>
    <w:tbl>
      <w:tblPr>
        <w:tblStyle w:val="aff8"/>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21"/>
        <w:gridCol w:w="1840"/>
        <w:gridCol w:w="2247"/>
        <w:gridCol w:w="1533"/>
        <w:gridCol w:w="2070"/>
      </w:tblGrid>
      <w:tr w:rsidR="00B962FA" w:rsidRPr="005B4F03" w14:paraId="509CA410" w14:textId="77777777" w:rsidTr="002C51BD">
        <w:trPr>
          <w:jc w:val="center"/>
        </w:trPr>
        <w:tc>
          <w:tcPr>
            <w:tcW w:w="586" w:type="pct"/>
            <w:tcBorders>
              <w:top w:val="single" w:sz="8" w:space="0" w:color="auto"/>
              <w:bottom w:val="single" w:sz="8" w:space="0" w:color="auto"/>
            </w:tcBorders>
            <w:vAlign w:val="center"/>
          </w:tcPr>
          <w:p w14:paraId="45A274D8"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编号</w:t>
            </w:r>
          </w:p>
        </w:tc>
        <w:tc>
          <w:tcPr>
            <w:tcW w:w="1056" w:type="pct"/>
            <w:tcBorders>
              <w:top w:val="single" w:sz="8" w:space="0" w:color="auto"/>
              <w:bottom w:val="single" w:sz="8" w:space="0" w:color="auto"/>
            </w:tcBorders>
            <w:vAlign w:val="center"/>
          </w:tcPr>
          <w:p w14:paraId="04694B3A"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不合格描述</w:t>
            </w:r>
          </w:p>
        </w:tc>
        <w:tc>
          <w:tcPr>
            <w:tcW w:w="1290" w:type="pct"/>
            <w:tcBorders>
              <w:top w:val="single" w:sz="8" w:space="0" w:color="auto"/>
              <w:bottom w:val="single" w:sz="8" w:space="0" w:color="auto"/>
            </w:tcBorders>
            <w:vAlign w:val="center"/>
          </w:tcPr>
          <w:p w14:paraId="5677B1DB"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原因分析</w:t>
            </w:r>
          </w:p>
        </w:tc>
        <w:tc>
          <w:tcPr>
            <w:tcW w:w="880" w:type="pct"/>
            <w:tcBorders>
              <w:top w:val="single" w:sz="8" w:space="0" w:color="auto"/>
              <w:bottom w:val="single" w:sz="8" w:space="0" w:color="auto"/>
            </w:tcBorders>
            <w:vAlign w:val="center"/>
          </w:tcPr>
          <w:p w14:paraId="48EF0AD4"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处置方式</w:t>
            </w:r>
          </w:p>
        </w:tc>
        <w:tc>
          <w:tcPr>
            <w:tcW w:w="1188" w:type="pct"/>
            <w:tcBorders>
              <w:top w:val="single" w:sz="8" w:space="0" w:color="auto"/>
              <w:bottom w:val="single" w:sz="8" w:space="0" w:color="auto"/>
            </w:tcBorders>
            <w:vAlign w:val="center"/>
          </w:tcPr>
          <w:p w14:paraId="157F52EA" w14:textId="77777777" w:rsidR="00B962FA" w:rsidRPr="005B4F03" w:rsidRDefault="00B962FA" w:rsidP="005B4F03">
            <w:pPr>
              <w:pStyle w:val="afff"/>
              <w:spacing w:line="360" w:lineRule="auto"/>
              <w:rPr>
                <w:rFonts w:hAnsi="宋体"/>
                <w:bCs/>
                <w:sz w:val="22"/>
                <w:szCs w:val="24"/>
              </w:rPr>
            </w:pPr>
            <w:r w:rsidRPr="005B4F03">
              <w:rPr>
                <w:rFonts w:hAnsi="宋体" w:hint="eastAsia"/>
                <w:bCs/>
                <w:sz w:val="22"/>
                <w:szCs w:val="24"/>
              </w:rPr>
              <w:t>复验结论及签字</w:t>
            </w:r>
          </w:p>
        </w:tc>
      </w:tr>
      <w:tr w:rsidR="00B962FA" w:rsidRPr="005B4F03" w14:paraId="5262AB6E" w14:textId="77777777" w:rsidTr="002C51BD">
        <w:trPr>
          <w:trHeight w:val="850"/>
          <w:jc w:val="center"/>
        </w:trPr>
        <w:tc>
          <w:tcPr>
            <w:tcW w:w="586" w:type="pct"/>
            <w:tcBorders>
              <w:top w:val="single" w:sz="8" w:space="0" w:color="auto"/>
            </w:tcBorders>
            <w:vAlign w:val="center"/>
          </w:tcPr>
          <w:p w14:paraId="244ED77A" w14:textId="77777777" w:rsidR="00B962FA" w:rsidRPr="005B4F03" w:rsidRDefault="00B962FA" w:rsidP="005B4F03">
            <w:pPr>
              <w:pStyle w:val="afff"/>
              <w:spacing w:line="360" w:lineRule="auto"/>
              <w:rPr>
                <w:rFonts w:hAnsi="宋体"/>
                <w:sz w:val="22"/>
                <w:szCs w:val="24"/>
              </w:rPr>
            </w:pPr>
          </w:p>
        </w:tc>
        <w:tc>
          <w:tcPr>
            <w:tcW w:w="1056" w:type="pct"/>
            <w:tcBorders>
              <w:top w:val="single" w:sz="8" w:space="0" w:color="auto"/>
            </w:tcBorders>
            <w:vAlign w:val="center"/>
          </w:tcPr>
          <w:p w14:paraId="7FAD18BE" w14:textId="77777777" w:rsidR="00B962FA" w:rsidRPr="005B4F03" w:rsidRDefault="00B962FA" w:rsidP="005B4F03">
            <w:pPr>
              <w:pStyle w:val="afff"/>
              <w:spacing w:line="360" w:lineRule="auto"/>
              <w:rPr>
                <w:rFonts w:hAnsi="宋体"/>
                <w:sz w:val="22"/>
                <w:szCs w:val="24"/>
              </w:rPr>
            </w:pPr>
          </w:p>
        </w:tc>
        <w:tc>
          <w:tcPr>
            <w:tcW w:w="1290" w:type="pct"/>
            <w:tcBorders>
              <w:top w:val="single" w:sz="8" w:space="0" w:color="auto"/>
            </w:tcBorders>
            <w:vAlign w:val="center"/>
          </w:tcPr>
          <w:p w14:paraId="2E9B1E6C" w14:textId="77777777" w:rsidR="00B962FA" w:rsidRPr="005B4F03" w:rsidRDefault="00B962FA" w:rsidP="005B4F03">
            <w:pPr>
              <w:pStyle w:val="afff"/>
              <w:spacing w:line="360" w:lineRule="auto"/>
              <w:rPr>
                <w:rFonts w:hAnsi="宋体"/>
                <w:sz w:val="22"/>
                <w:szCs w:val="24"/>
              </w:rPr>
            </w:pPr>
          </w:p>
        </w:tc>
        <w:tc>
          <w:tcPr>
            <w:tcW w:w="880" w:type="pct"/>
            <w:tcBorders>
              <w:top w:val="single" w:sz="8" w:space="0" w:color="auto"/>
            </w:tcBorders>
            <w:vAlign w:val="center"/>
          </w:tcPr>
          <w:p w14:paraId="0FEAD035"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 xml:space="preserve">□返工 □返修 </w:t>
            </w:r>
          </w:p>
          <w:p w14:paraId="3E4232DB" w14:textId="77777777" w:rsidR="00B962FA" w:rsidRPr="005B4F03" w:rsidRDefault="00B962FA" w:rsidP="005B4F03">
            <w:pPr>
              <w:pStyle w:val="afff"/>
              <w:spacing w:line="360" w:lineRule="auto"/>
              <w:rPr>
                <w:rFonts w:hAnsi="宋体"/>
                <w:sz w:val="22"/>
                <w:szCs w:val="24"/>
              </w:rPr>
            </w:pPr>
            <w:r w:rsidRPr="005B4F03">
              <w:rPr>
                <w:rFonts w:hAnsi="宋体" w:hint="eastAsia"/>
                <w:sz w:val="22"/>
                <w:szCs w:val="24"/>
              </w:rPr>
              <w:t>□降级 □报废</w:t>
            </w:r>
          </w:p>
        </w:tc>
        <w:tc>
          <w:tcPr>
            <w:tcW w:w="1188" w:type="pct"/>
            <w:tcBorders>
              <w:top w:val="single" w:sz="8" w:space="0" w:color="auto"/>
            </w:tcBorders>
            <w:vAlign w:val="center"/>
          </w:tcPr>
          <w:p w14:paraId="0CA5DED8" w14:textId="77777777" w:rsidR="00B962FA" w:rsidRPr="005B4F03" w:rsidRDefault="00B962FA" w:rsidP="005B4F03">
            <w:pPr>
              <w:pStyle w:val="afff"/>
              <w:spacing w:line="360" w:lineRule="auto"/>
              <w:rPr>
                <w:rFonts w:hAnsi="宋体"/>
                <w:sz w:val="22"/>
                <w:szCs w:val="24"/>
              </w:rPr>
            </w:pPr>
          </w:p>
        </w:tc>
      </w:tr>
      <w:bookmarkEnd w:id="20"/>
    </w:tbl>
    <w:p w14:paraId="32970147" w14:textId="77777777" w:rsidR="00505FBC" w:rsidRPr="00B962FA" w:rsidRDefault="00505FBC" w:rsidP="005B4F03">
      <w:pPr>
        <w:spacing w:line="360" w:lineRule="auto"/>
        <w:rPr>
          <w:rFonts w:ascii="Times New Roman" w:hAnsi="Times New Roman" w:cs="Times New Roman" w:hint="eastAsia"/>
          <w:sz w:val="28"/>
          <w:szCs w:val="28"/>
        </w:rPr>
      </w:pPr>
    </w:p>
    <w:p w14:paraId="6618CEDE" w14:textId="77777777" w:rsidR="00505FBC" w:rsidRPr="00B962FA"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23" w:name="_Toc12675"/>
      <w:r w:rsidRPr="00B962FA">
        <w:rPr>
          <w:rFonts w:ascii="Times New Roman" w:eastAsia="黑体" w:hAnsi="Times New Roman" w:cs="Times New Roman"/>
          <w:b/>
          <w:kern w:val="0"/>
          <w:sz w:val="30"/>
          <w:szCs w:val="30"/>
        </w:rPr>
        <w:t>三、主要试验和情况分析</w:t>
      </w:r>
      <w:bookmarkEnd w:id="23"/>
    </w:p>
    <w:p w14:paraId="60C4FED3" w14:textId="77777777" w:rsidR="00505FBC" w:rsidRPr="00B962FA" w:rsidRDefault="00000000">
      <w:pPr>
        <w:widowControl/>
        <w:spacing w:line="360" w:lineRule="auto"/>
        <w:ind w:firstLineChars="200" w:firstLine="560"/>
        <w:rPr>
          <w:rFonts w:ascii="Times New Roman" w:hAnsi="Times New Roman" w:cs="Times New Roman"/>
          <w:sz w:val="28"/>
          <w:szCs w:val="28"/>
        </w:rPr>
      </w:pPr>
      <w:r w:rsidRPr="00B962FA">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Pr="00B962FA"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24" w:name="_Toc20840"/>
      <w:r w:rsidRPr="00B962FA">
        <w:rPr>
          <w:rFonts w:ascii="Times New Roman" w:eastAsia="黑体" w:hAnsi="Times New Roman" w:cs="Times New Roman"/>
          <w:b/>
          <w:kern w:val="0"/>
          <w:sz w:val="30"/>
          <w:szCs w:val="30"/>
        </w:rPr>
        <w:t>四、标准中涉及专利的情况</w:t>
      </w:r>
      <w:bookmarkEnd w:id="24"/>
    </w:p>
    <w:p w14:paraId="0530E0EF" w14:textId="77777777" w:rsidR="00505FBC" w:rsidRPr="00B962FA" w:rsidRDefault="00000000">
      <w:pPr>
        <w:widowControl/>
        <w:spacing w:line="360" w:lineRule="auto"/>
        <w:ind w:firstLineChars="200" w:firstLine="560"/>
        <w:rPr>
          <w:rFonts w:ascii="Times New Roman" w:hAnsi="Times New Roman" w:cs="Times New Roman"/>
          <w:sz w:val="28"/>
          <w:szCs w:val="28"/>
        </w:rPr>
      </w:pPr>
      <w:r w:rsidRPr="00B962FA">
        <w:rPr>
          <w:rFonts w:ascii="Times New Roman" w:hAnsi="Times New Roman" w:cs="Times New Roman"/>
          <w:sz w:val="28"/>
          <w:szCs w:val="28"/>
        </w:rPr>
        <w:t>无</w:t>
      </w:r>
    </w:p>
    <w:p w14:paraId="3F31E606" w14:textId="77777777" w:rsidR="00505FBC" w:rsidRPr="00B962FA"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25" w:name="_Toc29243"/>
      <w:r w:rsidRPr="00B962FA">
        <w:rPr>
          <w:rFonts w:ascii="Times New Roman" w:eastAsia="黑体" w:hAnsi="Times New Roman" w:cs="Times New Roman"/>
          <w:b/>
          <w:kern w:val="0"/>
          <w:sz w:val="30"/>
          <w:szCs w:val="30"/>
        </w:rPr>
        <w:t>五、预期达到的效益（经济、效益、生态等），对产业发展的作用的情况</w:t>
      </w:r>
      <w:bookmarkEnd w:id="25"/>
    </w:p>
    <w:p w14:paraId="7852582A" w14:textId="0618EDC1" w:rsidR="00505FBC" w:rsidRPr="00B962FA" w:rsidRDefault="00033B77">
      <w:pPr>
        <w:widowControl/>
        <w:spacing w:line="360" w:lineRule="auto"/>
        <w:ind w:firstLineChars="200" w:firstLine="560"/>
        <w:rPr>
          <w:rFonts w:ascii="Times New Roman" w:hAnsi="Times New Roman" w:cs="Times New Roman"/>
          <w:kern w:val="0"/>
          <w:sz w:val="28"/>
          <w:szCs w:val="28"/>
        </w:rPr>
      </w:pPr>
      <w:r w:rsidRPr="00B962FA">
        <w:rPr>
          <w:rFonts w:ascii="Times New Roman" w:hAnsi="Times New Roman" w:cs="Times New Roman"/>
          <w:kern w:val="0"/>
          <w:sz w:val="28"/>
          <w:szCs w:val="28"/>
        </w:rPr>
        <w:t>机电特种设备制造安装质量管理企业规范运营，在国际市场上有机会与其他各国（相关）企业竞争。</w:t>
      </w:r>
    </w:p>
    <w:p w14:paraId="0A0D3800" w14:textId="77777777" w:rsidR="00505FBC" w:rsidRPr="00B962FA" w:rsidRDefault="00000000">
      <w:pPr>
        <w:spacing w:line="360" w:lineRule="auto"/>
        <w:outlineLvl w:val="0"/>
        <w:rPr>
          <w:rFonts w:ascii="Times New Roman" w:eastAsia="黑体" w:hAnsi="Times New Roman" w:cs="Times New Roman"/>
          <w:b/>
          <w:kern w:val="0"/>
          <w:sz w:val="30"/>
          <w:szCs w:val="30"/>
        </w:rPr>
      </w:pPr>
      <w:bookmarkStart w:id="26" w:name="_Toc4979"/>
      <w:r w:rsidRPr="00B962FA">
        <w:rPr>
          <w:rFonts w:ascii="Times New Roman" w:eastAsia="黑体" w:hAnsi="Times New Roman" w:cs="Times New Roman"/>
          <w:b/>
          <w:kern w:val="0"/>
          <w:sz w:val="30"/>
          <w:szCs w:val="30"/>
        </w:rPr>
        <w:t>六、与有关的现行法律、法规和强制性国家标准的关系</w:t>
      </w:r>
      <w:bookmarkEnd w:id="26"/>
    </w:p>
    <w:p w14:paraId="382A0B7A" w14:textId="77777777" w:rsidR="00505FBC" w:rsidRPr="00B962FA" w:rsidRDefault="00000000">
      <w:pPr>
        <w:pStyle w:val="affa"/>
        <w:spacing w:line="360" w:lineRule="auto"/>
        <w:ind w:firstLine="560"/>
        <w:rPr>
          <w:rFonts w:ascii="Times New Roman" w:hAnsi="Times New Roman" w:cs="Times New Roman"/>
          <w:kern w:val="0"/>
          <w:sz w:val="28"/>
          <w:szCs w:val="28"/>
        </w:rPr>
      </w:pPr>
      <w:r w:rsidRPr="00B962FA">
        <w:rPr>
          <w:rFonts w:ascii="Times New Roman" w:hAnsi="Times New Roman" w:cs="Times New Roman"/>
          <w:kern w:val="0"/>
          <w:sz w:val="28"/>
          <w:szCs w:val="28"/>
        </w:rPr>
        <w:lastRenderedPageBreak/>
        <w:t>与现行法律、法规和强制性标准没有冲突。</w:t>
      </w:r>
    </w:p>
    <w:p w14:paraId="400718FE" w14:textId="77777777" w:rsidR="00505FBC" w:rsidRPr="00B962FA"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27" w:name="_Toc21799"/>
      <w:r w:rsidRPr="00B962FA">
        <w:rPr>
          <w:rFonts w:ascii="Times New Roman" w:eastAsia="黑体" w:hAnsi="Times New Roman" w:cs="Times New Roman"/>
          <w:b/>
          <w:kern w:val="0"/>
          <w:sz w:val="30"/>
          <w:szCs w:val="30"/>
        </w:rPr>
        <w:t>七、重大意见分歧的处理依据和结果</w:t>
      </w:r>
      <w:bookmarkEnd w:id="27"/>
    </w:p>
    <w:p w14:paraId="6B56A1A9" w14:textId="77777777" w:rsidR="00505FBC" w:rsidRPr="00B962FA" w:rsidRDefault="00000000">
      <w:pPr>
        <w:pStyle w:val="affa"/>
        <w:spacing w:line="360" w:lineRule="auto"/>
        <w:ind w:firstLine="560"/>
        <w:rPr>
          <w:rFonts w:ascii="Times New Roman" w:hAnsi="Times New Roman" w:cs="Times New Roman"/>
          <w:kern w:val="0"/>
          <w:sz w:val="28"/>
          <w:szCs w:val="28"/>
        </w:rPr>
      </w:pPr>
      <w:r w:rsidRPr="00B962FA">
        <w:rPr>
          <w:rFonts w:ascii="Times New Roman" w:hAnsi="Times New Roman" w:cs="Times New Roman"/>
          <w:kern w:val="0"/>
          <w:sz w:val="28"/>
          <w:szCs w:val="28"/>
        </w:rPr>
        <w:t>标准制定过程中，未出现重大意见分歧。</w:t>
      </w:r>
    </w:p>
    <w:p w14:paraId="7584C4FB" w14:textId="77777777" w:rsidR="00505FBC" w:rsidRPr="00B962FA"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28" w:name="_Toc20135"/>
      <w:r w:rsidRPr="00B962FA">
        <w:rPr>
          <w:rFonts w:ascii="Times New Roman" w:eastAsia="黑体" w:hAnsi="Times New Roman" w:cs="Times New Roman"/>
          <w:b/>
          <w:kern w:val="0"/>
          <w:sz w:val="30"/>
          <w:szCs w:val="30"/>
        </w:rPr>
        <w:t>八、标准性质的建议说明</w:t>
      </w:r>
      <w:bookmarkEnd w:id="28"/>
    </w:p>
    <w:p w14:paraId="0185C34E" w14:textId="77777777" w:rsidR="00505FBC" w:rsidRPr="00B962FA" w:rsidRDefault="00000000">
      <w:pPr>
        <w:pStyle w:val="affa"/>
        <w:spacing w:line="360" w:lineRule="auto"/>
        <w:ind w:firstLine="560"/>
        <w:rPr>
          <w:rFonts w:ascii="Times New Roman" w:hAnsi="Times New Roman" w:cs="Times New Roman"/>
          <w:kern w:val="0"/>
          <w:sz w:val="28"/>
          <w:szCs w:val="28"/>
        </w:rPr>
      </w:pPr>
      <w:r w:rsidRPr="00B962FA">
        <w:rPr>
          <w:rFonts w:ascii="Times New Roman" w:hAnsi="Times New Roman" w:cs="Times New Roman"/>
          <w:kern w:val="0"/>
          <w:sz w:val="28"/>
          <w:szCs w:val="28"/>
        </w:rPr>
        <w:t>本标准为团体标准，供社会各界自愿使用。</w:t>
      </w:r>
    </w:p>
    <w:p w14:paraId="03A22D07" w14:textId="77777777" w:rsidR="00505FBC" w:rsidRPr="00B962FA"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29" w:name="_Toc23106"/>
      <w:r w:rsidRPr="00B962FA">
        <w:rPr>
          <w:rFonts w:ascii="Times New Roman" w:eastAsia="黑体" w:hAnsi="Times New Roman" w:cs="Times New Roman"/>
          <w:b/>
          <w:kern w:val="0"/>
          <w:sz w:val="30"/>
          <w:szCs w:val="30"/>
        </w:rPr>
        <w:t>九、贯彻标准的要求和措施建议</w:t>
      </w:r>
      <w:bookmarkEnd w:id="2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sidRPr="00B962FA">
        <w:rPr>
          <w:rFonts w:ascii="Times New Roman" w:hAnsi="Times New Roman" w:cs="Times New Roman"/>
          <w:kern w:val="0"/>
          <w:sz w:val="28"/>
          <w:szCs w:val="28"/>
        </w:rPr>
        <w:t>无。</w:t>
      </w:r>
    </w:p>
    <w:p w14:paraId="243439C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0" w:name="_Toc29517"/>
      <w:r>
        <w:rPr>
          <w:rFonts w:ascii="Times New Roman" w:eastAsia="黑体" w:hAnsi="Times New Roman" w:cs="Times New Roman"/>
          <w:b/>
          <w:kern w:val="0"/>
          <w:sz w:val="30"/>
          <w:szCs w:val="30"/>
        </w:rPr>
        <w:t>十、废止现行相关标准的建议</w:t>
      </w:r>
      <w:bookmarkEnd w:id="3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1" w:name="_Toc18435"/>
      <w:r>
        <w:rPr>
          <w:rFonts w:ascii="Times New Roman" w:eastAsia="黑体" w:hAnsi="Times New Roman" w:cs="Times New Roman"/>
          <w:b/>
          <w:kern w:val="0"/>
          <w:sz w:val="30"/>
          <w:szCs w:val="30"/>
        </w:rPr>
        <w:t>十一、其他应予说明的事项</w:t>
      </w:r>
      <w:bookmarkEnd w:id="31"/>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601567">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7FC6" w14:textId="77777777" w:rsidR="00090DDB" w:rsidRDefault="00090DDB">
      <w:r>
        <w:separator/>
      </w:r>
    </w:p>
  </w:endnote>
  <w:endnote w:type="continuationSeparator" w:id="0">
    <w:p w14:paraId="001D2734" w14:textId="77777777" w:rsidR="00090DDB" w:rsidRDefault="0009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3"/>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5834" w14:textId="77777777" w:rsidR="00090DDB" w:rsidRDefault="00090DDB">
      <w:r>
        <w:separator/>
      </w:r>
    </w:p>
  </w:footnote>
  <w:footnote w:type="continuationSeparator" w:id="0">
    <w:p w14:paraId="78AADBB7" w14:textId="77777777" w:rsidR="00090DDB" w:rsidRDefault="0009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44C50F90"/>
    <w:multiLevelType w:val="multilevel"/>
    <w:tmpl w:val="44C50F90"/>
    <w:lvl w:ilvl="0">
      <w:start w:val="1"/>
      <w:numFmt w:val="lowerLetter"/>
      <w:pStyle w:val="a2"/>
      <w:lvlText w:val="%1)"/>
      <w:lvlJc w:val="left"/>
      <w:pPr>
        <w:tabs>
          <w:tab w:val="left" w:pos="851"/>
        </w:tabs>
        <w:ind w:left="851" w:hanging="426"/>
      </w:pPr>
      <w:rPr>
        <w:rFonts w:ascii="宋体" w:eastAsia="宋体" w:hAnsi="Times New Roman" w:hint="eastAsia"/>
        <w:sz w:val="21"/>
      </w:rPr>
    </w:lvl>
    <w:lvl w:ilvl="1">
      <w:start w:val="1"/>
      <w:numFmt w:val="decimal"/>
      <w:pStyle w:val="a3"/>
      <w:lvlText w:val="%2)"/>
      <w:lvlJc w:val="left"/>
      <w:pPr>
        <w:tabs>
          <w:tab w:val="left" w:pos="1276"/>
        </w:tabs>
        <w:ind w:left="1276" w:hanging="425"/>
      </w:pPr>
      <w:rPr>
        <w:rFonts w:ascii="宋体" w:eastAsia="宋体" w:hAnsi="Times New Roman" w:hint="eastAsia"/>
        <w:sz w:val="21"/>
      </w:rPr>
    </w:lvl>
    <w:lvl w:ilvl="2">
      <w:start w:val="1"/>
      <w:numFmt w:val="decimal"/>
      <w:pStyle w:val="a4"/>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48802D1C"/>
    <w:multiLevelType w:val="multilevel"/>
    <w:tmpl w:val="48802D1C"/>
    <w:lvl w:ilvl="0">
      <w:start w:val="1"/>
      <w:numFmt w:val="upperLetter"/>
      <w:pStyle w:val="a5"/>
      <w:lvlText w:val="%1"/>
      <w:lvlJc w:val="left"/>
      <w:pPr>
        <w:ind w:left="420" w:hanging="420"/>
      </w:pPr>
      <w:rPr>
        <w:rFonts w:hint="eastAsia"/>
      </w:rPr>
    </w:lvl>
    <w:lvl w:ilvl="1">
      <w:start w:val="1"/>
      <w:numFmt w:val="decimal"/>
      <w:pStyle w:val="a6"/>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5603797C"/>
    <w:lvl w:ilvl="0">
      <w:start w:val="1"/>
      <w:numFmt w:val="upperLetter"/>
      <w:pStyle w:val="a7"/>
      <w:suff w:val="space"/>
      <w:lvlText w:val="%1"/>
      <w:lvlJc w:val="left"/>
      <w:pPr>
        <w:ind w:left="425" w:hanging="425"/>
      </w:pPr>
      <w:rPr>
        <w:rFonts w:hint="eastAsia"/>
      </w:rPr>
    </w:lvl>
    <w:lvl w:ilvl="1">
      <w:start w:val="1"/>
      <w:numFmt w:val="decimal"/>
      <w:pStyle w:val="a8"/>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57D3FBC"/>
    <w:multiLevelType w:val="multilevel"/>
    <w:tmpl w:val="657D3FBC"/>
    <w:lvl w:ilvl="0">
      <w:start w:val="1"/>
      <w:numFmt w:val="upperLetter"/>
      <w:pStyle w:val="a9"/>
      <w:suff w:val="nothing"/>
      <w:lvlText w:val="附录%1"/>
      <w:lvlJc w:val="left"/>
      <w:pPr>
        <w:ind w:left="0" w:firstLine="0"/>
      </w:pPr>
      <w:rPr>
        <w:rFonts w:hint="eastAsia"/>
        <w:spacing w:val="100"/>
      </w:rPr>
    </w:lvl>
    <w:lvl w:ilvl="1">
      <w:start w:val="1"/>
      <w:numFmt w:val="decimal"/>
      <w:pStyle w:val="aa"/>
      <w:suff w:val="nothing"/>
      <w:lvlText w:val="%1.%2　"/>
      <w:lvlJc w:val="left"/>
      <w:pPr>
        <w:ind w:left="0" w:firstLine="0"/>
      </w:pPr>
      <w:rPr>
        <w:rFonts w:ascii="黑体" w:eastAsia="黑体" w:hint="eastAsia"/>
        <w:b w:val="0"/>
        <w:i w:val="0"/>
        <w:sz w:val="21"/>
      </w:rPr>
    </w:lvl>
    <w:lvl w:ilvl="2">
      <w:start w:val="1"/>
      <w:numFmt w:val="decimal"/>
      <w:pStyle w:val="ab"/>
      <w:suff w:val="nothing"/>
      <w:lvlText w:val="%1.%2.%3　"/>
      <w:lvlJc w:val="left"/>
      <w:pPr>
        <w:ind w:left="0" w:firstLine="0"/>
      </w:pPr>
      <w:rPr>
        <w:rFonts w:ascii="黑体" w:eastAsia="黑体" w:hint="eastAsia"/>
        <w:b w:val="0"/>
        <w:i w:val="0"/>
        <w:sz w:val="21"/>
      </w:rPr>
    </w:lvl>
    <w:lvl w:ilvl="3">
      <w:start w:val="1"/>
      <w:numFmt w:val="decimal"/>
      <w:pStyle w:val="ac"/>
      <w:suff w:val="nothing"/>
      <w:lvlText w:val="%1.%2.%3.%4　"/>
      <w:lvlJc w:val="left"/>
      <w:pPr>
        <w:ind w:left="0" w:firstLine="0"/>
      </w:pPr>
      <w:rPr>
        <w:rFonts w:ascii="黑体" w:eastAsia="黑体" w:hint="eastAsia"/>
        <w:b w:val="0"/>
        <w:i w:val="0"/>
        <w:sz w:val="21"/>
      </w:rPr>
    </w:lvl>
    <w:lvl w:ilvl="4">
      <w:start w:val="1"/>
      <w:numFmt w:val="decimal"/>
      <w:pStyle w:val="ad"/>
      <w:suff w:val="nothing"/>
      <w:lvlText w:val="%1.%2.%3.%4.%5　"/>
      <w:lvlJc w:val="left"/>
      <w:pPr>
        <w:ind w:left="0" w:firstLine="0"/>
      </w:pPr>
      <w:rPr>
        <w:rFonts w:ascii="黑体" w:eastAsia="黑体" w:hint="eastAsia"/>
        <w:b w:val="0"/>
        <w:i w:val="0"/>
        <w:sz w:val="21"/>
      </w:rPr>
    </w:lvl>
    <w:lvl w:ilvl="5">
      <w:start w:val="1"/>
      <w:numFmt w:val="decimal"/>
      <w:pStyle w:val="a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6CEA2025"/>
    <w:multiLevelType w:val="multilevel"/>
    <w:tmpl w:val="6CEA2025"/>
    <w:lvl w:ilvl="0">
      <w:start w:val="1"/>
      <w:numFmt w:val="none"/>
      <w:pStyle w:val="af"/>
      <w:suff w:val="nothing"/>
      <w:lvlText w:val="%1"/>
      <w:lvlJc w:val="left"/>
      <w:pPr>
        <w:ind w:left="0" w:firstLine="0"/>
      </w:pPr>
      <w:rPr>
        <w:rFonts w:hint="eastAsia"/>
      </w:rPr>
    </w:lvl>
    <w:lvl w:ilvl="1">
      <w:start w:val="1"/>
      <w:numFmt w:val="decimal"/>
      <w:pStyle w:val="af0"/>
      <w:suff w:val="nothing"/>
      <w:lvlText w:val="%1%2　"/>
      <w:lvlJc w:val="left"/>
      <w:pPr>
        <w:ind w:left="0" w:firstLine="0"/>
      </w:pPr>
      <w:rPr>
        <w:rFonts w:ascii="黑体" w:eastAsia="黑体" w:hint="eastAsia"/>
        <w:b w:val="0"/>
        <w:i w:val="0"/>
        <w:sz w:val="21"/>
      </w:rPr>
    </w:lvl>
    <w:lvl w:ilvl="2">
      <w:start w:val="1"/>
      <w:numFmt w:val="decimal"/>
      <w:pStyle w:val="a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2"/>
      <w:suff w:val="nothing"/>
      <w:lvlText w:val="%1%2.%3.%4　"/>
      <w:lvlJc w:val="left"/>
      <w:pPr>
        <w:ind w:left="0" w:firstLine="0"/>
      </w:pPr>
      <w:rPr>
        <w:rFonts w:ascii="黑体" w:eastAsia="黑体" w:hint="eastAsia"/>
        <w:b w:val="0"/>
        <w:i w:val="0"/>
        <w:sz w:val="21"/>
      </w:rPr>
    </w:lvl>
    <w:lvl w:ilvl="4">
      <w:start w:val="1"/>
      <w:numFmt w:val="decimal"/>
      <w:pStyle w:val="af3"/>
      <w:suff w:val="nothing"/>
      <w:lvlText w:val="%1%2.%3.%4.%5　"/>
      <w:lvlJc w:val="left"/>
      <w:pPr>
        <w:ind w:left="0" w:firstLine="0"/>
      </w:pPr>
      <w:rPr>
        <w:rFonts w:ascii="黑体" w:eastAsia="黑体" w:hint="eastAsia"/>
        <w:b w:val="0"/>
        <w:i w:val="0"/>
        <w:sz w:val="21"/>
      </w:rPr>
    </w:lvl>
    <w:lvl w:ilvl="5">
      <w:start w:val="1"/>
      <w:numFmt w:val="decimal"/>
      <w:pStyle w:val="af4"/>
      <w:suff w:val="nothing"/>
      <w:lvlText w:val="%1%2.%3.%4.%5.%6　"/>
      <w:lvlJc w:val="left"/>
      <w:pPr>
        <w:ind w:left="0" w:firstLine="0"/>
      </w:pPr>
      <w:rPr>
        <w:rFonts w:ascii="黑体" w:eastAsia="黑体" w:hint="eastAsia"/>
        <w:b w:val="0"/>
        <w:i w:val="0"/>
        <w:sz w:val="21"/>
      </w:rPr>
    </w:lvl>
    <w:lvl w:ilvl="6">
      <w:start w:val="1"/>
      <w:numFmt w:val="decimal"/>
      <w:pStyle w:val="a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83398422">
    <w:abstractNumId w:val="0"/>
  </w:num>
  <w:num w:numId="2" w16cid:durableId="1436485101">
    <w:abstractNumId w:val="5"/>
  </w:num>
  <w:num w:numId="3" w16cid:durableId="1806922050">
    <w:abstractNumId w:val="4"/>
  </w:num>
  <w:num w:numId="4" w16cid:durableId="1498307321">
    <w:abstractNumId w:val="3"/>
  </w:num>
  <w:num w:numId="5" w16cid:durableId="564872058">
    <w:abstractNumId w:val="2"/>
  </w:num>
  <w:num w:numId="6" w16cid:durableId="29382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22B41"/>
    <w:rsid w:val="00033B77"/>
    <w:rsid w:val="0004018C"/>
    <w:rsid w:val="000413D1"/>
    <w:rsid w:val="00044838"/>
    <w:rsid w:val="00044B03"/>
    <w:rsid w:val="000564F6"/>
    <w:rsid w:val="00057C50"/>
    <w:rsid w:val="0007074D"/>
    <w:rsid w:val="0007271C"/>
    <w:rsid w:val="00077B87"/>
    <w:rsid w:val="00083D62"/>
    <w:rsid w:val="00090DDB"/>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16504"/>
    <w:rsid w:val="0022590F"/>
    <w:rsid w:val="00231E76"/>
    <w:rsid w:val="002506EB"/>
    <w:rsid w:val="0025166A"/>
    <w:rsid w:val="002645BB"/>
    <w:rsid w:val="00270DA4"/>
    <w:rsid w:val="00277345"/>
    <w:rsid w:val="0027791C"/>
    <w:rsid w:val="0028530B"/>
    <w:rsid w:val="00285841"/>
    <w:rsid w:val="002878E5"/>
    <w:rsid w:val="00293048"/>
    <w:rsid w:val="002A391A"/>
    <w:rsid w:val="002C04B6"/>
    <w:rsid w:val="002D3A9F"/>
    <w:rsid w:val="002E0308"/>
    <w:rsid w:val="002E2B56"/>
    <w:rsid w:val="002F3045"/>
    <w:rsid w:val="00305109"/>
    <w:rsid w:val="0031256A"/>
    <w:rsid w:val="0031561A"/>
    <w:rsid w:val="00317D74"/>
    <w:rsid w:val="00323B3B"/>
    <w:rsid w:val="003257DB"/>
    <w:rsid w:val="00352B42"/>
    <w:rsid w:val="00357168"/>
    <w:rsid w:val="00360683"/>
    <w:rsid w:val="0036737F"/>
    <w:rsid w:val="00373823"/>
    <w:rsid w:val="003813CC"/>
    <w:rsid w:val="00382E74"/>
    <w:rsid w:val="003A00FA"/>
    <w:rsid w:val="003A0364"/>
    <w:rsid w:val="003A509B"/>
    <w:rsid w:val="003B6441"/>
    <w:rsid w:val="003C1B72"/>
    <w:rsid w:val="003F7535"/>
    <w:rsid w:val="00401889"/>
    <w:rsid w:val="00410BC2"/>
    <w:rsid w:val="00413119"/>
    <w:rsid w:val="004172C0"/>
    <w:rsid w:val="0042351F"/>
    <w:rsid w:val="004252F2"/>
    <w:rsid w:val="004276CF"/>
    <w:rsid w:val="00430513"/>
    <w:rsid w:val="00435663"/>
    <w:rsid w:val="00436EE9"/>
    <w:rsid w:val="00463563"/>
    <w:rsid w:val="004803B5"/>
    <w:rsid w:val="004B2F65"/>
    <w:rsid w:val="004B6E6F"/>
    <w:rsid w:val="004F08C5"/>
    <w:rsid w:val="004F4747"/>
    <w:rsid w:val="004F6F77"/>
    <w:rsid w:val="0050411A"/>
    <w:rsid w:val="00505FBC"/>
    <w:rsid w:val="00520FFB"/>
    <w:rsid w:val="005251AE"/>
    <w:rsid w:val="00534D5E"/>
    <w:rsid w:val="00534FAE"/>
    <w:rsid w:val="00545EB7"/>
    <w:rsid w:val="00583F98"/>
    <w:rsid w:val="00596690"/>
    <w:rsid w:val="005A4896"/>
    <w:rsid w:val="005B4F03"/>
    <w:rsid w:val="005B7647"/>
    <w:rsid w:val="005D56E9"/>
    <w:rsid w:val="005F13A9"/>
    <w:rsid w:val="00601423"/>
    <w:rsid w:val="00601567"/>
    <w:rsid w:val="00606BF2"/>
    <w:rsid w:val="006252E3"/>
    <w:rsid w:val="00650FED"/>
    <w:rsid w:val="006878C7"/>
    <w:rsid w:val="00690184"/>
    <w:rsid w:val="006965B4"/>
    <w:rsid w:val="006A01A1"/>
    <w:rsid w:val="006B0B1B"/>
    <w:rsid w:val="006B6D21"/>
    <w:rsid w:val="006B75F5"/>
    <w:rsid w:val="006E5B41"/>
    <w:rsid w:val="006F64E7"/>
    <w:rsid w:val="00705D75"/>
    <w:rsid w:val="0071751F"/>
    <w:rsid w:val="007417C1"/>
    <w:rsid w:val="00746F2B"/>
    <w:rsid w:val="00747D95"/>
    <w:rsid w:val="00752097"/>
    <w:rsid w:val="00756D5D"/>
    <w:rsid w:val="00761E21"/>
    <w:rsid w:val="00776D4B"/>
    <w:rsid w:val="0079502D"/>
    <w:rsid w:val="00795550"/>
    <w:rsid w:val="007A013B"/>
    <w:rsid w:val="007A2FC6"/>
    <w:rsid w:val="007A5AAC"/>
    <w:rsid w:val="007C21C2"/>
    <w:rsid w:val="007D4B87"/>
    <w:rsid w:val="007E4007"/>
    <w:rsid w:val="0082096B"/>
    <w:rsid w:val="0082331F"/>
    <w:rsid w:val="008257DF"/>
    <w:rsid w:val="008329E4"/>
    <w:rsid w:val="008368E2"/>
    <w:rsid w:val="008520F0"/>
    <w:rsid w:val="008618FE"/>
    <w:rsid w:val="008665F7"/>
    <w:rsid w:val="0086666E"/>
    <w:rsid w:val="00870FA5"/>
    <w:rsid w:val="00874660"/>
    <w:rsid w:val="008A102E"/>
    <w:rsid w:val="008A766F"/>
    <w:rsid w:val="008B18A3"/>
    <w:rsid w:val="008B34EE"/>
    <w:rsid w:val="008C756A"/>
    <w:rsid w:val="008E1C98"/>
    <w:rsid w:val="008F54B9"/>
    <w:rsid w:val="008F5B83"/>
    <w:rsid w:val="00910049"/>
    <w:rsid w:val="0091708A"/>
    <w:rsid w:val="00917F28"/>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7A24"/>
    <w:rsid w:val="00A06F10"/>
    <w:rsid w:val="00A262E4"/>
    <w:rsid w:val="00A27845"/>
    <w:rsid w:val="00A31084"/>
    <w:rsid w:val="00A42BEC"/>
    <w:rsid w:val="00A42C32"/>
    <w:rsid w:val="00A44A72"/>
    <w:rsid w:val="00A4610C"/>
    <w:rsid w:val="00A50B02"/>
    <w:rsid w:val="00A54455"/>
    <w:rsid w:val="00A5702C"/>
    <w:rsid w:val="00A6194C"/>
    <w:rsid w:val="00A64776"/>
    <w:rsid w:val="00A80365"/>
    <w:rsid w:val="00A83680"/>
    <w:rsid w:val="00A8519C"/>
    <w:rsid w:val="00A91142"/>
    <w:rsid w:val="00AB1353"/>
    <w:rsid w:val="00AC01B1"/>
    <w:rsid w:val="00AC09D3"/>
    <w:rsid w:val="00AD0EA1"/>
    <w:rsid w:val="00AD2695"/>
    <w:rsid w:val="00AD39DA"/>
    <w:rsid w:val="00AE029F"/>
    <w:rsid w:val="00AF01D8"/>
    <w:rsid w:val="00B01C45"/>
    <w:rsid w:val="00B05A42"/>
    <w:rsid w:val="00B22220"/>
    <w:rsid w:val="00B47E66"/>
    <w:rsid w:val="00B743AB"/>
    <w:rsid w:val="00B803DE"/>
    <w:rsid w:val="00B962FA"/>
    <w:rsid w:val="00B97970"/>
    <w:rsid w:val="00BA15CF"/>
    <w:rsid w:val="00BA3C4F"/>
    <w:rsid w:val="00BB2288"/>
    <w:rsid w:val="00BB2A59"/>
    <w:rsid w:val="00BB3D50"/>
    <w:rsid w:val="00BB5CFC"/>
    <w:rsid w:val="00BC18B9"/>
    <w:rsid w:val="00BC3BB1"/>
    <w:rsid w:val="00BD4F24"/>
    <w:rsid w:val="00BE6F2E"/>
    <w:rsid w:val="00BF050A"/>
    <w:rsid w:val="00BF746A"/>
    <w:rsid w:val="00C21DF8"/>
    <w:rsid w:val="00C23788"/>
    <w:rsid w:val="00C37003"/>
    <w:rsid w:val="00C51238"/>
    <w:rsid w:val="00C52B4D"/>
    <w:rsid w:val="00C62D4B"/>
    <w:rsid w:val="00C70FF4"/>
    <w:rsid w:val="00C869DA"/>
    <w:rsid w:val="00C9265C"/>
    <w:rsid w:val="00CA5205"/>
    <w:rsid w:val="00CB0852"/>
    <w:rsid w:val="00CB2FF6"/>
    <w:rsid w:val="00D06630"/>
    <w:rsid w:val="00D237D4"/>
    <w:rsid w:val="00D30ADB"/>
    <w:rsid w:val="00D311EA"/>
    <w:rsid w:val="00D63193"/>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0AC7"/>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535"/>
    <w:rsid w:val="00F06A1A"/>
    <w:rsid w:val="00F27E12"/>
    <w:rsid w:val="00F319AF"/>
    <w:rsid w:val="00F40C1D"/>
    <w:rsid w:val="00F420F2"/>
    <w:rsid w:val="00F42768"/>
    <w:rsid w:val="00F43CD1"/>
    <w:rsid w:val="00F51C15"/>
    <w:rsid w:val="00F63ADB"/>
    <w:rsid w:val="00F741B8"/>
    <w:rsid w:val="00F878B5"/>
    <w:rsid w:val="00F91EFF"/>
    <w:rsid w:val="00F92513"/>
    <w:rsid w:val="00F943A4"/>
    <w:rsid w:val="00F96275"/>
    <w:rsid w:val="00F97976"/>
    <w:rsid w:val="00FB5476"/>
    <w:rsid w:val="00FB6E5E"/>
    <w:rsid w:val="00FC26FD"/>
    <w:rsid w:val="00FD6D58"/>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6">
    <w:name w:val="Normal"/>
    <w:qFormat/>
    <w:pPr>
      <w:widowControl w:val="0"/>
      <w:jc w:val="both"/>
    </w:pPr>
    <w:rPr>
      <w:kern w:val="2"/>
      <w:sz w:val="21"/>
      <w:szCs w:val="22"/>
    </w:rPr>
  </w:style>
  <w:style w:type="paragraph" w:styleId="3">
    <w:name w:val="heading 3"/>
    <w:basedOn w:val="af6"/>
    <w:next w:val="af6"/>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caption"/>
    <w:basedOn w:val="af6"/>
    <w:next w:val="af6"/>
    <w:uiPriority w:val="35"/>
    <w:unhideWhenUsed/>
    <w:qFormat/>
    <w:pPr>
      <w:jc w:val="center"/>
    </w:pPr>
    <w:rPr>
      <w:rFonts w:asciiTheme="majorHAnsi" w:eastAsia="黑体" w:hAnsiTheme="majorHAnsi" w:cstheme="majorBidi"/>
      <w:szCs w:val="20"/>
    </w:rPr>
  </w:style>
  <w:style w:type="paragraph" w:styleId="afb">
    <w:name w:val="Body Text Indent"/>
    <w:basedOn w:val="af6"/>
    <w:link w:val="afc"/>
    <w:autoRedefine/>
    <w:qFormat/>
    <w:pPr>
      <w:spacing w:line="300" w:lineRule="auto"/>
      <w:ind w:firstLineChars="200" w:firstLine="420"/>
    </w:pPr>
    <w:rPr>
      <w:rFonts w:ascii="Times New Roman" w:eastAsia="宋体" w:hAnsi="宋体" w:cs="Times New Roman"/>
      <w:szCs w:val="20"/>
    </w:rPr>
  </w:style>
  <w:style w:type="paragraph" w:styleId="afd">
    <w:name w:val="Date"/>
    <w:basedOn w:val="af6"/>
    <w:next w:val="af6"/>
    <w:link w:val="afe"/>
    <w:autoRedefine/>
    <w:uiPriority w:val="99"/>
    <w:semiHidden/>
    <w:unhideWhenUsed/>
    <w:qFormat/>
    <w:pPr>
      <w:ind w:leftChars="2500" w:left="100"/>
    </w:pPr>
  </w:style>
  <w:style w:type="paragraph" w:styleId="aff">
    <w:name w:val="endnote text"/>
    <w:basedOn w:val="af6"/>
    <w:link w:val="aff0"/>
    <w:autoRedefine/>
    <w:uiPriority w:val="99"/>
    <w:qFormat/>
    <w:pPr>
      <w:snapToGrid w:val="0"/>
      <w:jc w:val="left"/>
    </w:pPr>
    <w:rPr>
      <w:rFonts w:ascii="Calibri" w:eastAsia="宋体" w:hAnsi="Calibri" w:cs="Times New Roman"/>
      <w:szCs w:val="24"/>
    </w:rPr>
  </w:style>
  <w:style w:type="paragraph" w:styleId="aff1">
    <w:name w:val="Balloon Text"/>
    <w:basedOn w:val="af6"/>
    <w:link w:val="aff2"/>
    <w:autoRedefine/>
    <w:uiPriority w:val="99"/>
    <w:semiHidden/>
    <w:unhideWhenUsed/>
    <w:qFormat/>
    <w:rPr>
      <w:sz w:val="18"/>
      <w:szCs w:val="18"/>
    </w:rPr>
  </w:style>
  <w:style w:type="paragraph" w:styleId="aff3">
    <w:name w:val="footer"/>
    <w:basedOn w:val="af6"/>
    <w:link w:val="aff4"/>
    <w:uiPriority w:val="99"/>
    <w:unhideWhenUsed/>
    <w:qFormat/>
    <w:pPr>
      <w:tabs>
        <w:tab w:val="center" w:pos="4153"/>
        <w:tab w:val="right" w:pos="8306"/>
      </w:tabs>
      <w:snapToGrid w:val="0"/>
      <w:jc w:val="left"/>
    </w:pPr>
    <w:rPr>
      <w:sz w:val="18"/>
      <w:szCs w:val="18"/>
    </w:rPr>
  </w:style>
  <w:style w:type="paragraph" w:styleId="aff5">
    <w:name w:val="header"/>
    <w:basedOn w:val="af6"/>
    <w:link w:val="af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6"/>
    <w:next w:val="af6"/>
    <w:uiPriority w:val="39"/>
    <w:semiHidden/>
    <w:unhideWhenUsed/>
    <w:qFormat/>
  </w:style>
  <w:style w:type="paragraph" w:styleId="aff7">
    <w:name w:val="Normal (Web)"/>
    <w:basedOn w:val="af6"/>
    <w:unhideWhenUsed/>
    <w:qFormat/>
    <w:pPr>
      <w:widowControl/>
      <w:spacing w:before="100" w:beforeAutospacing="1" w:after="100" w:afterAutospacing="1"/>
      <w:jc w:val="left"/>
    </w:pPr>
    <w:rPr>
      <w:rFonts w:ascii="宋体" w:eastAsia="宋体" w:hAnsi="宋体" w:cs="宋体"/>
      <w:kern w:val="0"/>
      <w:sz w:val="24"/>
      <w:szCs w:val="24"/>
    </w:rPr>
  </w:style>
  <w:style w:type="table" w:styleId="aff8">
    <w:name w:val="Table Grid"/>
    <w:basedOn w:val="a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f7"/>
    <w:qFormat/>
  </w:style>
  <w:style w:type="character" w:customStyle="1" w:styleId="30">
    <w:name w:val="标题 3 字符"/>
    <w:basedOn w:val="af7"/>
    <w:link w:val="3"/>
    <w:autoRedefine/>
    <w:uiPriority w:val="9"/>
    <w:qFormat/>
    <w:rPr>
      <w:rFonts w:ascii="Times New Roman" w:hAnsi="Times New Roman"/>
      <w:b/>
      <w:bCs/>
      <w:szCs w:val="32"/>
    </w:rPr>
  </w:style>
  <w:style w:type="character" w:customStyle="1" w:styleId="aff4">
    <w:name w:val="页脚 字符"/>
    <w:basedOn w:val="af7"/>
    <w:link w:val="aff3"/>
    <w:uiPriority w:val="99"/>
    <w:qFormat/>
    <w:rPr>
      <w:sz w:val="18"/>
      <w:szCs w:val="18"/>
    </w:rPr>
  </w:style>
  <w:style w:type="paragraph" w:styleId="affa">
    <w:name w:val="List Paragraph"/>
    <w:basedOn w:val="af6"/>
    <w:autoRedefine/>
    <w:uiPriority w:val="34"/>
    <w:qFormat/>
    <w:pPr>
      <w:ind w:firstLineChars="200" w:firstLine="420"/>
    </w:p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b"/>
    <w:autoRedefine/>
    <w:qFormat/>
    <w:rPr>
      <w:rFonts w:ascii="宋体" w:eastAsia="宋体" w:hAnsi="Times New Roman" w:cs="Times New Roman"/>
      <w:kern w:val="0"/>
      <w:szCs w:val="20"/>
    </w:rPr>
  </w:style>
  <w:style w:type="table" w:customStyle="1" w:styleId="1">
    <w:name w:val="浅色底纹1"/>
    <w:basedOn w:val="af8"/>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6">
    <w:name w:val="页眉 字符"/>
    <w:basedOn w:val="af7"/>
    <w:link w:val="aff5"/>
    <w:autoRedefine/>
    <w:uiPriority w:val="99"/>
    <w:qFormat/>
    <w:rPr>
      <w:sz w:val="18"/>
      <w:szCs w:val="18"/>
    </w:rPr>
  </w:style>
  <w:style w:type="character" w:customStyle="1" w:styleId="aff2">
    <w:name w:val="批注框文本 字符"/>
    <w:basedOn w:val="af7"/>
    <w:link w:val="aff1"/>
    <w:autoRedefine/>
    <w:uiPriority w:val="99"/>
    <w:semiHidden/>
    <w:qFormat/>
    <w:rPr>
      <w:sz w:val="18"/>
      <w:szCs w:val="18"/>
    </w:rPr>
  </w:style>
  <w:style w:type="character" w:customStyle="1" w:styleId="aff0">
    <w:name w:val="尾注文本 字符"/>
    <w:basedOn w:val="af7"/>
    <w:link w:val="aff"/>
    <w:autoRedefine/>
    <w:uiPriority w:val="99"/>
    <w:qFormat/>
    <w:rPr>
      <w:rFonts w:ascii="Calibri" w:eastAsia="宋体" w:hAnsi="Calibri" w:cs="Times New Roman"/>
      <w:szCs w:val="24"/>
    </w:rPr>
  </w:style>
  <w:style w:type="table" w:customStyle="1" w:styleId="10">
    <w:name w:val="网格型1"/>
    <w:basedOn w:val="af8"/>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日期 字符"/>
    <w:basedOn w:val="af7"/>
    <w:link w:val="afd"/>
    <w:autoRedefine/>
    <w:uiPriority w:val="99"/>
    <w:semiHidden/>
    <w:qFormat/>
  </w:style>
  <w:style w:type="character" w:customStyle="1" w:styleId="afc">
    <w:name w:val="正文文本缩进 字符"/>
    <w:basedOn w:val="af7"/>
    <w:link w:val="afb"/>
    <w:autoRedefine/>
    <w:qFormat/>
    <w:rPr>
      <w:rFonts w:ascii="Times New Roman" w:eastAsia="宋体" w:hAnsi="宋体" w:cs="Times New Roman"/>
      <w:szCs w:val="20"/>
    </w:rPr>
  </w:style>
  <w:style w:type="paragraph" w:customStyle="1" w:styleId="a1">
    <w:name w:val="二级条标题"/>
    <w:basedOn w:val="af6"/>
    <w:next w:val="affb"/>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7"/>
    <w:autoRedefine/>
    <w:qFormat/>
  </w:style>
  <w:style w:type="paragraph" w:customStyle="1" w:styleId="a">
    <w:name w:val="章标题"/>
    <w:next w:val="affb"/>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b"/>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c">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d">
    <w:name w:val="标准文件_段"/>
    <w:link w:val="Char0"/>
    <w:rsid w:val="00B962FA"/>
    <w:pPr>
      <w:autoSpaceDE w:val="0"/>
      <w:autoSpaceDN w:val="0"/>
      <w:ind w:firstLineChars="200" w:firstLine="200"/>
      <w:jc w:val="both"/>
    </w:pPr>
    <w:rPr>
      <w:rFonts w:ascii="宋体" w:eastAsia="宋体" w:hAnsi="Times New Roman" w:cs="Times New Roman"/>
      <w:sz w:val="21"/>
    </w:rPr>
  </w:style>
  <w:style w:type="paragraph" w:customStyle="1" w:styleId="af2">
    <w:name w:val="标准文件_二级条标题"/>
    <w:next w:val="affd"/>
    <w:rsid w:val="00B962FA"/>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9">
    <w:name w:val="标准文件_附录标识"/>
    <w:next w:val="affd"/>
    <w:rsid w:val="00B962FA"/>
    <w:pPr>
      <w:numPr>
        <w:numId w:val="3"/>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8">
    <w:name w:val="标准文件_附录表标题"/>
    <w:next w:val="affd"/>
    <w:rsid w:val="00B962FA"/>
    <w:pPr>
      <w:numPr>
        <w:ilvl w:val="1"/>
        <w:numId w:val="4"/>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a">
    <w:name w:val="标准文件_附录一级条标题"/>
    <w:next w:val="affd"/>
    <w:rsid w:val="00B962FA"/>
    <w:pPr>
      <w:widowControl w:val="0"/>
      <w:numPr>
        <w:ilvl w:val="1"/>
        <w:numId w:val="3"/>
      </w:numPr>
      <w:spacing w:beforeLines="50" w:before="50" w:afterLines="50" w:after="50"/>
      <w:jc w:val="both"/>
      <w:outlineLvl w:val="2"/>
    </w:pPr>
    <w:rPr>
      <w:rFonts w:ascii="黑体" w:eastAsia="黑体" w:hAnsi="Times New Roman" w:cs="Times New Roman"/>
      <w:kern w:val="21"/>
      <w:sz w:val="21"/>
    </w:rPr>
  </w:style>
  <w:style w:type="paragraph" w:customStyle="1" w:styleId="ab">
    <w:name w:val="标准文件_附录二级条标题"/>
    <w:basedOn w:val="aa"/>
    <w:next w:val="affd"/>
    <w:qFormat/>
    <w:rsid w:val="00B962FA"/>
    <w:pPr>
      <w:widowControl/>
      <w:numPr>
        <w:ilvl w:val="2"/>
      </w:numPr>
      <w:wordWrap w:val="0"/>
      <w:overflowPunct w:val="0"/>
      <w:autoSpaceDE w:val="0"/>
      <w:autoSpaceDN w:val="0"/>
      <w:textAlignment w:val="baseline"/>
      <w:outlineLvl w:val="3"/>
    </w:pPr>
  </w:style>
  <w:style w:type="paragraph" w:customStyle="1" w:styleId="ac">
    <w:name w:val="标准文件_附录三级条标题"/>
    <w:next w:val="affd"/>
    <w:qFormat/>
    <w:rsid w:val="00B962FA"/>
    <w:pPr>
      <w:widowControl w:val="0"/>
      <w:numPr>
        <w:ilvl w:val="3"/>
        <w:numId w:val="3"/>
      </w:numPr>
      <w:spacing w:beforeLines="50" w:before="50" w:afterLines="50" w:after="50"/>
      <w:jc w:val="both"/>
      <w:outlineLvl w:val="4"/>
    </w:pPr>
    <w:rPr>
      <w:rFonts w:ascii="黑体" w:eastAsia="黑体" w:hAnsi="Times New Roman" w:cs="Times New Roman"/>
      <w:kern w:val="21"/>
      <w:sz w:val="21"/>
    </w:rPr>
  </w:style>
  <w:style w:type="paragraph" w:customStyle="1" w:styleId="ad">
    <w:name w:val="标准文件_附录四级条标题"/>
    <w:next w:val="affd"/>
    <w:qFormat/>
    <w:rsid w:val="00B962FA"/>
    <w:pPr>
      <w:widowControl w:val="0"/>
      <w:numPr>
        <w:ilvl w:val="4"/>
        <w:numId w:val="3"/>
      </w:numPr>
      <w:spacing w:beforeLines="50" w:before="50" w:afterLines="50" w:after="50"/>
      <w:jc w:val="both"/>
      <w:outlineLvl w:val="5"/>
    </w:pPr>
    <w:rPr>
      <w:rFonts w:ascii="黑体" w:eastAsia="黑体" w:hAnsi="Times New Roman" w:cs="Times New Roman"/>
      <w:kern w:val="21"/>
      <w:sz w:val="21"/>
    </w:rPr>
  </w:style>
  <w:style w:type="paragraph" w:customStyle="1" w:styleId="a6">
    <w:name w:val="标准文件_附录图标题"/>
    <w:next w:val="affd"/>
    <w:qFormat/>
    <w:rsid w:val="00B962FA"/>
    <w:pPr>
      <w:numPr>
        <w:ilvl w:val="1"/>
        <w:numId w:val="5"/>
      </w:numPr>
      <w:adjustRightInd w:val="0"/>
      <w:snapToGrid w:val="0"/>
      <w:spacing w:beforeLines="50" w:before="50" w:afterLines="50" w:after="50"/>
      <w:jc w:val="center"/>
    </w:pPr>
    <w:rPr>
      <w:rFonts w:ascii="黑体" w:eastAsia="黑体" w:hAnsi="Times New Roman" w:cs="Times New Roman"/>
      <w:sz w:val="21"/>
    </w:rPr>
  </w:style>
  <w:style w:type="paragraph" w:customStyle="1" w:styleId="ae">
    <w:name w:val="标准文件_附录五级条标题"/>
    <w:next w:val="affd"/>
    <w:qFormat/>
    <w:rsid w:val="00B962FA"/>
    <w:pPr>
      <w:widowControl w:val="0"/>
      <w:numPr>
        <w:ilvl w:val="5"/>
        <w:numId w:val="3"/>
      </w:numPr>
      <w:spacing w:beforeLines="50" w:before="50" w:afterLines="50" w:after="50"/>
      <w:jc w:val="both"/>
      <w:outlineLvl w:val="6"/>
    </w:pPr>
    <w:rPr>
      <w:rFonts w:ascii="黑体" w:eastAsia="黑体" w:hAnsi="Times New Roman" w:cs="Times New Roman"/>
      <w:kern w:val="21"/>
      <w:sz w:val="21"/>
    </w:rPr>
  </w:style>
  <w:style w:type="paragraph" w:customStyle="1" w:styleId="af3">
    <w:name w:val="标准文件_三级条标题"/>
    <w:basedOn w:val="af2"/>
    <w:next w:val="affd"/>
    <w:qFormat/>
    <w:rsid w:val="00B962FA"/>
    <w:pPr>
      <w:widowControl/>
      <w:numPr>
        <w:ilvl w:val="4"/>
      </w:numPr>
      <w:outlineLvl w:val="3"/>
    </w:pPr>
  </w:style>
  <w:style w:type="paragraph" w:customStyle="1" w:styleId="af4">
    <w:name w:val="标准文件_四级条标题"/>
    <w:next w:val="affd"/>
    <w:qFormat/>
    <w:rsid w:val="00B962FA"/>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f5">
    <w:name w:val="标准文件_五级条标题"/>
    <w:next w:val="affd"/>
    <w:qFormat/>
    <w:rsid w:val="00B962FA"/>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0">
    <w:name w:val="标准文件_章标题"/>
    <w:next w:val="affd"/>
    <w:qFormat/>
    <w:rsid w:val="00B962FA"/>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1">
    <w:name w:val="标准文件_一级条标题"/>
    <w:basedOn w:val="af0"/>
    <w:next w:val="affd"/>
    <w:qFormat/>
    <w:rsid w:val="00B962FA"/>
    <w:pPr>
      <w:numPr>
        <w:ilvl w:val="2"/>
      </w:numPr>
      <w:spacing w:beforeLines="50" w:before="50" w:afterLines="50" w:after="50"/>
      <w:outlineLvl w:val="1"/>
    </w:pPr>
  </w:style>
  <w:style w:type="paragraph" w:customStyle="1" w:styleId="a3">
    <w:name w:val="标准文件_数字编号列项（二级）"/>
    <w:qFormat/>
    <w:rsid w:val="00B962FA"/>
    <w:pPr>
      <w:numPr>
        <w:ilvl w:val="1"/>
        <w:numId w:val="6"/>
      </w:numPr>
      <w:jc w:val="both"/>
    </w:pPr>
    <w:rPr>
      <w:rFonts w:ascii="宋体" w:eastAsia="宋体" w:hAnsi="Times New Roman" w:cs="Times New Roman"/>
      <w:sz w:val="21"/>
    </w:rPr>
  </w:style>
  <w:style w:type="paragraph" w:customStyle="1" w:styleId="a4">
    <w:name w:val="标准文件_编号列项（三级）"/>
    <w:qFormat/>
    <w:rsid w:val="00B962FA"/>
    <w:pPr>
      <w:numPr>
        <w:ilvl w:val="2"/>
        <w:numId w:val="6"/>
      </w:numPr>
    </w:pPr>
    <w:rPr>
      <w:rFonts w:ascii="宋体" w:eastAsia="宋体" w:hAnsi="Times New Roman" w:cs="Times New Roman"/>
      <w:sz w:val="21"/>
    </w:rPr>
  </w:style>
  <w:style w:type="paragraph" w:customStyle="1" w:styleId="af">
    <w:name w:val="前言标题"/>
    <w:next w:val="af6"/>
    <w:qFormat/>
    <w:rsid w:val="00B962FA"/>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fe">
    <w:name w:val="标准文件_二级无标题"/>
    <w:basedOn w:val="af2"/>
    <w:qFormat/>
    <w:rsid w:val="00B962FA"/>
    <w:pPr>
      <w:spacing w:beforeLines="0" w:before="0" w:afterLines="0" w:after="0"/>
      <w:outlineLvl w:val="9"/>
    </w:pPr>
    <w:rPr>
      <w:rFonts w:ascii="宋体" w:eastAsia="宋体"/>
    </w:rPr>
  </w:style>
  <w:style w:type="paragraph" w:customStyle="1" w:styleId="a2">
    <w:name w:val="标准文件_字母编号列项（一级）"/>
    <w:qFormat/>
    <w:rsid w:val="00B962FA"/>
    <w:pPr>
      <w:numPr>
        <w:numId w:val="6"/>
      </w:numPr>
      <w:jc w:val="both"/>
    </w:pPr>
    <w:rPr>
      <w:rFonts w:ascii="宋体" w:eastAsia="宋体" w:hAnsi="Times New Roman" w:cs="Times New Roman"/>
      <w:sz w:val="21"/>
    </w:rPr>
  </w:style>
  <w:style w:type="paragraph" w:customStyle="1" w:styleId="afff">
    <w:name w:val="标准文件_表格"/>
    <w:basedOn w:val="affd"/>
    <w:qFormat/>
    <w:rsid w:val="00B962FA"/>
    <w:pPr>
      <w:ind w:firstLineChars="0" w:firstLine="0"/>
      <w:jc w:val="center"/>
    </w:pPr>
    <w:rPr>
      <w:sz w:val="18"/>
    </w:rPr>
  </w:style>
  <w:style w:type="character" w:customStyle="1" w:styleId="Char0">
    <w:name w:val="标准文件_段 Char"/>
    <w:link w:val="affd"/>
    <w:qFormat/>
    <w:rsid w:val="00B962FA"/>
    <w:rPr>
      <w:rFonts w:ascii="宋体" w:eastAsia="宋体" w:hAnsi="Times New Roman" w:cs="Times New Roman"/>
      <w:sz w:val="21"/>
    </w:rPr>
  </w:style>
  <w:style w:type="paragraph" w:customStyle="1" w:styleId="a5">
    <w:name w:val="标准文件_附录图标号"/>
    <w:basedOn w:val="affd"/>
    <w:next w:val="affd"/>
    <w:qFormat/>
    <w:rsid w:val="00B962FA"/>
    <w:pPr>
      <w:numPr>
        <w:numId w:val="5"/>
      </w:numPr>
      <w:tabs>
        <w:tab w:val="num" w:pos="360"/>
      </w:tabs>
      <w:spacing w:line="14" w:lineRule="exact"/>
      <w:ind w:left="0" w:firstLineChars="0" w:firstLine="0"/>
      <w:jc w:val="center"/>
    </w:pPr>
    <w:rPr>
      <w:rFonts w:ascii="黑体" w:eastAsia="黑体" w:hAnsi="黑体"/>
      <w:vanish/>
      <w:sz w:val="2"/>
      <w:szCs w:val="21"/>
    </w:rPr>
  </w:style>
  <w:style w:type="paragraph" w:customStyle="1" w:styleId="a7">
    <w:name w:val="标准文件_附录表标号"/>
    <w:basedOn w:val="affd"/>
    <w:next w:val="affd"/>
    <w:qFormat/>
    <w:rsid w:val="00B962FA"/>
    <w:pPr>
      <w:numPr>
        <w:numId w:val="4"/>
      </w:numPr>
      <w:tabs>
        <w:tab w:val="num" w:pos="360"/>
      </w:tabs>
      <w:spacing w:line="14" w:lineRule="exact"/>
      <w:ind w:left="0" w:firstLineChars="0" w:firstLine="0"/>
      <w:jc w:val="center"/>
    </w:pPr>
    <w:rPr>
      <w:rFonts w:eastAsia="黑体"/>
      <w:vanish/>
      <w:sz w:val="2"/>
    </w:rPr>
  </w:style>
  <w:style w:type="paragraph" w:customStyle="1" w:styleId="afff0">
    <w:name w:val="标准文件_附录一级无标题"/>
    <w:basedOn w:val="aa"/>
    <w:qFormat/>
    <w:rsid w:val="00B962FA"/>
    <w:pPr>
      <w:spacing w:beforeLines="0" w:before="0" w:afterLines="0" w:after="0" w:line="276" w:lineRule="auto"/>
      <w:outlineLvl w:val="9"/>
    </w:pPr>
    <w:rPr>
      <w:rFonts w:ascii="宋体" w:eastAsia="宋体"/>
    </w:rPr>
  </w:style>
  <w:style w:type="paragraph" w:customStyle="1" w:styleId="afff1">
    <w:name w:val="标准文件_附录二级无标题"/>
    <w:basedOn w:val="ab"/>
    <w:rsid w:val="00B962FA"/>
    <w:pPr>
      <w:spacing w:beforeLines="0" w:before="0" w:afterLines="0" w:after="0" w:line="276" w:lineRule="auto"/>
      <w:outlineLvl w:val="9"/>
    </w:pPr>
    <w:rPr>
      <w:rFonts w:ascii="宋体" w:eastAsia="宋体"/>
    </w:rPr>
  </w:style>
  <w:style w:type="paragraph" w:customStyle="1" w:styleId="afff2">
    <w:name w:val="标准文件_术语条一"/>
    <w:basedOn w:val="af6"/>
    <w:next w:val="affd"/>
    <w:qFormat/>
    <w:rsid w:val="00B962FA"/>
    <w:pPr>
      <w:widowControl/>
      <w:numPr>
        <w:ilvl w:val="2"/>
        <w:numId w:val="2"/>
      </w:numPr>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1200</Words>
  <Characters>6840</Characters>
  <Application>Microsoft Office Word</Application>
  <DocSecurity>0</DocSecurity>
  <Lines>57</Lines>
  <Paragraphs>16</Paragraphs>
  <ScaleCrop>false</ScaleCrop>
  <Company>Lenovo</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61</cp:revision>
  <dcterms:created xsi:type="dcterms:W3CDTF">2019-06-25T01:51:00Z</dcterms:created>
  <dcterms:modified xsi:type="dcterms:W3CDTF">2026-04-09T05:47:00Z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