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1643CD" w:rsidRDefault="001643CD">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6B77C234" w14:textId="760818F5" w:rsidR="00590800"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381E1A">
        <w:rPr>
          <w:rFonts w:ascii="仿宋" w:eastAsia="仿宋" w:hAnsi="仿宋" w:cs="仿宋" w:hint="eastAsia"/>
          <w:b/>
          <w:bCs/>
          <w:sz w:val="32"/>
          <w:szCs w:val="32"/>
        </w:rPr>
        <w:t>农业绿色生产投入品定额使用技术规范</w:t>
      </w:r>
      <w:r>
        <w:rPr>
          <w:rFonts w:ascii="仿宋" w:eastAsia="仿宋" w:hAnsi="仿宋" w:cs="仿宋" w:hint="eastAsia"/>
          <w:b/>
          <w:bCs/>
          <w:sz w:val="32"/>
          <w:szCs w:val="32"/>
        </w:rPr>
        <w:t>》团体标准</w:t>
      </w:r>
    </w:p>
    <w:p w14:paraId="5FE0F97F" w14:textId="3589409D" w:rsidR="00590800" w:rsidRDefault="000C7EA1"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征求意见</w:t>
      </w:r>
      <w:r w:rsidR="00590800">
        <w:rPr>
          <w:rFonts w:ascii="仿宋" w:eastAsia="仿宋" w:hAnsi="仿宋" w:cs="仿宋" w:hint="eastAsia"/>
          <w:b/>
          <w:bCs/>
          <w:sz w:val="32"/>
          <w:szCs w:val="32"/>
        </w:rPr>
        <w:t>稿</w:t>
      </w:r>
    </w:p>
    <w:p w14:paraId="705BFDC1" w14:textId="7478F878" w:rsidR="001643CD"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编制说明</w:t>
      </w:r>
    </w:p>
    <w:p w14:paraId="2A8AD7D5" w14:textId="77777777" w:rsidR="001643CD"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6D509647" w:rsidR="001643CD"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w:t>
      </w:r>
      <w:r w:rsidR="006134ED">
        <w:rPr>
          <w:rFonts w:ascii="仿宋" w:eastAsia="仿宋" w:hAnsi="仿宋" w:cs="仿宋" w:hint="eastAsia"/>
          <w:szCs w:val="21"/>
        </w:rPr>
        <w:t>6</w:t>
      </w:r>
      <w:r>
        <w:rPr>
          <w:rFonts w:ascii="仿宋" w:eastAsia="仿宋" w:hAnsi="仿宋" w:cs="仿宋" w:hint="eastAsia"/>
          <w:szCs w:val="21"/>
        </w:rPr>
        <w:t>年</w:t>
      </w:r>
      <w:r w:rsidR="006134ED">
        <w:rPr>
          <w:rFonts w:ascii="仿宋" w:eastAsia="仿宋" w:hAnsi="仿宋" w:cs="仿宋" w:hint="eastAsia"/>
          <w:szCs w:val="21"/>
        </w:rPr>
        <w:t>4</w:t>
      </w:r>
      <w:r>
        <w:rPr>
          <w:rFonts w:ascii="仿宋" w:eastAsia="仿宋" w:hAnsi="仿宋" w:cs="仿宋" w:hint="eastAsia"/>
          <w:szCs w:val="21"/>
        </w:rPr>
        <w:t>月，中国西部开发促进会发布《</w:t>
      </w:r>
      <w:r w:rsidR="00381E1A">
        <w:rPr>
          <w:rFonts w:ascii="仿宋" w:eastAsia="仿宋" w:hAnsi="仿宋" w:cs="仿宋" w:hint="eastAsia"/>
          <w:szCs w:val="21"/>
        </w:rPr>
        <w:t>农业绿色生产投入品定额使用技术规范</w:t>
      </w:r>
      <w:r>
        <w:rPr>
          <w:rFonts w:ascii="仿宋" w:eastAsia="仿宋" w:hAnsi="仿宋" w:cs="仿宋" w:hint="eastAsia"/>
          <w:szCs w:val="21"/>
        </w:rPr>
        <w:t>》团体标准立项通知,开展团体标准的编制工作。</w:t>
      </w:r>
    </w:p>
    <w:p w14:paraId="489FDD61" w14:textId="77777777" w:rsidR="001643CD"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1643CD" w:rsidRDefault="00000000">
      <w:pPr>
        <w:pStyle w:val="affb"/>
        <w:ind w:firstLineChars="0" w:firstLine="0"/>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0D0D5F7A" w:rsidR="001643CD" w:rsidRDefault="006E5B75">
      <w:pPr>
        <w:pStyle w:val="affc"/>
        <w:widowControl/>
        <w:spacing w:beforeAutospacing="0" w:afterAutospacing="0"/>
        <w:ind w:firstLineChars="200" w:firstLine="420"/>
        <w:jc w:val="both"/>
        <w:rPr>
          <w:rFonts w:ascii="仿宋" w:eastAsia="仿宋" w:hAnsi="仿宋" w:cs="仿宋" w:hint="eastAsia"/>
          <w:sz w:val="21"/>
          <w:szCs w:val="21"/>
        </w:rPr>
      </w:pPr>
      <w:r w:rsidRPr="006E5B75">
        <w:rPr>
          <w:rFonts w:ascii="仿宋" w:eastAsia="仿宋" w:hAnsi="仿宋" w:cs="仿宋" w:hint="eastAsia"/>
          <w:sz w:val="21"/>
          <w:szCs w:val="21"/>
        </w:rPr>
        <w:t>本标准编制的核心目的在于，针对当前农业生产中化肥农药过量施用、农膜残留污染、水资源浪费、种子播种粗放、投入品使用无统一定额、减量增效技术落地难等突出问题，建立一套科学、系统、可落地的农业绿色生产投入品定额使用技术体系。通过明确基本规定、化肥、农药、农膜、种子、灌溉水定额使用技术、主要作物投入品定额、使用监测与评价等全流程技术要求，为农业生产经营主体提供统一的技术指引，解决用量无标准、施用不规范、减量无依据、监管无抓手等问题，全面提升农业绿色生产规范化、标准化、减量化水平</w:t>
      </w:r>
      <w:r w:rsidR="00050238">
        <w:rPr>
          <w:rFonts w:ascii="仿宋" w:eastAsia="仿宋" w:hAnsi="仿宋" w:cs="仿宋" w:hint="eastAsia"/>
          <w:sz w:val="21"/>
          <w:szCs w:val="21"/>
        </w:rPr>
        <w:t>。</w:t>
      </w:r>
    </w:p>
    <w:p w14:paraId="38381B68"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3E4116C4" w:rsidR="001643CD" w:rsidRDefault="006E5B75">
      <w:pPr>
        <w:pStyle w:val="affc"/>
        <w:widowControl/>
        <w:spacing w:beforeAutospacing="0" w:afterAutospacing="0"/>
        <w:ind w:firstLineChars="200" w:firstLine="420"/>
        <w:jc w:val="both"/>
        <w:rPr>
          <w:rFonts w:ascii="仿宋" w:eastAsia="仿宋" w:hAnsi="仿宋" w:cs="仿宋" w:hint="eastAsia"/>
          <w:sz w:val="21"/>
          <w:szCs w:val="21"/>
        </w:rPr>
      </w:pPr>
      <w:r w:rsidRPr="006E5B75">
        <w:rPr>
          <w:rFonts w:ascii="仿宋" w:eastAsia="仿宋" w:hAnsi="仿宋" w:cs="仿宋" w:hint="eastAsia"/>
          <w:sz w:val="21"/>
          <w:szCs w:val="21"/>
        </w:rPr>
        <w:t>本标准的制定与实施具有重要的行业与社会意义。在行业层面，填补了国内农业绿色生产投入品定额使用领域的团体标准空白，统一了农业投入品减量增效技术口径，实现从生产投入到监管评价全流程标准衔接。在技术层面，规范了各类投入品定额、施用方式、减量技术、监测评价要求，提升资源利用效率与农产品质量安全水平。在产业层面，推动农业向绿色化、减量化、高效化、生态化转型，有效防控农业面源污染，助力乡村振兴与农业高质量发展</w:t>
      </w:r>
      <w:r w:rsidR="00050238">
        <w:rPr>
          <w:rFonts w:ascii="仿宋" w:eastAsia="仿宋" w:hAnsi="仿宋" w:cs="仿宋" w:hint="eastAsia"/>
          <w:sz w:val="21"/>
          <w:szCs w:val="21"/>
        </w:rPr>
        <w:t>。</w:t>
      </w:r>
    </w:p>
    <w:p w14:paraId="1A6555C0"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1448D036" w14:textId="7911B6EB" w:rsidR="001643CD" w:rsidRDefault="006E5B75">
      <w:pPr>
        <w:pStyle w:val="affc"/>
        <w:widowControl/>
        <w:spacing w:beforeAutospacing="0" w:afterAutospacing="0"/>
        <w:ind w:firstLineChars="200" w:firstLine="420"/>
        <w:jc w:val="both"/>
        <w:rPr>
          <w:rFonts w:ascii="仿宋" w:eastAsia="仿宋" w:hAnsi="仿宋" w:cs="仿宋" w:hint="eastAsia"/>
          <w:sz w:val="21"/>
          <w:szCs w:val="21"/>
        </w:rPr>
      </w:pPr>
      <w:r w:rsidRPr="006E5B75">
        <w:rPr>
          <w:rFonts w:ascii="仿宋" w:eastAsia="仿宋" w:hAnsi="仿宋" w:cs="仿宋" w:hint="eastAsia"/>
          <w:sz w:val="21"/>
          <w:szCs w:val="21"/>
        </w:rPr>
        <w:t>随着国家绿色农业、农业面源污染防治、化肥农药零增长行动、农膜回收行动等政策深入推进，农业绿色生产已成为现代农业发展的核心方向。我国农业生产投入品使用量大、面广，但目前行业内缺乏针对性的农业绿色生产投入品定额使用专项技术规范，不同地区、不同作物投入品施用差异大，普遍存在超量施用、粗放管理、利用率偏低、污染风险高等问题。传统经验式、随意化的投入品使用模式已无法适配绿色生态、安全高效、资源节约的发展需求，因此，亟需制定本标准，统一定额指标、规范施用技术、明确减量路径、强化监测评价，保障绿色生产技术在农业领域规范化、规模化应用</w:t>
      </w:r>
      <w:r w:rsidR="00050238">
        <w:rPr>
          <w:rFonts w:ascii="仿宋" w:eastAsia="仿宋" w:hAnsi="仿宋" w:cs="仿宋" w:hint="eastAsia"/>
          <w:sz w:val="21"/>
          <w:szCs w:val="21"/>
        </w:rPr>
        <w:t>。</w:t>
      </w:r>
    </w:p>
    <w:p w14:paraId="62348F23" w14:textId="77777777" w:rsidR="001643CD"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1643CD"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7F66A5C3" w:rsidR="001643CD" w:rsidRDefault="00000000">
      <w:pPr>
        <w:pStyle w:val="affb"/>
        <w:rPr>
          <w:rFonts w:ascii="仿宋" w:eastAsia="仿宋" w:hAnsi="仿宋" w:cs="仿宋" w:hint="eastAsia"/>
          <w:szCs w:val="21"/>
        </w:rPr>
      </w:pPr>
      <w:r>
        <w:rPr>
          <w:rFonts w:ascii="仿宋" w:eastAsia="仿宋" w:hAnsi="仿宋" w:cs="仿宋" w:hint="eastAsia"/>
          <w:szCs w:val="21"/>
        </w:rPr>
        <w:t>本文件由</w:t>
      </w:r>
      <w:r w:rsidR="006E5B75" w:rsidRPr="006E5B75">
        <w:rPr>
          <w:rFonts w:ascii="仿宋" w:eastAsia="仿宋" w:hAnsi="仿宋" w:cs="仿宋" w:hint="eastAsia"/>
          <w:szCs w:val="21"/>
        </w:rPr>
        <w:t>任丘市农业农村局</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lastRenderedPageBreak/>
        <w:t>2.主要工作成员及其所做工作</w:t>
      </w:r>
    </w:p>
    <w:p w14:paraId="4F06396F" w14:textId="0CFB1D3D" w:rsidR="001643CD"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1643CD" w:rsidRDefault="001643CD">
      <w:pPr>
        <w:pStyle w:val="affb"/>
        <w:ind w:firstLineChars="0" w:firstLine="0"/>
        <w:jc w:val="center"/>
        <w:rPr>
          <w:rFonts w:ascii="仿宋" w:eastAsia="仿宋" w:hAnsi="仿宋" w:cs="仿宋" w:hint="eastAsia"/>
          <w:szCs w:val="21"/>
        </w:rPr>
      </w:pPr>
    </w:p>
    <w:p w14:paraId="6CA2A8E8"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1643CD" w14:paraId="662D2DF3" w14:textId="77777777">
        <w:tc>
          <w:tcPr>
            <w:tcW w:w="4512" w:type="dxa"/>
          </w:tcPr>
          <w:p w14:paraId="440D9251"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1643CD" w14:paraId="61429C10" w14:textId="77777777">
        <w:trPr>
          <w:trHeight w:val="1180"/>
        </w:trPr>
        <w:tc>
          <w:tcPr>
            <w:tcW w:w="4512" w:type="dxa"/>
          </w:tcPr>
          <w:p w14:paraId="355EAAFE" w14:textId="2BD06AED" w:rsidR="001643CD" w:rsidRDefault="006E5B75">
            <w:pPr>
              <w:pStyle w:val="affb"/>
              <w:ind w:firstLineChars="0" w:firstLine="0"/>
              <w:rPr>
                <w:rFonts w:ascii="仿宋" w:eastAsia="仿宋" w:hAnsi="仿宋" w:cs="仿宋" w:hint="eastAsia"/>
                <w:szCs w:val="21"/>
                <w:highlight w:val="yellow"/>
              </w:rPr>
            </w:pPr>
            <w:r w:rsidRPr="006E5B75">
              <w:rPr>
                <w:rFonts w:ascii="仿宋" w:eastAsia="仿宋" w:hAnsi="仿宋" w:cs="仿宋" w:hint="eastAsia"/>
                <w:szCs w:val="21"/>
              </w:rPr>
              <w:t>任丘市农业农村局</w:t>
            </w:r>
            <w:r w:rsidR="00050238">
              <w:rPr>
                <w:rFonts w:ascii="仿宋" w:eastAsia="仿宋" w:hAnsi="仿宋" w:cs="仿宋" w:hint="eastAsia"/>
                <w:szCs w:val="21"/>
              </w:rPr>
              <w:t>等</w:t>
            </w:r>
          </w:p>
        </w:tc>
        <w:tc>
          <w:tcPr>
            <w:tcW w:w="5342" w:type="dxa"/>
          </w:tcPr>
          <w:p w14:paraId="50D897F4"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标准编制小组在编制标准过程中，以国家、行业现有的标准为制订基础，结合我国目前的行业现状，按照GB/T1.1—2020《标准化工作导则第1部分：标准化文件的结构和起草规则》的规定及相关要求编制。</w:t>
      </w:r>
    </w:p>
    <w:p w14:paraId="1C9A70ED"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5.1标准调研</w:t>
      </w:r>
    </w:p>
    <w:p w14:paraId="4CB988F7" w14:textId="5782104E"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系统梳理国内外农业绿色生产、化肥农药减量、农膜管控、节水灌溉、种子精量播种相关的国家标准、行业标准、地方标准及团体标准，深入调研粮食作物、经济作物、蔬菜、果树等大田与设施农业投入品使用现状、减量技术、监测评价与管控需求。通过实地考察典型种植基地、开展行业问卷调研、组织专家研讨，重点分析当前农业投入品定额缺失、施用粗放、减量不足、监管薄弱、污染风险等核心问题，明确标准化需求，形成详实的调研分析报告，为标准编制奠定坚实基础</w:t>
      </w:r>
      <w:r w:rsidR="00050238">
        <w:rPr>
          <w:rFonts w:ascii="仿宋" w:eastAsia="仿宋" w:hAnsi="仿宋" w:cs="仿宋" w:hint="eastAsia"/>
          <w:szCs w:val="21"/>
        </w:rPr>
        <w:t>。</w:t>
      </w:r>
    </w:p>
    <w:p w14:paraId="04940C14"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5.2.标准立项</w:t>
      </w:r>
    </w:p>
    <w:p w14:paraId="5F7AB474" w14:textId="1E37ACD8"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基于调研结论，明确《农业绿色生产投入品定额使用技术规范》的编制范围、核心技术内容及预期目标，重点规定基本规定、化肥、农药、农膜、种子、灌溉水定额使用技术、主要作物投入品定额、使用监测与评价等内容。据此编制立项申请书及论证材料，提交团体标准管理机构，经审核通过后正式立项</w:t>
      </w:r>
      <w:r w:rsidR="00050238">
        <w:rPr>
          <w:rFonts w:ascii="仿宋" w:eastAsia="仿宋" w:hAnsi="仿宋" w:cs="仿宋" w:hint="eastAsia"/>
          <w:szCs w:val="21"/>
        </w:rPr>
        <w:t>。</w:t>
      </w:r>
    </w:p>
    <w:p w14:paraId="72A91C8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5.3形成标准草案</w:t>
      </w:r>
    </w:p>
    <w:p w14:paraId="19C09E25" w14:textId="1AD4EBB6"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组建由农技推广、土肥植保、节水农业、科研院所、种植主体专家构成的标准起草工作组，充分吸收调研成果与生产实践经验，按照 GB/T 1.1《标准化工作导则》搭建标准框架，逐章细化技术条款，完成标准草案初稿并组织内部多轮研讨修改完善</w:t>
      </w:r>
      <w:r w:rsidR="00050238">
        <w:rPr>
          <w:rFonts w:ascii="仿宋" w:eastAsia="仿宋" w:hAnsi="仿宋" w:cs="仿宋" w:hint="eastAsia"/>
          <w:szCs w:val="21"/>
        </w:rPr>
        <w:t>。</w:t>
      </w:r>
    </w:p>
    <w:p w14:paraId="539B968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5.4征求意见阶段</w:t>
      </w:r>
    </w:p>
    <w:p w14:paraId="475FFDA1" w14:textId="6D3769B4"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通过行业协会官网、标准化平台及定向发送等方式，向农技推广部门、科研院所、种植合作社、农资企业、绿色农产品生产企业、检测机构等广泛征求意见，全面梳理汇总反馈建议，对标准草案进行针对性修改完善，形成征求意见稿</w:t>
      </w:r>
      <w:r w:rsidR="00050238">
        <w:rPr>
          <w:rFonts w:ascii="仿宋" w:eastAsia="仿宋" w:hAnsi="仿宋" w:cs="仿宋" w:hint="eastAsia"/>
          <w:szCs w:val="21"/>
        </w:rPr>
        <w:t>。</w:t>
      </w:r>
    </w:p>
    <w:p w14:paraId="2DBA691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5.5标准送审</w:t>
      </w:r>
    </w:p>
    <w:p w14:paraId="217C9150"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将征求意见稿及编制说明、意见汇总处理表等材料报送团体标准审查委员会，组织专家进行会议审查或函审。根据审查意见进一步修改完善，形成送审稿。</w:t>
      </w:r>
    </w:p>
    <w:p w14:paraId="6BA8A9F2"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6DC6089C" w14:textId="77777777" w:rsidR="001643CD" w:rsidRDefault="00000000">
      <w:pPr>
        <w:pStyle w:val="affb"/>
        <w:rPr>
          <w:rFonts w:ascii="仿宋" w:eastAsia="仿宋" w:hAnsi="仿宋" w:cs="仿宋" w:hint="eastAsia"/>
          <w:szCs w:val="21"/>
        </w:rPr>
      </w:pPr>
      <w:r>
        <w:rPr>
          <w:rFonts w:ascii="仿宋" w:eastAsia="仿宋" w:hAnsi="仿宋" w:cs="仿宋"/>
          <w:szCs w:val="21"/>
        </w:rPr>
        <w:t>完善送审稿及相关材料，按规定流程报送团体标准管理机构。经审核确认符合发布要求后，办理报批手续，确定标准发布编号、实施日期并正式发布。</w:t>
      </w:r>
    </w:p>
    <w:p w14:paraId="0431BCCE"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1.试验验证分析</w:t>
      </w:r>
    </w:p>
    <w:p w14:paraId="601424B3" w14:textId="0A231E4C"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本标准所确定的投入品定额、施用技术、减量增效、监测评价等技术内容，均结合多个粮食、经济、蔬菜、果树作物绿色生产项目开展实践验证。通过不同区域、不同地力、不同作物的实际应用，验证了标</w:t>
      </w:r>
      <w:r w:rsidRPr="006E5B75">
        <w:rPr>
          <w:rFonts w:ascii="仿宋" w:eastAsia="仿宋" w:hAnsi="仿宋" w:cs="仿宋" w:hint="eastAsia"/>
          <w:szCs w:val="21"/>
        </w:rPr>
        <w:lastRenderedPageBreak/>
        <w:t>准各项定额指标、技术要求、管控措施的合理性、适用性与可操作性，投入品减量效果、作物产量品质、生态环境影响均能满足农业绿色生产实际需求，为标准编制提供了充分的实践支撑</w:t>
      </w:r>
      <w:r w:rsidR="00050238">
        <w:rPr>
          <w:rFonts w:ascii="仿宋" w:eastAsia="仿宋" w:hAnsi="仿宋" w:cs="仿宋" w:hint="eastAsia"/>
          <w:szCs w:val="21"/>
        </w:rPr>
        <w:t>。</w:t>
      </w:r>
    </w:p>
    <w:p w14:paraId="061F2F9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6E29D813" w14:textId="6DD054FA"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本标准系统整合了国内外农业绿色生产投入品管控、减量增效、绿色防控、测土配方、节水灌溉等最新成果，结合我国农业生产特点与绿色发展需求，构建了完整的农业绿色生产投入品定额使用全流程技术体系。标准内容覆盖基本规定、化肥、农药、农膜、种子、灌溉水定额使用、主要作物定额、监测与评价全链条关键环节，明确了各项技术要求与操作规范，解决了当前农业绿色生产投入品使用无统一专项规范、定额不清晰、技术不统一的问题，填补了国内农业绿色生产投入品定额使用领域的团体标准空白</w:t>
      </w:r>
      <w:r w:rsidR="00050238">
        <w:rPr>
          <w:rFonts w:ascii="仿宋" w:eastAsia="仿宋" w:hAnsi="仿宋" w:cs="仿宋" w:hint="eastAsia"/>
          <w:szCs w:val="21"/>
        </w:rPr>
        <w:t>。</w:t>
      </w:r>
    </w:p>
    <w:p w14:paraId="12ECC89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国内情况说明</w:t>
      </w:r>
    </w:p>
    <w:p w14:paraId="64D27F7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3.技术经济论证</w:t>
      </w:r>
    </w:p>
    <w:p w14:paraId="2BE8E6AE" w14:textId="46DBA926"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本标准构建的技术体系符合农业绿色安全、减量增效、高效节约的核心要求，技术内容贴合生产实际，具备良好的可操作性与推广性。通过统一投入品定额、规范施用技术、推广减量模式，可有效降低化肥、农药、农膜、水资源用量，减少农资采购成本，提升农产品品质与附加值，提高农业生产综合效益。标准实施的技术条件与成本投入符合行业整体发展水平，具备显著的技术合理性与经济可行性</w:t>
      </w:r>
      <w:r w:rsidR="00050238">
        <w:rPr>
          <w:rFonts w:ascii="仿宋" w:eastAsia="仿宋" w:hAnsi="仿宋" w:cs="仿宋" w:hint="eastAsia"/>
          <w:szCs w:val="21"/>
        </w:rPr>
        <w:t>。</w:t>
      </w:r>
    </w:p>
    <w:p w14:paraId="1A9C349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4.预期的经济效益</w:t>
      </w:r>
    </w:p>
    <w:p w14:paraId="6D96D5DA" w14:textId="6EEA2822"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本标准实施后，可规范农业绿色生产投入品定额使用，减少过量浪费，降低农资投入成本；通过精准施用、减量增效，提升作物产量与品质，提高优质农产品溢价收益；减少因过量施用造成的肥害药害、减产损耗与后期治理投入，提升农业生产综合经济效益，推动农业向节本增效、绿色高效方向转型发展</w:t>
      </w:r>
      <w:r w:rsidR="00050238">
        <w:rPr>
          <w:rFonts w:ascii="仿宋" w:eastAsia="仿宋" w:hAnsi="仿宋" w:cs="仿宋" w:hint="eastAsia"/>
          <w:szCs w:val="21"/>
        </w:rPr>
        <w:t>。</w:t>
      </w:r>
    </w:p>
    <w:p w14:paraId="4F98292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5.社会效益和生态效益</w:t>
      </w:r>
    </w:p>
    <w:p w14:paraId="62991666" w14:textId="2FE62D41" w:rsidR="001643CD" w:rsidRDefault="006E5B75">
      <w:pPr>
        <w:pStyle w:val="affb"/>
        <w:rPr>
          <w:rFonts w:ascii="仿宋" w:eastAsia="仿宋" w:hAnsi="仿宋" w:cs="仿宋" w:hint="eastAsia"/>
          <w:szCs w:val="21"/>
        </w:rPr>
      </w:pPr>
      <w:r w:rsidRPr="006E5B75">
        <w:rPr>
          <w:rFonts w:ascii="仿宋" w:eastAsia="仿宋" w:hAnsi="仿宋" w:cs="仿宋" w:hint="eastAsia"/>
          <w:szCs w:val="21"/>
        </w:rPr>
        <w:t>社会效益方面，本标准可推动绿色生产技术在农业领域规模化规范化应用，提升农产品质量安全水平，保障公众健康；带动绿色农资、农技服务、绿色农产品产业链协同发展，促进农业增效、农民增收，助力乡村振兴。生态效益方面，通过化肥农药减量、农膜减量与回收、节水灌溉、精准施用等措施，有效降低农业面源污染风险，减少土壤与水体污染，降低农膜残留，节约水资源，改善农业生态环境，推动农业生态可持续与绿色低碳发展</w:t>
      </w:r>
      <w:r w:rsidR="00050238">
        <w:rPr>
          <w:rFonts w:ascii="仿宋" w:eastAsia="仿宋" w:hAnsi="仿宋" w:cs="仿宋" w:hint="eastAsia"/>
          <w:szCs w:val="21"/>
        </w:rPr>
        <w:t>。</w:t>
      </w:r>
    </w:p>
    <w:p w14:paraId="10A20A3F"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4CF358BD" w14:textId="3144D1B1"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1.范围</w:t>
      </w:r>
    </w:p>
    <w:p w14:paraId="2EA01D4F"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明确本标准适用于粮食作物、经济作物、蔬菜作物、果树作物等大田与设施农业绿色生产过程中化肥、农药、农膜、种子、灌溉用水的定额使用、减量增效与监督管理。</w:t>
      </w:r>
    </w:p>
    <w:p w14:paraId="4F912096" w14:textId="2045CFE2"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2.规范性引用文件</w:t>
      </w:r>
    </w:p>
    <w:p w14:paraId="0D9BFFE0" w14:textId="3A828BF2"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列出 GB/T 8321.10、GB/T 13735、NY/T 1119 等现行国家/行业标准。</w:t>
      </w:r>
    </w:p>
    <w:p w14:paraId="34B3DEA3" w14:textId="2B3B62B0"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3.术语和定义</w:t>
      </w:r>
    </w:p>
    <w:p w14:paraId="7370D7C5"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对农业绿色生产投入品、投入品定额、减量增效、测土配方施肥、绿色防控、灌溉定额等核心术语作出明确定义。</w:t>
      </w:r>
    </w:p>
    <w:p w14:paraId="4B12A87C" w14:textId="1EBBF1E3"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4.基本规定</w:t>
      </w:r>
    </w:p>
    <w:p w14:paraId="25D68A12"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明确一般规定、投入品使用原则、定额制定依据、台账管理、人员要求、区域化定额调整、绿色生产准入要求。</w:t>
      </w:r>
    </w:p>
    <w:p w14:paraId="327B9308" w14:textId="61E4B9E2"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5.化肥定额使用技术</w:t>
      </w:r>
    </w:p>
    <w:p w14:paraId="49C4601D"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规定土壤养分诊断、化肥限量标准、减量增效技术、分期施用定额、施肥方式控制。</w:t>
      </w:r>
    </w:p>
    <w:p w14:paraId="0DA819F2" w14:textId="2D599CE5"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6.农药定额使用技术</w:t>
      </w:r>
    </w:p>
    <w:p w14:paraId="04F8117D"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明确病虫草害监测、农药限量标准、减量增效技术、施药时期控制、施药器械要求。</w:t>
      </w:r>
    </w:p>
    <w:p w14:paraId="3BC3A135" w14:textId="4B483D04"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7.农膜定额使用技术</w:t>
      </w:r>
    </w:p>
    <w:p w14:paraId="5B0C3BF4"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规范农膜选用、覆膜定额、减量替代技术。</w:t>
      </w:r>
    </w:p>
    <w:p w14:paraId="7F64E756" w14:textId="412BE04A"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8.种子定额使用技术</w:t>
      </w:r>
    </w:p>
    <w:p w14:paraId="5D0BDD6E"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明确品种选择、播种量定额、精量播种技术。</w:t>
      </w:r>
    </w:p>
    <w:p w14:paraId="2B3AA34C" w14:textId="111A834D"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lastRenderedPageBreak/>
        <w:t>9.灌溉定额使用技术</w:t>
      </w:r>
    </w:p>
    <w:p w14:paraId="03976864"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规定作物需水量、灌溉定额、节水灌溉技术。</w:t>
      </w:r>
    </w:p>
    <w:p w14:paraId="628C6645" w14:textId="51F07738"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10.主要作物投入品定额</w:t>
      </w:r>
    </w:p>
    <w:p w14:paraId="3F3C49C5" w14:textId="77777777"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给出粮食作物、经济作物、蔬菜作物、果树作物投入品定额要求。</w:t>
      </w:r>
    </w:p>
    <w:p w14:paraId="06E6E934" w14:textId="4FECFE9C" w:rsidR="006E5B75" w:rsidRPr="006E5B75" w:rsidRDefault="006E5B75" w:rsidP="006E5B75">
      <w:pPr>
        <w:pStyle w:val="affffffff"/>
        <w:adjustRightInd w:val="0"/>
        <w:snapToGrid w:val="0"/>
        <w:ind w:firstLine="420"/>
        <w:rPr>
          <w:rFonts w:ascii="仿宋" w:eastAsia="仿宋" w:hAnsi="仿宋" w:cs="仿宋" w:hint="eastAsia"/>
          <w:szCs w:val="21"/>
        </w:rPr>
      </w:pPr>
      <w:r w:rsidRPr="006E5B75">
        <w:rPr>
          <w:rFonts w:ascii="仿宋" w:eastAsia="仿宋" w:hAnsi="仿宋" w:cs="仿宋" w:hint="eastAsia"/>
          <w:szCs w:val="21"/>
        </w:rPr>
        <w:t>11.投入品使用监测与评价</w:t>
      </w:r>
    </w:p>
    <w:p w14:paraId="6397AAC7" w14:textId="3AF12388" w:rsidR="001643CD" w:rsidRDefault="006E5B75" w:rsidP="006E5B75">
      <w:pPr>
        <w:pStyle w:val="affffffff"/>
        <w:adjustRightInd w:val="0"/>
        <w:snapToGrid w:val="0"/>
        <w:ind w:firstLine="420"/>
        <w:rPr>
          <w:rFonts w:ascii="仿宋" w:eastAsia="仿宋" w:hAnsi="仿宋" w:cs="仿宋" w:hint="eastAsia"/>
          <w:b/>
          <w:bCs/>
          <w:szCs w:val="21"/>
        </w:rPr>
      </w:pPr>
      <w:r w:rsidRPr="006E5B75">
        <w:rPr>
          <w:rFonts w:ascii="仿宋" w:eastAsia="仿宋" w:hAnsi="仿宋" w:cs="仿宋" w:hint="eastAsia"/>
          <w:szCs w:val="21"/>
        </w:rPr>
        <w:t>明确使用量监测、环境效应评价、超定额处置</w:t>
      </w:r>
      <w:r w:rsidR="00FF4001">
        <w:rPr>
          <w:rFonts w:ascii="仿宋" w:eastAsia="仿宋" w:hAnsi="仿宋" w:cs="仿宋" w:hint="eastAsia"/>
          <w:szCs w:val="21"/>
        </w:rPr>
        <w:t>。</w:t>
      </w:r>
    </w:p>
    <w:p w14:paraId="2545AB1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1643CD" w:rsidRDefault="001643CD">
      <w:pPr>
        <w:snapToGrid w:val="0"/>
        <w:ind w:firstLineChars="200" w:firstLine="420"/>
        <w:rPr>
          <w:rFonts w:ascii="仿宋" w:eastAsia="仿宋" w:hAnsi="仿宋" w:cs="仿宋" w:hint="eastAsia"/>
          <w:kern w:val="0"/>
          <w:szCs w:val="21"/>
        </w:rPr>
      </w:pPr>
    </w:p>
    <w:p w14:paraId="180512C4" w14:textId="77777777"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657D73"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6134ED">
        <w:rPr>
          <w:rFonts w:ascii="仿宋" w:eastAsia="仿宋" w:hAnsi="仿宋" w:cs="仿宋" w:hint="eastAsia"/>
          <w:kern w:val="0"/>
          <w:szCs w:val="21"/>
        </w:rPr>
        <w:t>6</w:t>
      </w:r>
      <w:r>
        <w:rPr>
          <w:rFonts w:ascii="仿宋" w:eastAsia="仿宋" w:hAnsi="仿宋" w:cs="仿宋" w:hint="eastAsia"/>
          <w:kern w:val="0"/>
          <w:szCs w:val="21"/>
        </w:rPr>
        <w:t>年</w:t>
      </w:r>
      <w:r w:rsidR="006134ED">
        <w:rPr>
          <w:rFonts w:ascii="仿宋" w:eastAsia="仿宋" w:hAnsi="仿宋" w:cs="仿宋" w:hint="eastAsia"/>
          <w:kern w:val="0"/>
          <w:szCs w:val="21"/>
        </w:rPr>
        <w:t>4</w:t>
      </w:r>
      <w:r>
        <w:rPr>
          <w:rFonts w:ascii="仿宋" w:eastAsia="仿宋" w:hAnsi="仿宋" w:cs="仿宋" w:hint="eastAsia"/>
          <w:kern w:val="0"/>
          <w:szCs w:val="21"/>
        </w:rPr>
        <w:t>月</w:t>
      </w:r>
    </w:p>
    <w:sectPr w:rsidR="001643CD">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19CD1" w14:textId="77777777" w:rsidR="00813016" w:rsidRDefault="00813016">
      <w:r>
        <w:separator/>
      </w:r>
    </w:p>
  </w:endnote>
  <w:endnote w:type="continuationSeparator" w:id="0">
    <w:p w14:paraId="2E5A1922" w14:textId="77777777" w:rsidR="00813016" w:rsidRDefault="0081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1643CD"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1643CD"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524E" w14:textId="77777777" w:rsidR="00813016" w:rsidRDefault="00813016">
      <w:r>
        <w:separator/>
      </w:r>
    </w:p>
  </w:footnote>
  <w:footnote w:type="continuationSeparator" w:id="0">
    <w:p w14:paraId="072DC871" w14:textId="77777777" w:rsidR="00813016" w:rsidRDefault="00813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1643CD" w:rsidRDefault="001643CD">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92580986">
    <w:abstractNumId w:val="4"/>
  </w:num>
  <w:num w:numId="2" w16cid:durableId="1752387998">
    <w:abstractNumId w:val="1"/>
  </w:num>
  <w:num w:numId="3" w16cid:durableId="1125612097">
    <w:abstractNumId w:val="11"/>
  </w:num>
  <w:num w:numId="4" w16cid:durableId="1706904822">
    <w:abstractNumId w:val="13"/>
  </w:num>
  <w:num w:numId="5" w16cid:durableId="1967589323">
    <w:abstractNumId w:val="2"/>
  </w:num>
  <w:num w:numId="6" w16cid:durableId="963930418">
    <w:abstractNumId w:val="9"/>
  </w:num>
  <w:num w:numId="7" w16cid:durableId="1535383115">
    <w:abstractNumId w:val="0"/>
  </w:num>
  <w:num w:numId="8" w16cid:durableId="2139912329">
    <w:abstractNumId w:val="3"/>
  </w:num>
  <w:num w:numId="9" w16cid:durableId="201208467">
    <w:abstractNumId w:val="5"/>
  </w:num>
  <w:num w:numId="10" w16cid:durableId="524445957">
    <w:abstractNumId w:val="12"/>
  </w:num>
  <w:num w:numId="11" w16cid:durableId="422453793">
    <w:abstractNumId w:val="7"/>
  </w:num>
  <w:num w:numId="12" w16cid:durableId="300498725">
    <w:abstractNumId w:val="10"/>
  </w:num>
  <w:num w:numId="13" w16cid:durableId="1676809792">
    <w:abstractNumId w:val="6"/>
  </w:num>
  <w:num w:numId="14" w16cid:durableId="1075977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mirrorMargins/>
  <w:bordersDoNotSurroundHeader/>
  <w:bordersDoNotSurroundFooter/>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6C00"/>
    <w:rsid w:val="000379F1"/>
    <w:rsid w:val="00037C56"/>
    <w:rsid w:val="00041631"/>
    <w:rsid w:val="00042604"/>
    <w:rsid w:val="00043436"/>
    <w:rsid w:val="000441C8"/>
    <w:rsid w:val="000448A3"/>
    <w:rsid w:val="00045A75"/>
    <w:rsid w:val="00045D3D"/>
    <w:rsid w:val="00050238"/>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C7EA1"/>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0F6"/>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3C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42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3128"/>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3F8"/>
    <w:rsid w:val="00316BAD"/>
    <w:rsid w:val="00317009"/>
    <w:rsid w:val="00320AF9"/>
    <w:rsid w:val="00321CF6"/>
    <w:rsid w:val="0032241D"/>
    <w:rsid w:val="0032293F"/>
    <w:rsid w:val="00325135"/>
    <w:rsid w:val="00325926"/>
    <w:rsid w:val="00325952"/>
    <w:rsid w:val="00327A8A"/>
    <w:rsid w:val="00330584"/>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561B"/>
    <w:rsid w:val="00377178"/>
    <w:rsid w:val="00377703"/>
    <w:rsid w:val="00377C75"/>
    <w:rsid w:val="00380F15"/>
    <w:rsid w:val="00380F56"/>
    <w:rsid w:val="00381E1A"/>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05995"/>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2B20"/>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381B"/>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0800"/>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1EA6"/>
    <w:rsid w:val="00602232"/>
    <w:rsid w:val="0060236A"/>
    <w:rsid w:val="00602B0F"/>
    <w:rsid w:val="00603AAD"/>
    <w:rsid w:val="00603CDD"/>
    <w:rsid w:val="0060408D"/>
    <w:rsid w:val="006048D3"/>
    <w:rsid w:val="00605229"/>
    <w:rsid w:val="006072F5"/>
    <w:rsid w:val="006134ED"/>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3AE"/>
    <w:rsid w:val="006A07AC"/>
    <w:rsid w:val="006A0ABC"/>
    <w:rsid w:val="006A131D"/>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E5B75"/>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68"/>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3786"/>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25E"/>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016"/>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281"/>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0F6C"/>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0A6"/>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3C2F"/>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4FDF"/>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1CE9"/>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54B"/>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80F"/>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28D"/>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5FD1"/>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001"/>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74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1757</Words>
  <Characters>2004</Characters>
  <Application>Microsoft Office Word</Application>
  <DocSecurity>0</DocSecurity>
  <Lines>167</Lines>
  <Paragraphs>197</Paragraphs>
  <ScaleCrop>false</ScaleCrop>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2026-04-10T08:52:00Z</dcterms:created>
  <dcterms:modified xsi:type="dcterms:W3CDTF">2026-04-10T08:57:00Z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