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9E7E" w14:textId="77777777" w:rsidR="002E7C44" w:rsidRDefault="00000000">
      <w:pPr>
        <w:framePr w:w="904" w:h="1540" w:hRule="exact" w:wrap="around" w:vAnchor="page" w:hAnchor="page" w:x="8621" w:y="194"/>
        <w:widowControl/>
        <w:shd w:val="solid" w:color="FFFFFF" w:fill="FFFFFF"/>
        <w:spacing w:line="0" w:lineRule="atLeast"/>
        <w:rPr>
          <w:rFonts w:ascii="等线" w:eastAsia="等线" w:hAnsi="等线" w:cs="等线" w:hint="eastAsia"/>
          <w:b/>
          <w:w w:val="130"/>
          <w:kern w:val="0"/>
          <w:sz w:val="100"/>
          <w:szCs w:val="100"/>
        </w:rPr>
      </w:pPr>
      <w:r>
        <w:rPr>
          <w:rFonts w:ascii="等线" w:eastAsia="等线" w:hAnsi="等线" w:cs="等线" w:hint="eastAsia"/>
          <w:b/>
          <w:w w:val="130"/>
          <w:kern w:val="0"/>
          <w:sz w:val="110"/>
          <w:szCs w:val="110"/>
        </w:rPr>
        <w:t>T</w:t>
      </w:r>
    </w:p>
    <w:p w14:paraId="3BEF18FF" w14:textId="77777777" w:rsidR="002E7C44" w:rsidRDefault="002E7C44">
      <w:pPr>
        <w:adjustRightInd/>
        <w:spacing w:line="240" w:lineRule="auto"/>
        <w:jc w:val="left"/>
        <w:rPr>
          <w:rFonts w:ascii="黑体" w:eastAsia="黑体" w:hAnsi="黑体" w:cs="黑体" w:hint="eastAsia"/>
          <w:szCs w:val="22"/>
        </w:rPr>
      </w:pPr>
    </w:p>
    <w:p w14:paraId="5E9EC494" w14:textId="2B6470B3" w:rsidR="002E7C44" w:rsidRDefault="00000000">
      <w:pPr>
        <w:adjustRightInd/>
        <w:spacing w:line="240" w:lineRule="auto"/>
        <w:jc w:val="left"/>
        <w:rPr>
          <w:rFonts w:ascii="黑体" w:eastAsia="黑体" w:hAnsi="黑体" w:cs="黑体" w:hint="eastAsia"/>
          <w:color w:val="FF0000"/>
          <w:szCs w:val="22"/>
        </w:rPr>
      </w:pPr>
      <w:proofErr w:type="gramStart"/>
      <w:r>
        <w:rPr>
          <w:rFonts w:ascii="黑体" w:eastAsia="黑体" w:hAnsi="黑体" w:cs="黑体" w:hint="eastAsia"/>
          <w:szCs w:val="22"/>
        </w:rPr>
        <w:t xml:space="preserve">ICS  </w:t>
      </w:r>
      <w:r w:rsidR="005466E7" w:rsidRPr="005466E7">
        <w:rPr>
          <w:rFonts w:ascii="黑体" w:eastAsia="黑体" w:hAnsi="黑体" w:cs="黑体"/>
          <w:szCs w:val="22"/>
        </w:rPr>
        <w:t>73.020</w:t>
      </w:r>
      <w:proofErr w:type="gramEnd"/>
    </w:p>
    <w:p w14:paraId="0BE848B8" w14:textId="62DD4E5B" w:rsidR="002E7C44" w:rsidRDefault="00000000">
      <w:pPr>
        <w:adjustRightInd/>
        <w:spacing w:line="240" w:lineRule="auto"/>
        <w:rPr>
          <w:rFonts w:ascii="黑体" w:eastAsia="黑体" w:hAnsi="黑体" w:cs="黑体" w:hint="eastAsia"/>
          <w:szCs w:val="22"/>
        </w:rPr>
      </w:pPr>
      <w:proofErr w:type="gramStart"/>
      <w:r>
        <w:rPr>
          <w:rFonts w:ascii="黑体" w:eastAsia="黑体" w:hAnsi="黑体" w:cs="黑体" w:hint="eastAsia"/>
          <w:szCs w:val="22"/>
        </w:rPr>
        <w:t xml:space="preserve">CCS  </w:t>
      </w:r>
      <w:r w:rsidR="005466E7" w:rsidRPr="005466E7">
        <w:rPr>
          <w:rFonts w:ascii="黑体" w:eastAsia="黑体" w:hAnsi="黑体" w:cs="黑体"/>
          <w:szCs w:val="22"/>
        </w:rPr>
        <w:t>D</w:t>
      </w:r>
      <w:proofErr w:type="gramEnd"/>
      <w:r w:rsidR="005466E7" w:rsidRPr="005466E7">
        <w:rPr>
          <w:rFonts w:ascii="黑体" w:eastAsia="黑体" w:hAnsi="黑体" w:cs="黑体"/>
          <w:szCs w:val="22"/>
        </w:rPr>
        <w:t>10</w:t>
      </w:r>
    </w:p>
    <w:p w14:paraId="693A8459" w14:textId="77777777" w:rsidR="002E7C44" w:rsidRDefault="002E7C44">
      <w:pPr>
        <w:adjustRightInd/>
        <w:spacing w:line="240" w:lineRule="auto"/>
        <w:rPr>
          <w:rFonts w:ascii="黑体" w:eastAsia="黑体" w:hAnsi="黑体" w:cs="黑体" w:hint="eastAsia"/>
          <w:szCs w:val="22"/>
        </w:rPr>
      </w:pPr>
    </w:p>
    <w:p w14:paraId="04F42B71" w14:textId="77777777" w:rsidR="002E7C44" w:rsidRDefault="00000000">
      <w:pPr>
        <w:spacing w:line="360" w:lineRule="auto"/>
        <w:jc w:val="distribute"/>
        <w:rPr>
          <w:rFonts w:ascii="隶属" w:eastAsia="隶属" w:hAnsi="隶属" w:cs="隶属" w:hint="eastAsia"/>
          <w:b/>
          <w:bCs/>
          <w:sz w:val="84"/>
          <w:szCs w:val="84"/>
        </w:rPr>
      </w:pPr>
      <w:r>
        <w:rPr>
          <w:rFonts w:ascii="黑体" w:eastAsia="黑体" w:hAnsi="黑体" w:cs="黑体" w:hint="eastAsia"/>
          <w:b/>
          <w:bCs/>
          <w:sz w:val="84"/>
          <w:szCs w:val="84"/>
        </w:rPr>
        <w:t>团体标准</w:t>
      </w:r>
    </w:p>
    <w:p w14:paraId="2633511D" w14:textId="77777777" w:rsidR="002E7C44" w:rsidRDefault="00000000">
      <w:pPr>
        <w:wordWrap w:val="0"/>
        <w:spacing w:line="360" w:lineRule="auto"/>
        <w:jc w:val="right"/>
        <w:rPr>
          <w:rFonts w:ascii="Times New Roman" w:eastAsia="黑体" w:hAnsi="Times New Roman"/>
          <w:szCs w:val="22"/>
        </w:rPr>
      </w:pPr>
      <w:r>
        <w:rPr>
          <w:rFonts w:ascii="Times New Roman" w:hAnsi="Times New Roman"/>
          <w:color w:val="FF0000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 w:hint="eastAsia"/>
          <w:szCs w:val="2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 xml:space="preserve"> T/CWDPA XXX—2026</w:t>
      </w:r>
    </w:p>
    <w:p w14:paraId="19BB8ED1" w14:textId="77777777" w:rsidR="002E7C44" w:rsidRDefault="00000000">
      <w:pPr>
        <w:spacing w:line="36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drawing>
          <wp:inline distT="0" distB="0" distL="114300" distR="114300" wp14:anchorId="29A190C4" wp14:editId="363B86F2">
            <wp:extent cx="5525770" cy="10795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B421" w14:textId="77777777" w:rsidR="002E7C44" w:rsidRDefault="002E7C44">
      <w:pPr>
        <w:spacing w:line="360" w:lineRule="auto"/>
        <w:rPr>
          <w:rFonts w:ascii="Times New Roman" w:eastAsia="黑体" w:hAnsi="Times New Roman"/>
          <w:sz w:val="52"/>
          <w:szCs w:val="52"/>
        </w:rPr>
      </w:pPr>
    </w:p>
    <w:p w14:paraId="24A5256A" w14:textId="77777777" w:rsidR="002E7C44" w:rsidRDefault="002E7C44">
      <w:pPr>
        <w:spacing w:line="360" w:lineRule="auto"/>
        <w:jc w:val="center"/>
        <w:rPr>
          <w:rFonts w:ascii="Times New Roman" w:eastAsia="黑体" w:hAnsi="Times New Roman"/>
          <w:sz w:val="52"/>
          <w:szCs w:val="52"/>
        </w:rPr>
      </w:pPr>
    </w:p>
    <w:p w14:paraId="6E991BA9" w14:textId="639454DF" w:rsidR="002E7C44" w:rsidRDefault="00CF3B17">
      <w:pPr>
        <w:spacing w:line="360" w:lineRule="auto"/>
        <w:jc w:val="center"/>
        <w:rPr>
          <w:rFonts w:ascii="Times New Roman" w:eastAsia="黑体" w:hAnsi="Times New Roman"/>
        </w:rPr>
      </w:pPr>
      <w:bookmarkStart w:id="0" w:name="OLE_LINK2"/>
      <w:r w:rsidRPr="00CF3B17">
        <w:rPr>
          <w:rFonts w:ascii="Times New Roman" w:eastAsia="黑体" w:hAnsi="Times New Roman" w:hint="eastAsia"/>
          <w:sz w:val="52"/>
          <w:szCs w:val="52"/>
        </w:rPr>
        <w:t>地质矿山矿产安全监测与预警技术规范</w:t>
      </w:r>
    </w:p>
    <w:bookmarkEnd w:id="0"/>
    <w:p w14:paraId="02C71F87" w14:textId="017215B2" w:rsidR="002E7C44" w:rsidRDefault="005466E7">
      <w:pPr>
        <w:spacing w:line="360" w:lineRule="auto"/>
        <w:jc w:val="center"/>
        <w:rPr>
          <w:rFonts w:ascii="Times New Roman" w:hAnsi="Times New Roman"/>
          <w:szCs w:val="22"/>
        </w:rPr>
      </w:pPr>
      <w:r w:rsidRPr="005466E7">
        <w:rPr>
          <w:rFonts w:ascii="Times New Roman" w:eastAsia="黑体" w:hAnsi="Times New Roman"/>
          <w:sz w:val="28"/>
          <w:szCs w:val="28"/>
        </w:rPr>
        <w:t xml:space="preserve">Technical </w:t>
      </w:r>
      <w:r>
        <w:rPr>
          <w:rFonts w:ascii="Times New Roman" w:eastAsia="黑体" w:hAnsi="Times New Roman" w:hint="eastAsia"/>
          <w:sz w:val="28"/>
          <w:szCs w:val="28"/>
        </w:rPr>
        <w:t>s</w:t>
      </w:r>
      <w:r w:rsidRPr="005466E7">
        <w:rPr>
          <w:rFonts w:ascii="Times New Roman" w:eastAsia="黑体" w:hAnsi="Times New Roman"/>
          <w:sz w:val="28"/>
          <w:szCs w:val="28"/>
        </w:rPr>
        <w:t xml:space="preserve">pecification for </w:t>
      </w:r>
      <w:r>
        <w:rPr>
          <w:rFonts w:ascii="Times New Roman" w:eastAsia="黑体" w:hAnsi="Times New Roman" w:hint="eastAsia"/>
          <w:sz w:val="28"/>
          <w:szCs w:val="28"/>
        </w:rPr>
        <w:t>s</w:t>
      </w:r>
      <w:r w:rsidRPr="005466E7">
        <w:rPr>
          <w:rFonts w:ascii="Times New Roman" w:eastAsia="黑体" w:hAnsi="Times New Roman"/>
          <w:sz w:val="28"/>
          <w:szCs w:val="28"/>
        </w:rPr>
        <w:t xml:space="preserve">afety </w:t>
      </w:r>
      <w:r>
        <w:rPr>
          <w:rFonts w:ascii="Times New Roman" w:eastAsia="黑体" w:hAnsi="Times New Roman" w:hint="eastAsia"/>
          <w:sz w:val="28"/>
          <w:szCs w:val="28"/>
        </w:rPr>
        <w:t>m</w:t>
      </w:r>
      <w:r w:rsidRPr="005466E7">
        <w:rPr>
          <w:rFonts w:ascii="Times New Roman" w:eastAsia="黑体" w:hAnsi="Times New Roman"/>
          <w:sz w:val="28"/>
          <w:szCs w:val="28"/>
        </w:rPr>
        <w:t xml:space="preserve">onitoring and </w:t>
      </w:r>
      <w:r>
        <w:rPr>
          <w:rFonts w:ascii="Times New Roman" w:eastAsia="黑体" w:hAnsi="Times New Roman" w:hint="eastAsia"/>
          <w:sz w:val="28"/>
          <w:szCs w:val="28"/>
        </w:rPr>
        <w:t>e</w:t>
      </w:r>
      <w:r w:rsidRPr="005466E7">
        <w:rPr>
          <w:rFonts w:ascii="Times New Roman" w:eastAsia="黑体" w:hAnsi="Times New Roman"/>
          <w:sz w:val="28"/>
          <w:szCs w:val="28"/>
        </w:rPr>
        <w:t xml:space="preserve">arly </w:t>
      </w:r>
      <w:r>
        <w:rPr>
          <w:rFonts w:ascii="Times New Roman" w:eastAsia="黑体" w:hAnsi="Times New Roman" w:hint="eastAsia"/>
          <w:sz w:val="28"/>
          <w:szCs w:val="28"/>
        </w:rPr>
        <w:t>w</w:t>
      </w:r>
      <w:r w:rsidRPr="005466E7">
        <w:rPr>
          <w:rFonts w:ascii="Times New Roman" w:eastAsia="黑体" w:hAnsi="Times New Roman"/>
          <w:sz w:val="28"/>
          <w:szCs w:val="28"/>
        </w:rPr>
        <w:t xml:space="preserve">arning of </w:t>
      </w:r>
      <w:r>
        <w:rPr>
          <w:rFonts w:ascii="Times New Roman" w:eastAsia="黑体" w:hAnsi="Times New Roman" w:hint="eastAsia"/>
          <w:sz w:val="28"/>
          <w:szCs w:val="28"/>
        </w:rPr>
        <w:t>g</w:t>
      </w:r>
      <w:r w:rsidRPr="005466E7">
        <w:rPr>
          <w:rFonts w:ascii="Times New Roman" w:eastAsia="黑体" w:hAnsi="Times New Roman"/>
          <w:sz w:val="28"/>
          <w:szCs w:val="28"/>
        </w:rPr>
        <w:t xml:space="preserve">eological </w:t>
      </w:r>
      <w:r>
        <w:rPr>
          <w:rFonts w:ascii="Times New Roman" w:eastAsia="黑体" w:hAnsi="Times New Roman" w:hint="eastAsia"/>
          <w:sz w:val="28"/>
          <w:szCs w:val="28"/>
        </w:rPr>
        <w:t>m</w:t>
      </w:r>
      <w:r w:rsidRPr="005466E7">
        <w:rPr>
          <w:rFonts w:ascii="Times New Roman" w:eastAsia="黑体" w:hAnsi="Times New Roman"/>
          <w:sz w:val="28"/>
          <w:szCs w:val="28"/>
        </w:rPr>
        <w:t xml:space="preserve">ines and </w:t>
      </w:r>
      <w:r>
        <w:rPr>
          <w:rFonts w:ascii="Times New Roman" w:eastAsia="黑体" w:hAnsi="Times New Roman" w:hint="eastAsia"/>
          <w:sz w:val="28"/>
          <w:szCs w:val="28"/>
        </w:rPr>
        <w:t>m</w:t>
      </w:r>
      <w:r w:rsidRPr="005466E7">
        <w:rPr>
          <w:rFonts w:ascii="Times New Roman" w:eastAsia="黑体" w:hAnsi="Times New Roman"/>
          <w:sz w:val="28"/>
          <w:szCs w:val="28"/>
        </w:rPr>
        <w:t xml:space="preserve">ineral </w:t>
      </w:r>
      <w:r>
        <w:rPr>
          <w:rFonts w:ascii="Times New Roman" w:eastAsia="黑体" w:hAnsi="Times New Roman" w:hint="eastAsia"/>
          <w:sz w:val="28"/>
          <w:szCs w:val="28"/>
        </w:rPr>
        <w:t>r</w:t>
      </w:r>
      <w:r w:rsidRPr="005466E7">
        <w:rPr>
          <w:rFonts w:ascii="Times New Roman" w:eastAsia="黑体" w:hAnsi="Times New Roman"/>
          <w:sz w:val="28"/>
          <w:szCs w:val="28"/>
        </w:rPr>
        <w:t>esource</w:t>
      </w:r>
      <w:r w:rsidR="00B7262E" w:rsidRPr="00B7262E">
        <w:rPr>
          <w:rFonts w:ascii="Times New Roman" w:eastAsia="黑体" w:hAnsi="Times New Roman"/>
          <w:sz w:val="28"/>
          <w:szCs w:val="28"/>
        </w:rPr>
        <w:t>s</w:t>
      </w:r>
    </w:p>
    <w:p w14:paraId="2C113EB5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2C9F763B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7C87830E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75BBB72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D6F4CBB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71DF86DC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27459977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41D214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5C937437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2A55C42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753ED15" w14:textId="77777777" w:rsidR="002E7C44" w:rsidRDefault="00000000">
      <w:pPr>
        <w:spacing w:line="360" w:lineRule="auto"/>
        <w:jc w:val="left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28"/>
          <w:szCs w:val="28"/>
        </w:rPr>
        <w:t>2026-X-XX发布                                  2026-X-XX实施</w:t>
      </w:r>
    </w:p>
    <w:p w14:paraId="29BB0656" w14:textId="77777777" w:rsidR="002E7C44" w:rsidRDefault="00000000">
      <w:pPr>
        <w:spacing w:line="360" w:lineRule="auto"/>
        <w:jc w:val="center"/>
        <w:rPr>
          <w:rFonts w:ascii="黑体" w:eastAsia="黑体" w:hAnsi="黑体" w:cs="黑体" w:hint="eastAsia"/>
          <w:szCs w:val="22"/>
        </w:rPr>
        <w:sectPr w:rsidR="002E7C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90" w:right="1800" w:bottom="1157" w:left="1463" w:header="851" w:footer="992" w:gutter="0"/>
          <w:pgNumType w:fmt="upperRoman" w:start="2" w:chapStyle="1"/>
          <w:cols w:space="425"/>
          <w:titlePg/>
          <w:docGrid w:linePitch="312"/>
        </w:sectPr>
      </w:pPr>
      <w:r>
        <w:rPr>
          <w:rFonts w:ascii="隶属" w:eastAsia="隶属" w:hAnsi="隶属" w:cs="隶属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4C04B" wp14:editId="4541B092">
                <wp:simplePos x="0" y="0"/>
                <wp:positionH relativeFrom="column">
                  <wp:posOffset>-19050</wp:posOffset>
                </wp:positionH>
                <wp:positionV relativeFrom="paragraph">
                  <wp:posOffset>1270</wp:posOffset>
                </wp:positionV>
                <wp:extent cx="5504815" cy="20955"/>
                <wp:effectExtent l="0" t="4445" r="635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4815" cy="209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-1.5pt;margin-top:0.1pt;height:1.65pt;width:433.45pt;z-index:251660288;mso-width-relative:page;mso-height-relative:page;" filled="f" stroked="t" coordsize="21600,21600" o:gfxdata="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HtugNUAAAAFAQAADwAAAAAAAAABACAAAAAiAAAA&#10;ZHJzL2Rvd25yZXYueG1sUEsBAhQAFAAAAAgAh07iQJRUPR8KAgAABAQAAA4AAAAAAAAAAQAgAAAA&#10;J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隶属" w:eastAsia="隶属" w:hAnsi="隶属" w:cs="隶属" w:hint="eastAsia"/>
          <w:b/>
          <w:bCs/>
          <w:sz w:val="52"/>
          <w:szCs w:val="52"/>
        </w:rPr>
        <w:t>中国西部开发促进会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发 布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</w:p>
    <w:p w14:paraId="0D287B3C" w14:textId="77777777" w:rsidR="002158B1" w:rsidRDefault="002158B1" w:rsidP="002158B1">
      <w:pPr>
        <w:pStyle w:val="affffffc"/>
        <w:spacing w:after="360"/>
        <w:rPr>
          <w:rFonts w:hint="eastAsia"/>
        </w:rPr>
      </w:pPr>
      <w:bookmarkStart w:id="1" w:name="_Toc213077071"/>
      <w:bookmarkStart w:id="2" w:name="_Toc3964"/>
      <w:bookmarkStart w:id="3" w:name="_Toc212487669"/>
      <w:bookmarkStart w:id="4" w:name="_Toc12379"/>
      <w:bookmarkStart w:id="5" w:name="_Toc212315096"/>
      <w:bookmarkStart w:id="6" w:name="_Toc212823333"/>
      <w:bookmarkStart w:id="7" w:name="_Toc219386766"/>
      <w:bookmarkStart w:id="8" w:name="_Toc225323501"/>
      <w:bookmarkStart w:id="9" w:name="_Toc225323736"/>
      <w:bookmarkStart w:id="10" w:name="_Toc225324503"/>
      <w:bookmarkStart w:id="11" w:name="_Toc225326323"/>
      <w:bookmarkStart w:id="12" w:name="_Toc225954065"/>
      <w:bookmarkStart w:id="13" w:name="_Toc225954122"/>
      <w:bookmarkStart w:id="14" w:name="_Toc226017198"/>
      <w:bookmarkStart w:id="15" w:name="_Toc226538221"/>
      <w:bookmarkStart w:id="16" w:name="_Toc226550591"/>
      <w:bookmarkStart w:id="17" w:name="_Toc226620155"/>
      <w:bookmarkStart w:id="18" w:name="_Toc226729574"/>
      <w:bookmarkStart w:id="19" w:name="_Toc226731691"/>
      <w:bookmarkStart w:id="20" w:name="_Toc226731972"/>
      <w:bookmarkStart w:id="21" w:name="_Toc227249064"/>
      <w:bookmarkStart w:id="22" w:name="_Toc227249203"/>
      <w:bookmarkStart w:id="23" w:name="BookMark1"/>
      <w:r w:rsidRPr="002158B1">
        <w:rPr>
          <w:rFonts w:hint="eastAsia"/>
          <w:spacing w:val="320"/>
        </w:rPr>
        <w:lastRenderedPageBreak/>
        <w:t>目</w:t>
      </w:r>
      <w:r>
        <w:rPr>
          <w:rFonts w:hint="eastAsia"/>
        </w:rPr>
        <w:t>次</w:t>
      </w:r>
    </w:p>
    <w:p w14:paraId="2C362DB2" w14:textId="0DDF8EA3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r w:rsidRPr="002158B1">
        <w:fldChar w:fldCharType="begin"/>
      </w:r>
      <w:r w:rsidRPr="002158B1">
        <w:instrText xml:space="preserve"> TOC \o "1-1" \h \t "标准文件_一级条标题,2,标准文件_附录一级条标题,2," </w:instrText>
      </w:r>
      <w:r w:rsidRPr="002158B1">
        <w:fldChar w:fldCharType="separate"/>
      </w:r>
      <w:hyperlink w:anchor="_Toc227251511" w:history="1">
        <w:r w:rsidRPr="002158B1">
          <w:rPr>
            <w:rStyle w:val="affffd"/>
            <w:rFonts w:hint="eastAsia"/>
            <w:noProof/>
          </w:rPr>
          <w:t>前言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_Toc227251511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III</w:t>
        </w:r>
        <w:r w:rsidRPr="002158B1">
          <w:rPr>
            <w:rFonts w:hint="eastAsia"/>
            <w:noProof/>
          </w:rPr>
          <w:fldChar w:fldCharType="end"/>
        </w:r>
      </w:hyperlink>
    </w:p>
    <w:p w14:paraId="3583D324" w14:textId="4607B782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13" w:history="1">
        <w:r w:rsidRPr="002158B1">
          <w:rPr>
            <w:rStyle w:val="affffd"/>
            <w:rFonts w:hint="eastAsia"/>
            <w:noProof/>
          </w:rPr>
          <w:t>1</w:t>
        </w:r>
        <w:r>
          <w:rPr>
            <w:rStyle w:val="affffd"/>
            <w:noProof/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范围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_Toc227251513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1</w:t>
        </w:r>
        <w:r w:rsidRPr="002158B1">
          <w:rPr>
            <w:rFonts w:hint="eastAsia"/>
            <w:noProof/>
          </w:rPr>
          <w:fldChar w:fldCharType="end"/>
        </w:r>
      </w:hyperlink>
    </w:p>
    <w:p w14:paraId="1D47DEE0" w14:textId="3117BEC2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14" w:history="1">
        <w:r w:rsidRPr="002158B1">
          <w:rPr>
            <w:rStyle w:val="affffd"/>
            <w:rFonts w:hint="eastAsia"/>
            <w:noProof/>
          </w:rPr>
          <w:t>2</w:t>
        </w:r>
        <w:r>
          <w:rPr>
            <w:rStyle w:val="affffd"/>
            <w:noProof/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规范性引用文件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_Toc227251514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1</w:t>
        </w:r>
        <w:r w:rsidRPr="002158B1">
          <w:rPr>
            <w:rFonts w:hint="eastAsia"/>
            <w:noProof/>
          </w:rPr>
          <w:fldChar w:fldCharType="end"/>
        </w:r>
      </w:hyperlink>
    </w:p>
    <w:p w14:paraId="693E0633" w14:textId="76FDEBB8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15" w:history="1">
        <w:r w:rsidRPr="002158B1">
          <w:rPr>
            <w:rStyle w:val="affffd"/>
            <w:rFonts w:hint="eastAsia"/>
            <w:noProof/>
          </w:rPr>
          <w:t>3</w:t>
        </w:r>
        <w:r>
          <w:rPr>
            <w:rStyle w:val="affffd"/>
            <w:noProof/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术语和定义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_Toc227251515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1</w:t>
        </w:r>
        <w:r w:rsidRPr="002158B1">
          <w:rPr>
            <w:rFonts w:hint="eastAsia"/>
            <w:noProof/>
          </w:rPr>
          <w:fldChar w:fldCharType="end"/>
        </w:r>
      </w:hyperlink>
    </w:p>
    <w:p w14:paraId="0B80AFAB" w14:textId="0648EA7B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16" w:history="1">
        <w:r w:rsidRPr="002158B1">
          <w:rPr>
            <w:rStyle w:val="affffd"/>
            <w:rFonts w:hint="eastAsia"/>
            <w:noProof/>
          </w:rPr>
          <w:t>4</w:t>
        </w:r>
        <w:r>
          <w:rPr>
            <w:rStyle w:val="affffd"/>
            <w:noProof/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总体要求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_Toc227251516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1</w:t>
        </w:r>
        <w:r w:rsidRPr="002158B1">
          <w:rPr>
            <w:rFonts w:hint="eastAsia"/>
            <w:noProof/>
          </w:rPr>
          <w:fldChar w:fldCharType="end"/>
        </w:r>
      </w:hyperlink>
    </w:p>
    <w:p w14:paraId="62DFDE21" w14:textId="3658353E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17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监测预警基本原则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_Toc227251517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1</w:t>
        </w:r>
        <w:r w:rsidRPr="002158B1">
          <w:rPr>
            <w:rFonts w:hint="eastAsia"/>
            <w:noProof/>
          </w:rPr>
          <w:fldChar w:fldCharType="end"/>
        </w:r>
      </w:hyperlink>
    </w:p>
    <w:p w14:paraId="41597BDE" w14:textId="70FF6D14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18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监测预警系统架构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_Toc227251518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1</w:t>
        </w:r>
        <w:r w:rsidRPr="002158B1">
          <w:rPr>
            <w:rFonts w:hint="eastAsia"/>
            <w:noProof/>
          </w:rPr>
          <w:fldChar w:fldCharType="end"/>
        </w:r>
      </w:hyperlink>
    </w:p>
    <w:p w14:paraId="20F1D25C" w14:textId="12088524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19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系统建设与运行流程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_Toc227251519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1</w:t>
        </w:r>
        <w:r w:rsidRPr="002158B1">
          <w:rPr>
            <w:rFonts w:hint="eastAsia"/>
            <w:noProof/>
          </w:rPr>
          <w:fldChar w:fldCharType="end"/>
        </w:r>
      </w:hyperlink>
    </w:p>
    <w:p w14:paraId="781FDDAC" w14:textId="6BE866B4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20" w:history="1">
        <w:r w:rsidRPr="002158B1">
          <w:rPr>
            <w:rStyle w:val="affffd"/>
            <w:rFonts w:hint="eastAsia"/>
            <w:noProof/>
          </w:rPr>
          <w:t>5</w:t>
        </w:r>
        <w:r>
          <w:rPr>
            <w:rStyle w:val="affffd"/>
            <w:noProof/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监测对象与内容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_Toc227251520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2</w:t>
        </w:r>
        <w:r w:rsidRPr="002158B1">
          <w:rPr>
            <w:rFonts w:hint="eastAsia"/>
            <w:noProof/>
          </w:rPr>
          <w:fldChar w:fldCharType="end"/>
        </w:r>
      </w:hyperlink>
    </w:p>
    <w:p w14:paraId="79880FE9" w14:textId="4DB9032C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21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矿区地质灾害监测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_Toc227251521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2</w:t>
        </w:r>
        <w:r w:rsidRPr="002158B1">
          <w:rPr>
            <w:rFonts w:hint="eastAsia"/>
            <w:noProof/>
          </w:rPr>
          <w:fldChar w:fldCharType="end"/>
        </w:r>
      </w:hyperlink>
    </w:p>
    <w:p w14:paraId="73D7445E" w14:textId="4DBB8B85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22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矿井生产安全监测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_Toc227251522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2</w:t>
        </w:r>
        <w:r w:rsidRPr="002158B1">
          <w:rPr>
            <w:rFonts w:hint="eastAsia"/>
            <w:noProof/>
          </w:rPr>
          <w:fldChar w:fldCharType="end"/>
        </w:r>
      </w:hyperlink>
    </w:p>
    <w:p w14:paraId="2466CB8D" w14:textId="2EE453AB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23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尾矿库及排土场监测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_Toc227251523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2</w:t>
        </w:r>
        <w:r w:rsidRPr="002158B1">
          <w:rPr>
            <w:rFonts w:hint="eastAsia"/>
            <w:noProof/>
          </w:rPr>
          <w:fldChar w:fldCharType="end"/>
        </w:r>
      </w:hyperlink>
    </w:p>
    <w:p w14:paraId="169BAE60" w14:textId="086AA59C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24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排土场安全监测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_Toc227251524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2</w:t>
        </w:r>
        <w:r w:rsidRPr="002158B1">
          <w:rPr>
            <w:rFonts w:hint="eastAsia"/>
            <w:noProof/>
          </w:rPr>
          <w:fldChar w:fldCharType="end"/>
        </w:r>
      </w:hyperlink>
    </w:p>
    <w:p w14:paraId="6D7D5DA8" w14:textId="7E600704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25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地面与建构筑物变形监测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_Toc227251525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2</w:t>
        </w:r>
        <w:r w:rsidRPr="002158B1">
          <w:rPr>
            <w:rFonts w:hint="eastAsia"/>
            <w:noProof/>
          </w:rPr>
          <w:fldChar w:fldCharType="end"/>
        </w:r>
      </w:hyperlink>
    </w:p>
    <w:p w14:paraId="7D7EEC7D" w14:textId="44FA313E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26" w:history="1">
        <w:r w:rsidRPr="002158B1">
          <w:rPr>
            <w:rStyle w:val="affffd"/>
            <w:rFonts w:hint="eastAsia"/>
            <w:noProof/>
          </w:rPr>
          <w:t>6</w:t>
        </w:r>
        <w:r>
          <w:rPr>
            <w:rStyle w:val="affffd"/>
            <w:noProof/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监测装备与网点布设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_Toc227251526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3</w:t>
        </w:r>
        <w:r w:rsidRPr="002158B1">
          <w:rPr>
            <w:rFonts w:hint="eastAsia"/>
            <w:noProof/>
          </w:rPr>
          <w:fldChar w:fldCharType="end"/>
        </w:r>
      </w:hyperlink>
    </w:p>
    <w:p w14:paraId="09437E5C" w14:textId="4D3FFD0D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27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监测设备技术要求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_Toc227251527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3</w:t>
        </w:r>
        <w:r w:rsidRPr="002158B1">
          <w:rPr>
            <w:rFonts w:hint="eastAsia"/>
            <w:noProof/>
          </w:rPr>
          <w:fldChar w:fldCharType="end"/>
        </w:r>
      </w:hyperlink>
    </w:p>
    <w:p w14:paraId="7D534824" w14:textId="2ADBBA49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28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监测网点布设原则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_Toc227251528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3</w:t>
        </w:r>
        <w:r w:rsidRPr="002158B1">
          <w:rPr>
            <w:rFonts w:hint="eastAsia"/>
            <w:noProof/>
          </w:rPr>
          <w:fldChar w:fldCharType="end"/>
        </w:r>
      </w:hyperlink>
    </w:p>
    <w:p w14:paraId="7F037A2C" w14:textId="4A863ED6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29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设备安装与调试验收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_Toc227251529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3</w:t>
        </w:r>
        <w:r w:rsidRPr="002158B1">
          <w:rPr>
            <w:rFonts w:hint="eastAsia"/>
            <w:noProof/>
          </w:rPr>
          <w:fldChar w:fldCharType="end"/>
        </w:r>
      </w:hyperlink>
    </w:p>
    <w:p w14:paraId="4372D5CE" w14:textId="1B257A0D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30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供电与防雷接地要求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_Toc227251530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4</w:t>
        </w:r>
        <w:r w:rsidRPr="002158B1">
          <w:rPr>
            <w:rFonts w:hint="eastAsia"/>
            <w:noProof/>
          </w:rPr>
          <w:fldChar w:fldCharType="end"/>
        </w:r>
      </w:hyperlink>
    </w:p>
    <w:p w14:paraId="2781285D" w14:textId="07C80431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31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标识与防护管理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_Toc227251531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4</w:t>
        </w:r>
        <w:r w:rsidRPr="002158B1">
          <w:rPr>
            <w:rFonts w:hint="eastAsia"/>
            <w:noProof/>
          </w:rPr>
          <w:fldChar w:fldCharType="end"/>
        </w:r>
      </w:hyperlink>
    </w:p>
    <w:p w14:paraId="20F63A2D" w14:textId="1F557982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32" w:history="1">
        <w:r w:rsidRPr="002158B1">
          <w:rPr>
            <w:rStyle w:val="affffd"/>
            <w:rFonts w:hint="eastAsia"/>
            <w:noProof/>
          </w:rPr>
          <w:t>7</w:t>
        </w:r>
        <w:r>
          <w:rPr>
            <w:rStyle w:val="affffd"/>
            <w:noProof/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数据采集、传输与处理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_Toc227251532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4</w:t>
        </w:r>
        <w:r w:rsidRPr="002158B1">
          <w:rPr>
            <w:rFonts w:hint="eastAsia"/>
            <w:noProof/>
          </w:rPr>
          <w:fldChar w:fldCharType="end"/>
        </w:r>
      </w:hyperlink>
    </w:p>
    <w:p w14:paraId="21228147" w14:textId="2D23426D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33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数据采集要求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_Toc227251533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4</w:t>
        </w:r>
        <w:r w:rsidRPr="002158B1">
          <w:rPr>
            <w:rFonts w:hint="eastAsia"/>
            <w:noProof/>
          </w:rPr>
          <w:fldChar w:fldCharType="end"/>
        </w:r>
      </w:hyperlink>
    </w:p>
    <w:p w14:paraId="43C64BB9" w14:textId="3CB80D0A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34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数据传输网络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_Toc227251534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4</w:t>
        </w:r>
        <w:r w:rsidRPr="002158B1">
          <w:rPr>
            <w:rFonts w:hint="eastAsia"/>
            <w:noProof/>
          </w:rPr>
          <w:fldChar w:fldCharType="end"/>
        </w:r>
      </w:hyperlink>
    </w:p>
    <w:p w14:paraId="2953C443" w14:textId="7BD9105F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35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数据融合与存储处理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_Toc227251535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4</w:t>
        </w:r>
        <w:r w:rsidRPr="002158B1">
          <w:rPr>
            <w:rFonts w:hint="eastAsia"/>
            <w:noProof/>
          </w:rPr>
          <w:fldChar w:fldCharType="end"/>
        </w:r>
      </w:hyperlink>
    </w:p>
    <w:p w14:paraId="0D9CFFD5" w14:textId="51560140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36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数据质量控制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_Toc227251536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5</w:t>
        </w:r>
        <w:r w:rsidRPr="002158B1">
          <w:rPr>
            <w:rFonts w:hint="eastAsia"/>
            <w:noProof/>
          </w:rPr>
          <w:fldChar w:fldCharType="end"/>
        </w:r>
      </w:hyperlink>
    </w:p>
    <w:p w14:paraId="5B0F386A" w14:textId="6B7ACE16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37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数据安全管理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_Toc227251537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5</w:t>
        </w:r>
        <w:r w:rsidRPr="002158B1">
          <w:rPr>
            <w:rFonts w:hint="eastAsia"/>
            <w:noProof/>
          </w:rPr>
          <w:fldChar w:fldCharType="end"/>
        </w:r>
      </w:hyperlink>
    </w:p>
    <w:p w14:paraId="71F41086" w14:textId="61411A07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38" w:history="1">
        <w:r w:rsidRPr="002158B1">
          <w:rPr>
            <w:rStyle w:val="affffd"/>
            <w:rFonts w:hint="eastAsia"/>
            <w:noProof/>
          </w:rPr>
          <w:t>8</w:t>
        </w:r>
        <w:r>
          <w:rPr>
            <w:rStyle w:val="affffd"/>
            <w:noProof/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预警模型与等级划分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_Toc227251538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5</w:t>
        </w:r>
        <w:r w:rsidRPr="002158B1">
          <w:rPr>
            <w:rFonts w:hint="eastAsia"/>
            <w:noProof/>
          </w:rPr>
          <w:fldChar w:fldCharType="end"/>
        </w:r>
      </w:hyperlink>
    </w:p>
    <w:p w14:paraId="3B2AD29A" w14:textId="19905816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39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预警阈值与判据设定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_Toc227251539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5</w:t>
        </w:r>
        <w:r w:rsidRPr="002158B1">
          <w:rPr>
            <w:rFonts w:hint="eastAsia"/>
            <w:noProof/>
          </w:rPr>
          <w:fldChar w:fldCharType="end"/>
        </w:r>
      </w:hyperlink>
    </w:p>
    <w:p w14:paraId="74DE2367" w14:textId="518FF9CA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40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预警模型构建方法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_Toc227251540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5</w:t>
        </w:r>
        <w:r w:rsidRPr="002158B1">
          <w:rPr>
            <w:rFonts w:hint="eastAsia"/>
            <w:noProof/>
          </w:rPr>
          <w:fldChar w:fldCharType="end"/>
        </w:r>
      </w:hyperlink>
    </w:p>
    <w:p w14:paraId="09010EDF" w14:textId="1B6EA442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41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预警级别划分标准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_Toc227251541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5</w:t>
        </w:r>
        <w:r w:rsidRPr="002158B1">
          <w:rPr>
            <w:rFonts w:hint="eastAsia"/>
            <w:noProof/>
          </w:rPr>
          <w:fldChar w:fldCharType="end"/>
        </w:r>
      </w:hyperlink>
    </w:p>
    <w:p w14:paraId="08A43C95" w14:textId="7EA044B3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42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预警阈值动态调整机制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_Toc227251542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6</w:t>
        </w:r>
        <w:r w:rsidRPr="002158B1">
          <w:rPr>
            <w:rFonts w:hint="eastAsia"/>
            <w:noProof/>
          </w:rPr>
          <w:fldChar w:fldCharType="end"/>
        </w:r>
      </w:hyperlink>
    </w:p>
    <w:p w14:paraId="1FB4E31E" w14:textId="6578873A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43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多灾种耦合预警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_Toc227251543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6</w:t>
        </w:r>
        <w:r w:rsidRPr="002158B1">
          <w:rPr>
            <w:rFonts w:hint="eastAsia"/>
            <w:noProof/>
          </w:rPr>
          <w:fldChar w:fldCharType="end"/>
        </w:r>
      </w:hyperlink>
    </w:p>
    <w:p w14:paraId="7979B835" w14:textId="5BE8B42E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44" w:history="1">
        <w:r w:rsidRPr="002158B1">
          <w:rPr>
            <w:rStyle w:val="affffd"/>
            <w:rFonts w:hint="eastAsia"/>
            <w:noProof/>
          </w:rPr>
          <w:t>9</w:t>
        </w:r>
        <w:r>
          <w:rPr>
            <w:rStyle w:val="affffd"/>
            <w:noProof/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预警发布与响应处置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_Toc227251544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6</w:t>
        </w:r>
        <w:r w:rsidRPr="002158B1">
          <w:rPr>
            <w:rFonts w:hint="eastAsia"/>
            <w:noProof/>
          </w:rPr>
          <w:fldChar w:fldCharType="end"/>
        </w:r>
      </w:hyperlink>
    </w:p>
    <w:p w14:paraId="4D9CBFF1" w14:textId="09552913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45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预警信息发布管理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_Toc227251545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6</w:t>
        </w:r>
        <w:r w:rsidRPr="002158B1">
          <w:rPr>
            <w:rFonts w:hint="eastAsia"/>
            <w:noProof/>
          </w:rPr>
          <w:fldChar w:fldCharType="end"/>
        </w:r>
      </w:hyperlink>
    </w:p>
    <w:p w14:paraId="117C4F9A" w14:textId="231561A5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46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预警分级响应行动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_Toc227251546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6</w:t>
        </w:r>
        <w:r w:rsidRPr="002158B1">
          <w:rPr>
            <w:rFonts w:hint="eastAsia"/>
            <w:noProof/>
          </w:rPr>
          <w:fldChar w:fldCharType="end"/>
        </w:r>
      </w:hyperlink>
    </w:p>
    <w:p w14:paraId="6906929F" w14:textId="064FC313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47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预警解除与事后评估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_Toc227251547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7</w:t>
        </w:r>
        <w:r w:rsidRPr="002158B1">
          <w:rPr>
            <w:rFonts w:hint="eastAsia"/>
            <w:noProof/>
          </w:rPr>
          <w:fldChar w:fldCharType="end"/>
        </w:r>
      </w:hyperlink>
    </w:p>
    <w:p w14:paraId="3C33C922" w14:textId="3CFB51FF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48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预警信息存档与追溯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_Toc227251548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7</w:t>
        </w:r>
        <w:r w:rsidRPr="002158B1">
          <w:rPr>
            <w:rFonts w:hint="eastAsia"/>
            <w:noProof/>
          </w:rPr>
          <w:fldChar w:fldCharType="end"/>
        </w:r>
      </w:hyperlink>
    </w:p>
    <w:p w14:paraId="29B8025B" w14:textId="10856FEB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49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次生灾害防范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_Toc227251549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7</w:t>
        </w:r>
        <w:r w:rsidRPr="002158B1">
          <w:rPr>
            <w:rFonts w:hint="eastAsia"/>
            <w:noProof/>
          </w:rPr>
          <w:fldChar w:fldCharType="end"/>
        </w:r>
      </w:hyperlink>
    </w:p>
    <w:p w14:paraId="133F3135" w14:textId="6A233A66" w:rsidR="002158B1" w:rsidRPr="002158B1" w:rsidRDefault="002158B1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50" w:history="1">
        <w:r w:rsidRPr="002158B1">
          <w:rPr>
            <w:rStyle w:val="affffd"/>
            <w:rFonts w:hint="eastAsia"/>
            <w:noProof/>
          </w:rPr>
          <w:t>10</w:t>
        </w:r>
        <w:r>
          <w:rPr>
            <w:rStyle w:val="affffd"/>
            <w:noProof/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系统运行维护与管理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_Toc227251550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7</w:t>
        </w:r>
        <w:r w:rsidRPr="002158B1">
          <w:rPr>
            <w:rFonts w:hint="eastAsia"/>
            <w:noProof/>
          </w:rPr>
          <w:fldChar w:fldCharType="end"/>
        </w:r>
      </w:hyperlink>
    </w:p>
    <w:p w14:paraId="7A4F710D" w14:textId="64844573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51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组织管理体系建立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_Toc227251551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7</w:t>
        </w:r>
        <w:r w:rsidRPr="002158B1">
          <w:rPr>
            <w:rFonts w:hint="eastAsia"/>
            <w:noProof/>
          </w:rPr>
          <w:fldChar w:fldCharType="end"/>
        </w:r>
      </w:hyperlink>
    </w:p>
    <w:p w14:paraId="54B105C5" w14:textId="41694A48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52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设备与系统运行维护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_Toc227251552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8</w:t>
        </w:r>
        <w:r w:rsidRPr="002158B1">
          <w:rPr>
            <w:rFonts w:hint="eastAsia"/>
            <w:noProof/>
          </w:rPr>
          <w:fldChar w:fldCharType="end"/>
        </w:r>
      </w:hyperlink>
    </w:p>
    <w:p w14:paraId="26372EC2" w14:textId="7F538F82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53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档案与台账资料管理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_Toc227251553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8</w:t>
        </w:r>
        <w:r w:rsidRPr="002158B1">
          <w:rPr>
            <w:rFonts w:hint="eastAsia"/>
            <w:noProof/>
          </w:rPr>
          <w:fldChar w:fldCharType="end"/>
        </w:r>
      </w:hyperlink>
    </w:p>
    <w:p w14:paraId="2E099A4D" w14:textId="43B568E2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54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备品备件与应急物资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_Toc227251554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8</w:t>
        </w:r>
        <w:r w:rsidRPr="002158B1">
          <w:rPr>
            <w:rFonts w:hint="eastAsia"/>
            <w:noProof/>
          </w:rPr>
          <w:fldChar w:fldCharType="end"/>
        </w:r>
      </w:hyperlink>
    </w:p>
    <w:p w14:paraId="41713CF0" w14:textId="21858D48" w:rsidR="002158B1" w:rsidRPr="002158B1" w:rsidRDefault="002158B1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51555" w:history="1">
        <w:r w:rsidRPr="002158B1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158B1">
          <w:rPr>
            <w:rStyle w:val="affffd"/>
            <w:rFonts w:hint="eastAsia"/>
            <w:noProof/>
          </w:rPr>
          <w:t xml:space="preserve"> 考核与责任追究</w:t>
        </w:r>
        <w:r w:rsidRPr="002158B1">
          <w:rPr>
            <w:rFonts w:hint="eastAsia"/>
            <w:noProof/>
          </w:rPr>
          <w:tab/>
        </w:r>
        <w:r w:rsidRPr="002158B1">
          <w:rPr>
            <w:rFonts w:hint="eastAsia"/>
            <w:noProof/>
          </w:rPr>
          <w:fldChar w:fldCharType="begin"/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noProof/>
          </w:rPr>
          <w:instrText>PAGEREF _Toc227251555 \h</w:instrText>
        </w:r>
        <w:r w:rsidRPr="002158B1">
          <w:rPr>
            <w:rFonts w:hint="eastAsia"/>
            <w:noProof/>
          </w:rPr>
          <w:instrText xml:space="preserve"> </w:instrText>
        </w:r>
        <w:r w:rsidRPr="002158B1">
          <w:rPr>
            <w:rFonts w:hint="eastAsia"/>
            <w:noProof/>
          </w:rPr>
        </w:r>
        <w:r w:rsidRPr="002158B1">
          <w:rPr>
            <w:rFonts w:hint="eastAsia"/>
            <w:noProof/>
          </w:rPr>
          <w:fldChar w:fldCharType="separate"/>
        </w:r>
        <w:r w:rsidRPr="002158B1">
          <w:rPr>
            <w:noProof/>
          </w:rPr>
          <w:t>8</w:t>
        </w:r>
        <w:r w:rsidRPr="002158B1">
          <w:rPr>
            <w:rFonts w:hint="eastAsia"/>
            <w:noProof/>
          </w:rPr>
          <w:fldChar w:fldCharType="end"/>
        </w:r>
      </w:hyperlink>
    </w:p>
    <w:p w14:paraId="0B13B0FF" w14:textId="303B892C" w:rsidR="002158B1" w:rsidRPr="002158B1" w:rsidRDefault="002158B1" w:rsidP="002158B1">
      <w:pPr>
        <w:pStyle w:val="affffffc"/>
        <w:spacing w:after="360"/>
        <w:sectPr w:rsidR="002158B1" w:rsidRPr="002158B1" w:rsidSect="002158B1">
          <w:headerReference w:type="even" r:id="rId15"/>
          <w:headerReference w:type="default" r:id="rId16"/>
          <w:footerReference w:type="default" r:id="rId17"/>
          <w:pgSz w:w="11906" w:h="16838"/>
          <w:pgMar w:top="1928" w:right="1134" w:bottom="1134" w:left="1134" w:header="1418" w:footer="1134" w:gutter="284"/>
          <w:pgNumType w:fmt="upperRoman" w:start="1"/>
          <w:cols w:space="425"/>
          <w:formProt w:val="0"/>
          <w:docGrid w:linePitch="312"/>
        </w:sectPr>
      </w:pPr>
      <w:r w:rsidRPr="002158B1">
        <w:fldChar w:fldCharType="end"/>
      </w:r>
    </w:p>
    <w:p w14:paraId="3649E1FC" w14:textId="77777777" w:rsidR="002E7C44" w:rsidRDefault="00000000">
      <w:pPr>
        <w:pStyle w:val="a6"/>
        <w:spacing w:before="850" w:afterLines="0" w:after="680"/>
      </w:pPr>
      <w:bookmarkStart w:id="24" w:name="BookMark2"/>
      <w:bookmarkStart w:id="25" w:name="_Toc227251511"/>
      <w:bookmarkEnd w:id="23"/>
      <w:r>
        <w:rPr>
          <w:rFonts w:hint="eastAsia"/>
        </w:rPr>
        <w:lastRenderedPageBreak/>
        <w:t>前</w:t>
      </w:r>
      <w:r>
        <w:t>言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5"/>
    </w:p>
    <w:p w14:paraId="4B6F6134" w14:textId="77777777" w:rsidR="002E7C44" w:rsidRDefault="00000000">
      <w:pPr>
        <w:pStyle w:val="afffff7"/>
      </w:pPr>
      <w:r>
        <w:rPr>
          <w:rFonts w:hint="eastAsia"/>
        </w:rPr>
        <w:t>本文件按照GB/T 1.1—2020《标准化工作导则  第1部分：标准化文件的结构和起草规则》的规定起草。</w:t>
      </w:r>
    </w:p>
    <w:p w14:paraId="0AF0EDDF" w14:textId="77777777" w:rsidR="002E7C44" w:rsidRDefault="00000000">
      <w:pPr>
        <w:pStyle w:val="afffff7"/>
      </w:pPr>
      <w:r>
        <w:rPr>
          <w:rFonts w:hint="eastAsia"/>
        </w:rPr>
        <w:t>请注意本文件的某些内容可能涉及专利。本文件的发布机构不承担识别专利的责任。</w:t>
      </w:r>
    </w:p>
    <w:p w14:paraId="57E23FA7" w14:textId="39B59430" w:rsidR="002E7C44" w:rsidRDefault="00000000">
      <w:pPr>
        <w:pStyle w:val="afffff7"/>
      </w:pPr>
      <w:r>
        <w:rPr>
          <w:rFonts w:hint="eastAsia"/>
        </w:rPr>
        <w:t>本文件由</w:t>
      </w:r>
      <w:r w:rsidR="0042486A">
        <w:rPr>
          <w:rFonts w:hint="eastAsia"/>
        </w:rPr>
        <w:t>XXX</w:t>
      </w:r>
      <w:r>
        <w:rPr>
          <w:rFonts w:hint="eastAsia"/>
        </w:rPr>
        <w:t>提出。</w:t>
      </w:r>
    </w:p>
    <w:p w14:paraId="1DB0D9FD" w14:textId="77777777" w:rsidR="002E7C44" w:rsidRDefault="00000000">
      <w:pPr>
        <w:pStyle w:val="afffff7"/>
      </w:pPr>
      <w:r>
        <w:rPr>
          <w:rFonts w:hint="eastAsia"/>
        </w:rPr>
        <w:t>本文件由中国西部开发促进会归口。</w:t>
      </w:r>
    </w:p>
    <w:p w14:paraId="24A77D1A" w14:textId="301F28AB" w:rsidR="002E7C44" w:rsidRDefault="00000000">
      <w:pPr>
        <w:pStyle w:val="afffff7"/>
      </w:pPr>
      <w:r>
        <w:rPr>
          <w:rFonts w:hint="eastAsia"/>
        </w:rPr>
        <w:t>本文件起草单位：。</w:t>
      </w:r>
    </w:p>
    <w:p w14:paraId="48771F25" w14:textId="1D71152B" w:rsidR="002E7C44" w:rsidRDefault="00000000">
      <w:pPr>
        <w:pStyle w:val="afffff7"/>
      </w:pPr>
      <w:r>
        <w:rPr>
          <w:rFonts w:hint="eastAsia"/>
        </w:rPr>
        <w:t>本文件主要起草人：。</w:t>
      </w:r>
    </w:p>
    <w:p w14:paraId="1CF299F9" w14:textId="77777777" w:rsidR="002E7C44" w:rsidRDefault="00000000">
      <w:pPr>
        <w:pStyle w:val="afffff7"/>
      </w:pPr>
      <w:r>
        <w:rPr>
          <w:rFonts w:hint="eastAsia"/>
        </w:rPr>
        <w:t>本文件为首次发布。</w:t>
      </w:r>
    </w:p>
    <w:p w14:paraId="22099C88" w14:textId="77777777" w:rsidR="002E7C44" w:rsidRDefault="002E7C44">
      <w:pPr>
        <w:pStyle w:val="afffff7"/>
      </w:pPr>
    </w:p>
    <w:p w14:paraId="65C6D449" w14:textId="77777777" w:rsidR="002E7C44" w:rsidRDefault="002E7C44">
      <w:pPr>
        <w:pStyle w:val="afffff7"/>
        <w:sectPr w:rsidR="002E7C44">
          <w:pgSz w:w="11906" w:h="16838"/>
          <w:pgMar w:top="1928" w:right="1134" w:bottom="1134" w:left="1134" w:header="1418" w:footer="1134" w:gutter="284"/>
          <w:pgNumType w:fmt="upperRoman"/>
          <w:cols w:space="425"/>
          <w:formProt w:val="0"/>
          <w:docGrid w:linePitch="312"/>
        </w:sectPr>
      </w:pPr>
    </w:p>
    <w:p w14:paraId="17CAEE48" w14:textId="77777777" w:rsidR="002E7C44" w:rsidRDefault="002E7C44">
      <w:pPr>
        <w:spacing w:line="20" w:lineRule="exact"/>
        <w:jc w:val="center"/>
        <w:rPr>
          <w:rFonts w:ascii="黑体" w:eastAsia="黑体" w:hAnsi="黑体" w:hint="eastAsia"/>
          <w:sz w:val="32"/>
          <w:szCs w:val="32"/>
        </w:rPr>
      </w:pPr>
      <w:bookmarkStart w:id="26" w:name="BookMark4"/>
      <w:bookmarkEnd w:id="24"/>
    </w:p>
    <w:p w14:paraId="5F23FA00" w14:textId="77777777" w:rsidR="002E7C44" w:rsidRDefault="002E7C44">
      <w:pPr>
        <w:spacing w:line="2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4954EE5A" w14:textId="77777777" w:rsidR="00567834" w:rsidRDefault="00567834" w:rsidP="00567834">
      <w:pPr>
        <w:pStyle w:val="affb"/>
      </w:pPr>
      <w:bookmarkStart w:id="27" w:name="_Toc7073"/>
      <w:bookmarkStart w:id="28" w:name="_Toc219386768"/>
      <w:bookmarkStart w:id="29" w:name="_Toc23108"/>
      <w:bookmarkStart w:id="30" w:name="_Toc212487671"/>
      <w:bookmarkStart w:id="31" w:name="_Toc213077073"/>
      <w:bookmarkStart w:id="32" w:name="_Toc18263"/>
      <w:bookmarkStart w:id="33" w:name="_Toc113282590"/>
      <w:bookmarkStart w:id="34" w:name="_Toc212823335"/>
      <w:bookmarkStart w:id="35" w:name="_Toc24419"/>
      <w:bookmarkStart w:id="36" w:name="_Toc212315098"/>
      <w:bookmarkStart w:id="37" w:name="_Toc225323503"/>
      <w:bookmarkStart w:id="38" w:name="_Toc225323738"/>
      <w:bookmarkStart w:id="39" w:name="_Toc225324505"/>
      <w:bookmarkStart w:id="40" w:name="_Toc225326325"/>
      <w:bookmarkStart w:id="41" w:name="_Toc225954067"/>
      <w:bookmarkStart w:id="42" w:name="_Toc225954124"/>
      <w:bookmarkStart w:id="43" w:name="_Toc226017200"/>
      <w:bookmarkStart w:id="44" w:name="_Toc226538223"/>
      <w:bookmarkStart w:id="45" w:name="_Toc226550593"/>
      <w:bookmarkStart w:id="46" w:name="_Toc226620157"/>
      <w:bookmarkStart w:id="47" w:name="_Toc226729576"/>
      <w:bookmarkStart w:id="48" w:name="_Toc226731693"/>
      <w:bookmarkStart w:id="49" w:name="_Toc226731974"/>
      <w:bookmarkStart w:id="50" w:name="_Toc227249065"/>
      <w:bookmarkStart w:id="51" w:name="_Toc227249204"/>
      <w:bookmarkStart w:id="52" w:name="_Toc227251512"/>
      <w:r w:rsidRPr="00CF3B17">
        <w:rPr>
          <w:rFonts w:hint="eastAsia"/>
        </w:rPr>
        <w:t>地质矿山矿产安全监测与预警技术规范</w:t>
      </w:r>
      <w:bookmarkEnd w:id="50"/>
      <w:bookmarkEnd w:id="51"/>
      <w:bookmarkEnd w:id="52"/>
    </w:p>
    <w:p w14:paraId="212C99C7" w14:textId="77777777" w:rsidR="002E7C44" w:rsidRDefault="00000000">
      <w:pPr>
        <w:pStyle w:val="affc"/>
        <w:spacing w:before="240" w:after="240"/>
      </w:pPr>
      <w:bookmarkStart w:id="53" w:name="_Toc227249066"/>
      <w:bookmarkStart w:id="54" w:name="_Toc227249205"/>
      <w:bookmarkStart w:id="55" w:name="_Toc227251513"/>
      <w:r>
        <w:rPr>
          <w:rFonts w:hint="eastAsia"/>
        </w:rPr>
        <w:t>范围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3"/>
      <w:bookmarkEnd w:id="54"/>
      <w:bookmarkEnd w:id="55"/>
    </w:p>
    <w:p w14:paraId="47142F00" w14:textId="1309EAFD" w:rsidR="002E7C44" w:rsidRDefault="00000000">
      <w:pPr>
        <w:pStyle w:val="afffff7"/>
      </w:pPr>
      <w:bookmarkStart w:id="56" w:name="_Toc17233326"/>
      <w:bookmarkStart w:id="57" w:name="_Toc24884219"/>
      <w:bookmarkStart w:id="58" w:name="_Toc17233334"/>
      <w:bookmarkStart w:id="59" w:name="_Toc26648466"/>
      <w:bookmarkStart w:id="60" w:name="_Toc24884212"/>
      <w:r>
        <w:rPr>
          <w:rFonts w:hint="eastAsia"/>
        </w:rPr>
        <w:t>本文件规定了</w:t>
      </w:r>
      <w:r w:rsidR="00AE0611" w:rsidRPr="00AE0611">
        <w:t>地质矿山矿产安全监测与预警的总体要求、监测对象与内容、监测装备与网点布设、数据采集传输与处理、预警模型与等级划分、预警发布与响应处置以及系统运行维护与管理</w:t>
      </w:r>
      <w:r>
        <w:rPr>
          <w:rFonts w:hint="eastAsia"/>
        </w:rPr>
        <w:t>。</w:t>
      </w:r>
    </w:p>
    <w:p w14:paraId="6C5BFD52" w14:textId="02B84AA2" w:rsidR="002E7C44" w:rsidRDefault="00000000">
      <w:pPr>
        <w:pStyle w:val="afffff7"/>
      </w:pPr>
      <w:r>
        <w:rPr>
          <w:rFonts w:hint="eastAsia"/>
        </w:rPr>
        <w:t>本文件适用于</w:t>
      </w:r>
      <w:r w:rsidR="00AE0611" w:rsidRPr="00AE0611">
        <w:t>金属非金属露天矿山、地下矿山及尾矿库等地质矿产领域的安全监测预警系统的设计、建设、运行与管理</w:t>
      </w:r>
      <w:r>
        <w:rPr>
          <w:rFonts w:hint="eastAsia"/>
        </w:rPr>
        <w:t>。</w:t>
      </w:r>
      <w:bookmarkStart w:id="61" w:name="_Toc26986531"/>
      <w:bookmarkStart w:id="62" w:name="_Toc1048"/>
      <w:bookmarkStart w:id="63" w:name="_Toc212823336"/>
      <w:bookmarkStart w:id="64" w:name="_Toc29984"/>
      <w:bookmarkStart w:id="65" w:name="_Toc97192965"/>
      <w:bookmarkStart w:id="66" w:name="_Toc13917"/>
      <w:bookmarkStart w:id="67" w:name="_Toc113282591"/>
      <w:bookmarkStart w:id="68" w:name="_Toc26986772"/>
      <w:bookmarkStart w:id="69" w:name="_Toc26718931"/>
      <w:bookmarkStart w:id="70" w:name="_Toc19575"/>
      <w:bookmarkStart w:id="71" w:name="_Toc212487672"/>
      <w:bookmarkStart w:id="72" w:name="_Toc212315099"/>
    </w:p>
    <w:p w14:paraId="20122954" w14:textId="77777777" w:rsidR="002E7C44" w:rsidRDefault="00000000">
      <w:pPr>
        <w:pStyle w:val="affc"/>
        <w:spacing w:before="240" w:after="240"/>
      </w:pPr>
      <w:bookmarkStart w:id="73" w:name="_Toc219386769"/>
      <w:bookmarkStart w:id="74" w:name="_Toc213077074"/>
      <w:bookmarkStart w:id="75" w:name="_Toc225323504"/>
      <w:bookmarkStart w:id="76" w:name="_Toc225323739"/>
      <w:bookmarkStart w:id="77" w:name="_Toc225324506"/>
      <w:bookmarkStart w:id="78" w:name="_Toc225326326"/>
      <w:bookmarkStart w:id="79" w:name="_Toc225954068"/>
      <w:bookmarkStart w:id="80" w:name="_Toc225954125"/>
      <w:bookmarkStart w:id="81" w:name="_Toc226017201"/>
      <w:bookmarkStart w:id="82" w:name="_Toc226538224"/>
      <w:bookmarkStart w:id="83" w:name="_Toc226550594"/>
      <w:bookmarkStart w:id="84" w:name="_Toc226620158"/>
      <w:bookmarkStart w:id="85" w:name="_Toc226729577"/>
      <w:bookmarkStart w:id="86" w:name="_Toc226731694"/>
      <w:bookmarkStart w:id="87" w:name="_Toc226731975"/>
      <w:bookmarkStart w:id="88" w:name="_Toc227249067"/>
      <w:bookmarkStart w:id="89" w:name="_Toc227249206"/>
      <w:bookmarkStart w:id="90" w:name="_Toc227251514"/>
      <w:r>
        <w:rPr>
          <w:rFonts w:hint="eastAsia"/>
        </w:rPr>
        <w:t>规范性引用文件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389791E3" w14:textId="25EF5E25" w:rsidR="002E7C44" w:rsidRPr="002158B1" w:rsidRDefault="002158B1" w:rsidP="002158B1">
      <w:pPr>
        <w:autoSpaceDE w:val="0"/>
        <w:autoSpaceDN w:val="0"/>
        <w:spacing w:line="240" w:lineRule="auto"/>
        <w:ind w:firstLineChars="200" w:firstLine="420"/>
        <w:rPr>
          <w:rFonts w:hint="eastAsia"/>
        </w:rPr>
      </w:pPr>
      <w:r>
        <w:rPr>
          <w:rFonts w:hint="eastAsia"/>
        </w:rPr>
        <w:t>本文件没有规范性引用文件</w:t>
      </w:r>
      <w:r w:rsidR="00000000">
        <w:rPr>
          <w:rFonts w:hint="eastAsia"/>
        </w:rPr>
        <w:t>。</w:t>
      </w:r>
      <w:bookmarkStart w:id="91" w:name="_Toc97192966"/>
      <w:bookmarkStart w:id="92" w:name="_Toc113282592"/>
    </w:p>
    <w:p w14:paraId="29C491AD" w14:textId="73AC6AAC" w:rsidR="002E7C44" w:rsidRDefault="00000000">
      <w:pPr>
        <w:pStyle w:val="affc"/>
        <w:spacing w:before="240" w:after="240"/>
      </w:pPr>
      <w:bookmarkStart w:id="93" w:name="_Toc4140"/>
      <w:bookmarkStart w:id="94" w:name="_Toc212315100"/>
      <w:bookmarkStart w:id="95" w:name="_Toc11391"/>
      <w:bookmarkStart w:id="96" w:name="_Toc219386770"/>
      <w:bookmarkStart w:id="97" w:name="_Toc212487673"/>
      <w:bookmarkStart w:id="98" w:name="_Toc6287"/>
      <w:bookmarkStart w:id="99" w:name="_Toc213077075"/>
      <w:bookmarkStart w:id="100" w:name="_Toc2656"/>
      <w:bookmarkStart w:id="101" w:name="_Toc212823337"/>
      <w:bookmarkStart w:id="102" w:name="_Toc225323505"/>
      <w:bookmarkStart w:id="103" w:name="_Toc225323740"/>
      <w:bookmarkStart w:id="104" w:name="_Toc225324507"/>
      <w:bookmarkStart w:id="105" w:name="_Toc225326327"/>
      <w:bookmarkStart w:id="106" w:name="_Toc225954069"/>
      <w:bookmarkStart w:id="107" w:name="_Toc225954126"/>
      <w:bookmarkStart w:id="108" w:name="_Toc226017202"/>
      <w:bookmarkStart w:id="109" w:name="_Toc226538225"/>
      <w:bookmarkStart w:id="110" w:name="_Toc226550595"/>
      <w:bookmarkStart w:id="111" w:name="_Toc226620159"/>
      <w:bookmarkStart w:id="112" w:name="_Toc226729578"/>
      <w:bookmarkStart w:id="113" w:name="_Toc226731695"/>
      <w:bookmarkStart w:id="114" w:name="_Toc226731976"/>
      <w:bookmarkStart w:id="115" w:name="_Toc227249068"/>
      <w:bookmarkStart w:id="116" w:name="_Toc227249207"/>
      <w:bookmarkStart w:id="117" w:name="_Toc227251515"/>
      <w:r>
        <w:rPr>
          <w:rFonts w:hint="eastAsia"/>
          <w:szCs w:val="21"/>
        </w:rPr>
        <w:t>术语和定义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6E8EC6B2" w14:textId="2FDE948A" w:rsidR="009A2609" w:rsidRPr="009A2609" w:rsidRDefault="00000000" w:rsidP="009A2609">
      <w:pPr>
        <w:pStyle w:val="afffff7"/>
      </w:pPr>
      <w:r>
        <w:rPr>
          <w:rFonts w:hint="eastAsia"/>
        </w:rPr>
        <w:t>下列术语和定义适用于本文件。</w:t>
      </w:r>
    </w:p>
    <w:p w14:paraId="22C20E38" w14:textId="03BD2FA5" w:rsidR="009A2609" w:rsidRPr="009A2609" w:rsidRDefault="009A2609" w:rsidP="009A2609">
      <w:pPr>
        <w:pStyle w:val="afffffffffff6"/>
        <w:ind w:left="420" w:hangingChars="200" w:hanging="420"/>
        <w:rPr>
          <w:rFonts w:ascii="黑体" w:eastAsia="黑体" w:hAnsi="黑体" w:hint="eastAsia"/>
        </w:rPr>
      </w:pPr>
      <w:r w:rsidRPr="009A2609">
        <w:rPr>
          <w:rFonts w:ascii="黑体" w:eastAsia="黑体" w:hAnsi="黑体"/>
        </w:rPr>
        <w:br/>
      </w:r>
      <w:r w:rsidRPr="009A2609">
        <w:rPr>
          <w:rFonts w:ascii="黑体" w:eastAsia="黑体" w:hAnsi="黑体" w:hint="eastAsia"/>
        </w:rPr>
        <w:t xml:space="preserve">地质矿山地质灾害预警 early warning of geological disaster in mines </w:t>
      </w:r>
    </w:p>
    <w:p w14:paraId="56BE4601" w14:textId="77777777" w:rsidR="009A2609" w:rsidRDefault="009A2609" w:rsidP="009A2609">
      <w:pPr>
        <w:pStyle w:val="afffff7"/>
      </w:pPr>
      <w:r>
        <w:rPr>
          <w:rFonts w:hint="eastAsia"/>
        </w:rPr>
        <w:t>通过对矿区地质环境参数进行连续或定期的监测、数据处理和模型分析，预测滑坡、泥石流、岩爆等灾害发生的时间、空间及强度，并按不同风险等级发出警报的活动。</w:t>
      </w:r>
    </w:p>
    <w:p w14:paraId="09A83A69" w14:textId="08F53BDE" w:rsidR="009A2609" w:rsidRPr="009A2609" w:rsidRDefault="009A2609" w:rsidP="009A2609">
      <w:pPr>
        <w:pStyle w:val="afffffffffff6"/>
        <w:ind w:left="420" w:hangingChars="200" w:hanging="420"/>
        <w:rPr>
          <w:rFonts w:ascii="黑体" w:eastAsia="黑体" w:hAnsi="黑体" w:hint="eastAsia"/>
        </w:rPr>
      </w:pPr>
      <w:r w:rsidRPr="009A2609">
        <w:rPr>
          <w:rFonts w:ascii="黑体" w:eastAsia="黑体" w:hAnsi="黑体"/>
        </w:rPr>
        <w:br/>
      </w:r>
      <w:proofErr w:type="gramStart"/>
      <w:r w:rsidRPr="009A2609">
        <w:rPr>
          <w:rFonts w:ascii="黑体" w:eastAsia="黑体" w:hAnsi="黑体" w:hint="eastAsia"/>
        </w:rPr>
        <w:t>矿压监测</w:t>
      </w:r>
      <w:proofErr w:type="gramEnd"/>
      <w:r w:rsidRPr="009A2609">
        <w:rPr>
          <w:rFonts w:ascii="黑体" w:eastAsia="黑体" w:hAnsi="黑体" w:hint="eastAsia"/>
        </w:rPr>
        <w:t xml:space="preserve">系统 mine pressure monitoring system </w:t>
      </w:r>
    </w:p>
    <w:p w14:paraId="27EE804F" w14:textId="77777777" w:rsidR="009A2609" w:rsidRDefault="009A2609" w:rsidP="009A2609">
      <w:pPr>
        <w:pStyle w:val="afffff7"/>
      </w:pPr>
      <w:r>
        <w:rPr>
          <w:rFonts w:hint="eastAsia"/>
        </w:rPr>
        <w:t>具有矿山岩体内部和支撑物受力数据采集、传输、存储、处理及预警显示功能的监测网络体系。</w:t>
      </w:r>
    </w:p>
    <w:p w14:paraId="15D58D3D" w14:textId="43065CEF" w:rsidR="009A2609" w:rsidRPr="009A2609" w:rsidRDefault="009A2609" w:rsidP="009A2609">
      <w:pPr>
        <w:pStyle w:val="afffffffffff6"/>
        <w:ind w:left="420" w:hangingChars="200" w:hanging="420"/>
        <w:rPr>
          <w:rFonts w:ascii="黑体" w:eastAsia="黑体" w:hAnsi="黑体" w:hint="eastAsia"/>
        </w:rPr>
      </w:pPr>
      <w:r w:rsidRPr="009A2609">
        <w:rPr>
          <w:rFonts w:ascii="黑体" w:eastAsia="黑体" w:hAnsi="黑体"/>
        </w:rPr>
        <w:br/>
      </w:r>
      <w:r w:rsidRPr="009A2609">
        <w:rPr>
          <w:rFonts w:ascii="黑体" w:eastAsia="黑体" w:hAnsi="黑体" w:hint="eastAsia"/>
        </w:rPr>
        <w:t xml:space="preserve">浸润线 saturation line </w:t>
      </w:r>
    </w:p>
    <w:p w14:paraId="7E63FA87" w14:textId="3C980E63" w:rsidR="009A2609" w:rsidRPr="009A2609" w:rsidRDefault="009A2609" w:rsidP="009A2609">
      <w:pPr>
        <w:pStyle w:val="afffff7"/>
        <w:rPr>
          <w:rFonts w:hint="eastAsia"/>
        </w:rPr>
      </w:pPr>
      <w:r>
        <w:rPr>
          <w:rFonts w:hint="eastAsia"/>
        </w:rPr>
        <w:t>水在尾矿坝坝体内部渗流时，水面与坝体横断面的交线</w:t>
      </w:r>
    </w:p>
    <w:p w14:paraId="6DAA9958" w14:textId="56EDF5A6" w:rsidR="00CF3B17" w:rsidRDefault="00CF3B17" w:rsidP="00CF3B17">
      <w:pPr>
        <w:pStyle w:val="affc"/>
        <w:spacing w:before="240" w:after="240"/>
      </w:pPr>
      <w:bookmarkStart w:id="118" w:name="_Toc227249072"/>
      <w:bookmarkStart w:id="119" w:name="_Toc227249208"/>
      <w:bookmarkStart w:id="120" w:name="_Toc227251516"/>
      <w:r>
        <w:rPr>
          <w:rFonts w:hint="eastAsia"/>
        </w:rPr>
        <w:t>总体要求</w:t>
      </w:r>
      <w:bookmarkEnd w:id="118"/>
      <w:bookmarkEnd w:id="119"/>
      <w:bookmarkEnd w:id="120"/>
    </w:p>
    <w:p w14:paraId="44C9AA59" w14:textId="517F6E77" w:rsidR="00CF3B17" w:rsidRDefault="00CF3B17" w:rsidP="00CF3B17">
      <w:pPr>
        <w:pStyle w:val="affd"/>
        <w:spacing w:before="120" w:after="120"/>
      </w:pPr>
      <w:bookmarkStart w:id="121" w:name="_Toc227249073"/>
      <w:bookmarkStart w:id="122" w:name="_Toc227249209"/>
      <w:bookmarkStart w:id="123" w:name="_Toc227251517"/>
      <w:r>
        <w:rPr>
          <w:rFonts w:hint="eastAsia"/>
        </w:rPr>
        <w:t>监测预警基本原则</w:t>
      </w:r>
      <w:bookmarkEnd w:id="121"/>
      <w:bookmarkEnd w:id="122"/>
      <w:bookmarkEnd w:id="123"/>
    </w:p>
    <w:p w14:paraId="554C35FB" w14:textId="77777777" w:rsidR="00AE0611" w:rsidRDefault="00AE0611" w:rsidP="00AE0611">
      <w:pPr>
        <w:pStyle w:val="afffff7"/>
      </w:pPr>
      <w:r w:rsidRPr="00AE0611">
        <w:t>系统建设应遵循以下原则：</w:t>
      </w:r>
    </w:p>
    <w:p w14:paraId="40BE92F5" w14:textId="2C7FFAE3" w:rsidR="00AE0611" w:rsidRDefault="00AE0611" w:rsidP="009A2609">
      <w:pPr>
        <w:pStyle w:val="af5"/>
      </w:pPr>
      <w:r w:rsidRPr="00AE0611">
        <w:t>全面覆盖与重点突出相结合：统筹整个矿区，优先保障高风险区域的实时监测</w:t>
      </w:r>
      <w:r w:rsidR="009A2609">
        <w:rPr>
          <w:rFonts w:hint="eastAsia"/>
        </w:rPr>
        <w:t>；</w:t>
      </w:r>
    </w:p>
    <w:p w14:paraId="6C3CDD46" w14:textId="44C89122" w:rsidR="00AE0611" w:rsidRDefault="00AE0611" w:rsidP="009A2609">
      <w:pPr>
        <w:pStyle w:val="af5"/>
      </w:pPr>
      <w:r w:rsidRPr="00AE0611">
        <w:t>实时感知与动态分析相融合：确保数据采集的连贯性，并实施动态趋势计算</w:t>
      </w:r>
      <w:r w:rsidR="009A2609">
        <w:rPr>
          <w:rFonts w:hint="eastAsia"/>
        </w:rPr>
        <w:t>；</w:t>
      </w:r>
    </w:p>
    <w:p w14:paraId="7EFB994B" w14:textId="5D74A7CE" w:rsidR="00AE0611" w:rsidRPr="00AE0611" w:rsidRDefault="00AE0611" w:rsidP="009A2609">
      <w:pPr>
        <w:pStyle w:val="af5"/>
      </w:pPr>
      <w:r w:rsidRPr="00AE0611">
        <w:t>分级预警与联防联动相衔接：建立清晰的分级标准，实现跨部门应急响应。</w:t>
      </w:r>
    </w:p>
    <w:p w14:paraId="0798FFF6" w14:textId="1E59E63B" w:rsidR="00CF3B17" w:rsidRDefault="00CF3B17" w:rsidP="00C57E9D">
      <w:pPr>
        <w:pStyle w:val="affd"/>
        <w:spacing w:before="120" w:after="120"/>
      </w:pPr>
      <w:bookmarkStart w:id="124" w:name="_Toc227249074"/>
      <w:bookmarkStart w:id="125" w:name="_Toc227249210"/>
      <w:bookmarkStart w:id="126" w:name="_Toc227251518"/>
      <w:r>
        <w:rPr>
          <w:rFonts w:hint="eastAsia"/>
        </w:rPr>
        <w:t>监测预警系统架构</w:t>
      </w:r>
      <w:bookmarkEnd w:id="124"/>
      <w:bookmarkEnd w:id="125"/>
      <w:bookmarkEnd w:id="126"/>
    </w:p>
    <w:p w14:paraId="427DA6E0" w14:textId="77777777" w:rsidR="009A2609" w:rsidRDefault="00AE0611" w:rsidP="00AE0611">
      <w:pPr>
        <w:pStyle w:val="afffff7"/>
      </w:pPr>
      <w:r w:rsidRPr="00AE0611">
        <w:t>监测预警系统的整体架构应包括以下四个层次：</w:t>
      </w:r>
    </w:p>
    <w:p w14:paraId="1855B5CC" w14:textId="060806A3" w:rsidR="009A2609" w:rsidRDefault="00AE0611" w:rsidP="009A2609">
      <w:pPr>
        <w:pStyle w:val="af5"/>
        <w:numPr>
          <w:ilvl w:val="0"/>
          <w:numId w:val="39"/>
        </w:numPr>
      </w:pPr>
      <w:r w:rsidRPr="00AE0611">
        <w:t>感知层：包括各类传感器和现场采集终端</w:t>
      </w:r>
      <w:r w:rsidR="009A2609">
        <w:rPr>
          <w:rFonts w:hint="eastAsia"/>
        </w:rPr>
        <w:t>；</w:t>
      </w:r>
    </w:p>
    <w:p w14:paraId="4F2D0246" w14:textId="1FD08EF0" w:rsidR="009A2609" w:rsidRDefault="00AE0611" w:rsidP="009A2609">
      <w:pPr>
        <w:pStyle w:val="af5"/>
      </w:pPr>
      <w:r w:rsidRPr="00AE0611">
        <w:t>传输层：包括有线光纤网络及无线通信网络</w:t>
      </w:r>
      <w:r w:rsidR="009A2609">
        <w:rPr>
          <w:rFonts w:hint="eastAsia"/>
        </w:rPr>
        <w:t>；</w:t>
      </w:r>
    </w:p>
    <w:p w14:paraId="09E2AA22" w14:textId="1BDBFD77" w:rsidR="009A2609" w:rsidRDefault="00AE0611" w:rsidP="009A2609">
      <w:pPr>
        <w:pStyle w:val="af5"/>
      </w:pPr>
      <w:r w:rsidRPr="00AE0611">
        <w:t>数据层：包括数据汇聚、清洗、存储的中心数据库</w:t>
      </w:r>
      <w:r w:rsidR="009A2609">
        <w:rPr>
          <w:rFonts w:hint="eastAsia"/>
        </w:rPr>
        <w:t>；</w:t>
      </w:r>
    </w:p>
    <w:p w14:paraId="38CFD8FB" w14:textId="4CCDAFEB" w:rsidR="00AE0611" w:rsidRPr="00AE0611" w:rsidRDefault="00AE0611" w:rsidP="009A2609">
      <w:pPr>
        <w:pStyle w:val="af5"/>
      </w:pPr>
      <w:r w:rsidRPr="00AE0611">
        <w:t>应用层：包含数据可视化、预警模型运算及综合管理平台。</w:t>
      </w:r>
    </w:p>
    <w:p w14:paraId="13A03BDD" w14:textId="115BAABC" w:rsidR="00CF3B17" w:rsidRDefault="00CF3B17" w:rsidP="00C57E9D">
      <w:pPr>
        <w:pStyle w:val="affd"/>
        <w:spacing w:before="120" w:after="120"/>
      </w:pPr>
      <w:bookmarkStart w:id="127" w:name="_Toc227249075"/>
      <w:bookmarkStart w:id="128" w:name="_Toc227249211"/>
      <w:bookmarkStart w:id="129" w:name="_Toc227251519"/>
      <w:r>
        <w:rPr>
          <w:rFonts w:hint="eastAsia"/>
        </w:rPr>
        <w:t>系统建设与运行流程</w:t>
      </w:r>
      <w:bookmarkEnd w:id="127"/>
      <w:bookmarkEnd w:id="128"/>
      <w:bookmarkEnd w:id="129"/>
    </w:p>
    <w:p w14:paraId="1F1DFAD8" w14:textId="77777777" w:rsidR="009A2609" w:rsidRDefault="00AE0611" w:rsidP="00AE0611">
      <w:pPr>
        <w:pStyle w:val="afffff7"/>
      </w:pPr>
      <w:r w:rsidRPr="00AE0611">
        <w:t>系统建设和运行的规范化流程主要包括以下阶段：</w:t>
      </w:r>
    </w:p>
    <w:p w14:paraId="2B4C09F2" w14:textId="77777777" w:rsidR="009A2609" w:rsidRDefault="00AE0611" w:rsidP="009A2609">
      <w:pPr>
        <w:pStyle w:val="af5"/>
        <w:numPr>
          <w:ilvl w:val="0"/>
          <w:numId w:val="40"/>
        </w:numPr>
      </w:pPr>
      <w:r w:rsidRPr="00AE0611">
        <w:t>前期踏勘与危险源评估</w:t>
      </w:r>
      <w:r w:rsidR="009A2609">
        <w:rPr>
          <w:rFonts w:hint="eastAsia"/>
        </w:rPr>
        <w:t>；</w:t>
      </w:r>
    </w:p>
    <w:p w14:paraId="657F21F5" w14:textId="77777777" w:rsidR="009A2609" w:rsidRDefault="00AE0611" w:rsidP="009A2609">
      <w:pPr>
        <w:pStyle w:val="af5"/>
      </w:pPr>
      <w:r w:rsidRPr="00AE0611">
        <w:t>方案设计与软硬件选型</w:t>
      </w:r>
      <w:r w:rsidR="009A2609">
        <w:rPr>
          <w:rFonts w:hint="eastAsia"/>
        </w:rPr>
        <w:t>；</w:t>
      </w:r>
    </w:p>
    <w:p w14:paraId="41688015" w14:textId="77777777" w:rsidR="009A2609" w:rsidRDefault="00AE0611" w:rsidP="009A2609">
      <w:pPr>
        <w:pStyle w:val="af5"/>
      </w:pPr>
      <w:r w:rsidRPr="00AE0611">
        <w:lastRenderedPageBreak/>
        <w:t>现场安装、联调与验收</w:t>
      </w:r>
      <w:r w:rsidR="009A2609">
        <w:rPr>
          <w:rFonts w:hint="eastAsia"/>
        </w:rPr>
        <w:t>；</w:t>
      </w:r>
    </w:p>
    <w:p w14:paraId="7DF95E15" w14:textId="76EB715A" w:rsidR="00AE0611" w:rsidRPr="00AE0611" w:rsidRDefault="00AE0611" w:rsidP="009A2609">
      <w:pPr>
        <w:pStyle w:val="af5"/>
      </w:pPr>
      <w:r w:rsidRPr="00AE0611">
        <w:t>常态化巡测、数据分析与系统维护。</w:t>
      </w:r>
    </w:p>
    <w:p w14:paraId="0525494E" w14:textId="01F5C87C" w:rsidR="00CF3B17" w:rsidRDefault="00CF3B17" w:rsidP="00CF3B17">
      <w:pPr>
        <w:pStyle w:val="affc"/>
        <w:spacing w:before="240" w:after="240"/>
      </w:pPr>
      <w:bookmarkStart w:id="130" w:name="_Toc227249076"/>
      <w:bookmarkStart w:id="131" w:name="_Toc227249212"/>
      <w:bookmarkStart w:id="132" w:name="_Toc227251520"/>
      <w:r>
        <w:rPr>
          <w:rFonts w:hint="eastAsia"/>
        </w:rPr>
        <w:t>监测对象与内容</w:t>
      </w:r>
      <w:bookmarkEnd w:id="130"/>
      <w:bookmarkEnd w:id="131"/>
      <w:bookmarkEnd w:id="132"/>
    </w:p>
    <w:p w14:paraId="0279FBC6" w14:textId="20BDA66C" w:rsidR="00CF3B17" w:rsidRDefault="00CF3B17" w:rsidP="00CF3B17">
      <w:pPr>
        <w:pStyle w:val="affd"/>
        <w:spacing w:before="120" w:after="120"/>
      </w:pPr>
      <w:bookmarkStart w:id="133" w:name="_Toc227249077"/>
      <w:bookmarkStart w:id="134" w:name="_Toc227249213"/>
      <w:bookmarkStart w:id="135" w:name="_Toc227251521"/>
      <w:r>
        <w:rPr>
          <w:rFonts w:hint="eastAsia"/>
        </w:rPr>
        <w:t>矿区地质灾害监测</w:t>
      </w:r>
      <w:bookmarkEnd w:id="133"/>
      <w:bookmarkEnd w:id="134"/>
      <w:bookmarkEnd w:id="135"/>
    </w:p>
    <w:p w14:paraId="1CBC8484" w14:textId="26A632E3" w:rsidR="00CF3B17" w:rsidRDefault="00CF3B17" w:rsidP="00CF3B17">
      <w:pPr>
        <w:pStyle w:val="affe"/>
        <w:spacing w:before="120" w:after="120"/>
      </w:pPr>
      <w:r>
        <w:rPr>
          <w:rFonts w:hint="eastAsia"/>
        </w:rPr>
        <w:t>边坡及滑坡体位移监测</w:t>
      </w:r>
    </w:p>
    <w:p w14:paraId="2F124F62" w14:textId="56636A7F" w:rsidR="00AE0611" w:rsidRPr="00AE0611" w:rsidRDefault="00AE0611" w:rsidP="00AE0611">
      <w:pPr>
        <w:pStyle w:val="afffff7"/>
      </w:pPr>
      <w:r w:rsidRPr="00AE0611">
        <w:t>主要监测指标应包含：地表表面水平和垂直位移、深部变形、裂缝宽度发展等。</w:t>
      </w:r>
    </w:p>
    <w:p w14:paraId="07348E88" w14:textId="75004C07" w:rsidR="00CF3B17" w:rsidRDefault="00CF3B17" w:rsidP="00C57E9D">
      <w:pPr>
        <w:pStyle w:val="affe"/>
        <w:spacing w:before="120" w:after="120"/>
      </w:pPr>
      <w:r>
        <w:rPr>
          <w:rFonts w:hint="eastAsia"/>
        </w:rPr>
        <w:t>采空区及地面塌陷监测</w:t>
      </w:r>
    </w:p>
    <w:p w14:paraId="02E183F3" w14:textId="49D3D1BA" w:rsidR="00AE0611" w:rsidRPr="00AE0611" w:rsidRDefault="00AE0611" w:rsidP="00AE0611">
      <w:pPr>
        <w:pStyle w:val="afffff7"/>
      </w:pPr>
      <w:r w:rsidRPr="00AE0611">
        <w:t>主要监测指标应包含：地表沉降量、岩层内部应力变化、微震活动等。</w:t>
      </w:r>
    </w:p>
    <w:p w14:paraId="064CA1F8" w14:textId="55930C2A" w:rsidR="00CF3B17" w:rsidRDefault="00CF3B17" w:rsidP="00C57E9D">
      <w:pPr>
        <w:pStyle w:val="affe"/>
        <w:spacing w:before="120" w:after="120"/>
      </w:pPr>
      <w:r>
        <w:rPr>
          <w:rFonts w:hint="eastAsia"/>
        </w:rPr>
        <w:t>泥石流与水土流失监测</w:t>
      </w:r>
    </w:p>
    <w:p w14:paraId="39780150" w14:textId="2B668EED" w:rsidR="00AE0611" w:rsidRPr="00AE0611" w:rsidRDefault="00AE0611" w:rsidP="00AE0611">
      <w:pPr>
        <w:pStyle w:val="afffff7"/>
      </w:pPr>
      <w:r w:rsidRPr="00AE0611">
        <w:t>主要监测指标应包含：沟谷泥水位、降雨量、土壤含水率等。</w:t>
      </w:r>
    </w:p>
    <w:p w14:paraId="44EE612A" w14:textId="0DDEE8AB" w:rsidR="00CF3B17" w:rsidRDefault="00CF3B17" w:rsidP="00C57E9D">
      <w:pPr>
        <w:pStyle w:val="affd"/>
        <w:spacing w:before="120" w:after="120"/>
      </w:pPr>
      <w:bookmarkStart w:id="136" w:name="_Toc227249078"/>
      <w:bookmarkStart w:id="137" w:name="_Toc227249214"/>
      <w:bookmarkStart w:id="138" w:name="_Toc227251522"/>
      <w:r>
        <w:rPr>
          <w:rFonts w:hint="eastAsia"/>
        </w:rPr>
        <w:t>矿井生产安全监测</w:t>
      </w:r>
      <w:bookmarkEnd w:id="136"/>
      <w:bookmarkEnd w:id="137"/>
      <w:bookmarkEnd w:id="138"/>
    </w:p>
    <w:p w14:paraId="08125955" w14:textId="763C2EE4" w:rsidR="00CF3B17" w:rsidRDefault="00CF3B17" w:rsidP="00C57E9D">
      <w:pPr>
        <w:pStyle w:val="affe"/>
        <w:spacing w:before="120" w:after="120"/>
      </w:pPr>
      <w:r>
        <w:rPr>
          <w:rFonts w:hint="eastAsia"/>
        </w:rPr>
        <w:t xml:space="preserve"> 矿井通风与有害气体监测</w:t>
      </w:r>
    </w:p>
    <w:p w14:paraId="4093297F" w14:textId="5B5DC705" w:rsidR="00AE0611" w:rsidRPr="00AE0611" w:rsidRDefault="00AE0611" w:rsidP="00AE0611">
      <w:pPr>
        <w:pStyle w:val="afffff7"/>
      </w:pPr>
      <w:r w:rsidRPr="00AE0611">
        <w:t>应实时监测以下气体及环境参数：甲烷（CH</w:t>
      </w:r>
      <w:r w:rsidRPr="00AE0611">
        <w:t>₄</w:t>
      </w:r>
      <w:r w:rsidRPr="00AE0611">
        <w:t>）、一氧化碳（CO）、二氧化氮（NO</w:t>
      </w:r>
      <w:r w:rsidRPr="00AE0611">
        <w:t>₂</w:t>
      </w:r>
      <w:r w:rsidRPr="00AE0611">
        <w:t>）浓度，以及风速、风压、环境温度。</w:t>
      </w:r>
    </w:p>
    <w:p w14:paraId="42F9D9E3" w14:textId="1337F1CC" w:rsidR="00CF3B17" w:rsidRDefault="00CF3B17" w:rsidP="00C57E9D">
      <w:pPr>
        <w:pStyle w:val="affe"/>
        <w:spacing w:before="120" w:after="120"/>
      </w:pPr>
      <w:r>
        <w:rPr>
          <w:rFonts w:hint="eastAsia"/>
        </w:rPr>
        <w:t xml:space="preserve"> 矿井水文地质及涌水量监测</w:t>
      </w:r>
    </w:p>
    <w:p w14:paraId="09EC1E2D" w14:textId="6486C1CB" w:rsidR="00AE0611" w:rsidRPr="00AE0611" w:rsidRDefault="00AE0611" w:rsidP="00AE0611">
      <w:pPr>
        <w:pStyle w:val="afffff7"/>
      </w:pPr>
      <w:r w:rsidRPr="00AE0611">
        <w:t>应重点监测以下水文要素：地下水位标高、孔隙水压力、主排水泵站及各采区涌水量。</w:t>
      </w:r>
    </w:p>
    <w:p w14:paraId="0628A24D" w14:textId="45A94861" w:rsidR="00CF3B17" w:rsidRDefault="00CF3B17" w:rsidP="00C57E9D">
      <w:pPr>
        <w:pStyle w:val="affe"/>
        <w:spacing w:before="120" w:after="120"/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矿压与</w:t>
      </w:r>
      <w:proofErr w:type="gramEnd"/>
      <w:r>
        <w:rPr>
          <w:rFonts w:hint="eastAsia"/>
        </w:rPr>
        <w:t>岩爆（冲击地压）监测</w:t>
      </w:r>
    </w:p>
    <w:p w14:paraId="266ABEF0" w14:textId="6236E58F" w:rsidR="00AE0611" w:rsidRPr="00AE0611" w:rsidRDefault="00AE0611" w:rsidP="00AE0611">
      <w:pPr>
        <w:pStyle w:val="afffff7"/>
      </w:pPr>
      <w:r w:rsidRPr="00AE0611">
        <w:t>应持续获取以下力学参数：巷道围岩变形量、支护应力、微震震级与频次。</w:t>
      </w:r>
    </w:p>
    <w:p w14:paraId="5FE7065D" w14:textId="76149CB8" w:rsidR="00CF3B17" w:rsidRDefault="00CF3B17" w:rsidP="00C57E9D">
      <w:pPr>
        <w:pStyle w:val="affd"/>
        <w:spacing w:before="120" w:after="120"/>
      </w:pPr>
      <w:bookmarkStart w:id="139" w:name="_Toc227249079"/>
      <w:bookmarkStart w:id="140" w:name="_Toc227249215"/>
      <w:bookmarkStart w:id="141" w:name="_Toc227251523"/>
      <w:r>
        <w:rPr>
          <w:rFonts w:hint="eastAsia"/>
        </w:rPr>
        <w:t>尾矿库及排土场监测</w:t>
      </w:r>
      <w:bookmarkEnd w:id="139"/>
      <w:bookmarkEnd w:id="140"/>
      <w:bookmarkEnd w:id="141"/>
    </w:p>
    <w:p w14:paraId="3CEC05F0" w14:textId="4149C510" w:rsidR="00CF3B17" w:rsidRDefault="00CF3B17" w:rsidP="00C57E9D">
      <w:pPr>
        <w:pStyle w:val="affe"/>
        <w:spacing w:before="120" w:after="120"/>
      </w:pPr>
      <w:r>
        <w:rPr>
          <w:rFonts w:hint="eastAsia"/>
        </w:rPr>
        <w:t>坝体表面及内部位移监测</w:t>
      </w:r>
    </w:p>
    <w:p w14:paraId="483139A1" w14:textId="7CD1EE3C" w:rsidR="00AE0611" w:rsidRPr="00AE0611" w:rsidRDefault="00AE0611" w:rsidP="00AE0611">
      <w:pPr>
        <w:pStyle w:val="afffff7"/>
      </w:pPr>
      <w:r w:rsidRPr="00AE0611">
        <w:t>监测对象应覆盖：初期坝、堆积坝的横向及纵向位移，以及排土场台阶形变。</w:t>
      </w:r>
    </w:p>
    <w:p w14:paraId="45AC8E18" w14:textId="1B890C18" w:rsidR="00CF3B17" w:rsidRDefault="00CF3B17" w:rsidP="00C57E9D">
      <w:pPr>
        <w:pStyle w:val="affe"/>
        <w:spacing w:before="120" w:after="120"/>
      </w:pPr>
      <w:r>
        <w:rPr>
          <w:rFonts w:hint="eastAsia"/>
        </w:rPr>
        <w:t>浸润线与库水位监测</w:t>
      </w:r>
    </w:p>
    <w:p w14:paraId="4507A8D1" w14:textId="4B5D0762" w:rsidR="00AE0611" w:rsidRPr="00AE0611" w:rsidRDefault="00AE0611" w:rsidP="00AE0611">
      <w:pPr>
        <w:pStyle w:val="afffff7"/>
      </w:pPr>
      <w:r w:rsidRPr="00AE0611">
        <w:t>监测对象应覆盖：坝体内部浸润线埋深、调洪库容及实时库水位高程。</w:t>
      </w:r>
    </w:p>
    <w:p w14:paraId="07D41A9F" w14:textId="4619D78B" w:rsidR="00CF3B17" w:rsidRDefault="00CF3B17" w:rsidP="00C57E9D">
      <w:pPr>
        <w:pStyle w:val="affe"/>
        <w:spacing w:before="120" w:after="120"/>
      </w:pPr>
      <w:r>
        <w:rPr>
          <w:rFonts w:hint="eastAsia"/>
        </w:rPr>
        <w:t>防洪排涝设施运行监测</w:t>
      </w:r>
    </w:p>
    <w:p w14:paraId="7383A6EE" w14:textId="09FA395C" w:rsidR="00AE0611" w:rsidRDefault="00AE0611" w:rsidP="00AE0611">
      <w:pPr>
        <w:pStyle w:val="afffff7"/>
      </w:pPr>
      <w:r w:rsidRPr="00AE0611">
        <w:t>监测对象应覆盖：截流沟、排水井及溢水塔的结构完整性与水流量状态。</w:t>
      </w:r>
    </w:p>
    <w:p w14:paraId="5475A4BE" w14:textId="49B518AD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142" w:name="_Toc227251524"/>
      <w:r>
        <w:rPr>
          <w:rFonts w:hint="eastAsia"/>
        </w:rPr>
        <w:t>排土场安全监测</w:t>
      </w:r>
      <w:bookmarkEnd w:id="142"/>
    </w:p>
    <w:p w14:paraId="403DF267" w14:textId="43807D30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排土场边坡稳定性监测</w:t>
      </w:r>
    </w:p>
    <w:p w14:paraId="23892A0B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监测边坡位移、沉降、裂缝开展、坡体含水率变化情况。</w:t>
      </w:r>
    </w:p>
    <w:p w14:paraId="601EAC8E" w14:textId="334F7A32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排土场</w:t>
      </w:r>
      <w:proofErr w:type="gramStart"/>
      <w:r>
        <w:rPr>
          <w:rFonts w:hint="eastAsia"/>
        </w:rPr>
        <w:t>截</w:t>
      </w:r>
      <w:proofErr w:type="gramEnd"/>
      <w:r>
        <w:rPr>
          <w:rFonts w:hint="eastAsia"/>
        </w:rPr>
        <w:t>排水系统监测</w:t>
      </w:r>
    </w:p>
    <w:p w14:paraId="13CEA525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监测截洪沟、排水沟、盲沟通畅性，排查淤积、破损、渗漏隐患。</w:t>
      </w:r>
    </w:p>
    <w:p w14:paraId="79A242F2" w14:textId="0B0FAF40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排土场滑坡与泥石流监测</w:t>
      </w:r>
    </w:p>
    <w:p w14:paraId="60EF3B31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监测土体松动、冲刷沟发育、堆积体稳定性及诱发泥石流风险。</w:t>
      </w:r>
    </w:p>
    <w:p w14:paraId="54BEBB9D" w14:textId="73C2F0FB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143" w:name="_Toc227251525"/>
      <w:r>
        <w:rPr>
          <w:rFonts w:hint="eastAsia"/>
        </w:rPr>
        <w:t>地面与建构筑物变形监测</w:t>
      </w:r>
      <w:bookmarkEnd w:id="143"/>
    </w:p>
    <w:p w14:paraId="343056B2" w14:textId="18A3B902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工业广场沉降监测</w:t>
      </w:r>
    </w:p>
    <w:p w14:paraId="3D7AAA47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lastRenderedPageBreak/>
        <w:t>监测办公楼、绞车房、变电所、炸药库等建构筑物沉降与倾斜。</w:t>
      </w:r>
    </w:p>
    <w:p w14:paraId="25E347CD" w14:textId="5BFD43E3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运输道路与管线监测</w:t>
      </w:r>
    </w:p>
    <w:p w14:paraId="1B464D6E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监测矿区道路沉降、开裂，供水管、排水管、输电线塔变形与位移。</w:t>
      </w:r>
    </w:p>
    <w:p w14:paraId="73153326" w14:textId="1E224438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边坡防护结构监测</w:t>
      </w:r>
    </w:p>
    <w:p w14:paraId="00B5FDF1" w14:textId="0F582FDE" w:rsidR="002158B1" w:rsidRPr="00AE061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监测挡土墙、抗滑桩、锚杆、锚索受力与变形状态。</w:t>
      </w:r>
    </w:p>
    <w:p w14:paraId="6F0DE873" w14:textId="4D18F518" w:rsidR="00CF3B17" w:rsidRDefault="00CF3B17" w:rsidP="00CF3B17">
      <w:pPr>
        <w:pStyle w:val="affc"/>
        <w:spacing w:before="240" w:after="240"/>
      </w:pPr>
      <w:bookmarkStart w:id="144" w:name="_Toc227249080"/>
      <w:bookmarkStart w:id="145" w:name="_Toc227249216"/>
      <w:bookmarkStart w:id="146" w:name="_Toc227251526"/>
      <w:r>
        <w:rPr>
          <w:rFonts w:hint="eastAsia"/>
        </w:rPr>
        <w:t>监测装备与网点布设</w:t>
      </w:r>
      <w:bookmarkEnd w:id="144"/>
      <w:bookmarkEnd w:id="145"/>
      <w:bookmarkEnd w:id="146"/>
    </w:p>
    <w:p w14:paraId="039B87CE" w14:textId="30883DFD" w:rsidR="00CF3B17" w:rsidRDefault="00CF3B17" w:rsidP="00C57E9D">
      <w:pPr>
        <w:pStyle w:val="affd"/>
        <w:spacing w:before="120" w:after="120"/>
      </w:pPr>
      <w:bookmarkStart w:id="147" w:name="_Toc227249081"/>
      <w:bookmarkStart w:id="148" w:name="_Toc227249217"/>
      <w:bookmarkStart w:id="149" w:name="_Toc227251527"/>
      <w:r>
        <w:rPr>
          <w:rFonts w:hint="eastAsia"/>
        </w:rPr>
        <w:t>监测设备技术要求</w:t>
      </w:r>
      <w:bookmarkEnd w:id="147"/>
      <w:bookmarkEnd w:id="148"/>
      <w:bookmarkEnd w:id="149"/>
    </w:p>
    <w:p w14:paraId="00B59F6A" w14:textId="74E44212" w:rsidR="00CF3B17" w:rsidRDefault="00CF3B17" w:rsidP="00B25BD1">
      <w:pPr>
        <w:pStyle w:val="affe"/>
        <w:spacing w:before="120" w:after="120"/>
      </w:pPr>
      <w:r>
        <w:rPr>
          <w:rFonts w:hint="eastAsia"/>
        </w:rPr>
        <w:t>传感器与数据采集设备精度</w:t>
      </w:r>
    </w:p>
    <w:p w14:paraId="73A977C4" w14:textId="197E65CA" w:rsidR="002520D3" w:rsidRDefault="002520D3" w:rsidP="002520D3">
      <w:pPr>
        <w:pStyle w:val="afffff7"/>
      </w:pPr>
      <w:r w:rsidRPr="002520D3">
        <w:t>监测设备技术精度须达到表1规定的最低要求。</w:t>
      </w:r>
      <w:r w:rsidR="009A2609">
        <w:rPr>
          <w:rFonts w:hint="eastAsia"/>
        </w:rPr>
        <w:t>具体见表1。</w:t>
      </w:r>
    </w:p>
    <w:p w14:paraId="0ED4BBA5" w14:textId="52182428" w:rsidR="009A2609" w:rsidRDefault="009A2609" w:rsidP="009A2609">
      <w:pPr>
        <w:pStyle w:val="aff2"/>
        <w:spacing w:before="120" w:after="120"/>
        <w:rPr>
          <w:rFonts w:hint="eastAsia"/>
        </w:rPr>
      </w:pPr>
      <w:r w:rsidRPr="009A2609">
        <w:rPr>
          <w:rFonts w:hint="eastAsia"/>
        </w:rPr>
        <w:t>监测传感器主要技术指标要求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867"/>
        <w:gridCol w:w="1867"/>
        <w:gridCol w:w="1867"/>
        <w:gridCol w:w="1867"/>
      </w:tblGrid>
      <w:tr w:rsidR="009A2609" w:rsidRPr="009A2609" w14:paraId="2BDE141D" w14:textId="77777777" w:rsidTr="009A2609">
        <w:trPr>
          <w:tblHeader/>
          <w:jc w:val="center"/>
        </w:trPr>
        <w:tc>
          <w:tcPr>
            <w:tcW w:w="18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4FAD73" w14:textId="4AE9E719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监测项目</w:t>
            </w: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BDD3B7" w14:textId="0A53825A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传感器类型</w:t>
            </w: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700380" w14:textId="40BC691F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量程要求</w:t>
            </w: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430E42" w14:textId="1719AD78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测量精度要求</w:t>
            </w: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86BBC3" w14:textId="4F209AF3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适用环境</w:t>
            </w:r>
          </w:p>
        </w:tc>
      </w:tr>
      <w:tr w:rsidR="009A2609" w:rsidRPr="009A2609" w14:paraId="61A634BE" w14:textId="77777777" w:rsidTr="009A2609">
        <w:trPr>
          <w:jc w:val="center"/>
        </w:trPr>
        <w:tc>
          <w:tcPr>
            <w:tcW w:w="1866" w:type="dxa"/>
            <w:tcBorders>
              <w:top w:val="single" w:sz="8" w:space="0" w:color="auto"/>
            </w:tcBorders>
            <w:vAlign w:val="center"/>
          </w:tcPr>
          <w:p w14:paraId="01B66213" w14:textId="30E54B9F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地表位移</w:t>
            </w:r>
          </w:p>
        </w:tc>
        <w:tc>
          <w:tcPr>
            <w:tcW w:w="1867" w:type="dxa"/>
            <w:tcBorders>
              <w:top w:val="single" w:sz="8" w:space="0" w:color="auto"/>
            </w:tcBorders>
            <w:vAlign w:val="center"/>
          </w:tcPr>
          <w:p w14:paraId="4CDD1598" w14:textId="6792E974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GNSS接收机</w:t>
            </w:r>
          </w:p>
        </w:tc>
        <w:tc>
          <w:tcPr>
            <w:tcW w:w="1867" w:type="dxa"/>
            <w:tcBorders>
              <w:top w:val="single" w:sz="8" w:space="0" w:color="auto"/>
            </w:tcBorders>
            <w:vAlign w:val="center"/>
          </w:tcPr>
          <w:p w14:paraId="589245E1" w14:textId="50DB68BB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0mm</w:t>
            </w:r>
            <w:r>
              <w:rPr>
                <w:rFonts w:hint="eastAsia"/>
              </w:rPr>
              <w:t>～</w:t>
            </w:r>
            <w:r w:rsidRPr="009A2609">
              <w:rPr>
                <w:rFonts w:hint="eastAsia"/>
              </w:rPr>
              <w:t>5000mm</w:t>
            </w:r>
          </w:p>
        </w:tc>
        <w:tc>
          <w:tcPr>
            <w:tcW w:w="1867" w:type="dxa"/>
            <w:tcBorders>
              <w:top w:val="single" w:sz="8" w:space="0" w:color="auto"/>
            </w:tcBorders>
            <w:vAlign w:val="center"/>
          </w:tcPr>
          <w:p w14:paraId="7E8FBB86" w14:textId="1236A462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水平≤±3mm，高程≤±5mm</w:t>
            </w:r>
          </w:p>
        </w:tc>
        <w:tc>
          <w:tcPr>
            <w:tcW w:w="1867" w:type="dxa"/>
            <w:tcBorders>
              <w:top w:val="single" w:sz="8" w:space="0" w:color="auto"/>
            </w:tcBorders>
            <w:vAlign w:val="center"/>
          </w:tcPr>
          <w:p w14:paraId="6B1A0E5F" w14:textId="554D0217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露天环境</w:t>
            </w:r>
          </w:p>
        </w:tc>
      </w:tr>
      <w:tr w:rsidR="009A2609" w:rsidRPr="009A2609" w14:paraId="1D52D13E" w14:textId="77777777" w:rsidTr="009A2609">
        <w:trPr>
          <w:jc w:val="center"/>
        </w:trPr>
        <w:tc>
          <w:tcPr>
            <w:tcW w:w="1866" w:type="dxa"/>
            <w:vAlign w:val="center"/>
          </w:tcPr>
          <w:p w14:paraId="40423BF5" w14:textId="065618EE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内部形变</w:t>
            </w:r>
          </w:p>
        </w:tc>
        <w:tc>
          <w:tcPr>
            <w:tcW w:w="1867" w:type="dxa"/>
            <w:vAlign w:val="center"/>
          </w:tcPr>
          <w:p w14:paraId="4803052A" w14:textId="30071D81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阵列式位移计</w:t>
            </w:r>
          </w:p>
        </w:tc>
        <w:tc>
          <w:tcPr>
            <w:tcW w:w="1867" w:type="dxa"/>
            <w:vAlign w:val="center"/>
          </w:tcPr>
          <w:p w14:paraId="36E9E9F6" w14:textId="0C4D9F16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0mm</w:t>
            </w:r>
            <w:r>
              <w:rPr>
                <w:rFonts w:hint="eastAsia"/>
              </w:rPr>
              <w:t>～</w:t>
            </w:r>
            <w:r w:rsidRPr="009A2609">
              <w:rPr>
                <w:rFonts w:hint="eastAsia"/>
              </w:rPr>
              <w:t>1000mm</w:t>
            </w:r>
          </w:p>
        </w:tc>
        <w:tc>
          <w:tcPr>
            <w:tcW w:w="1867" w:type="dxa"/>
            <w:vAlign w:val="center"/>
          </w:tcPr>
          <w:p w14:paraId="46C143B4" w14:textId="566EBD44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≤±1.0mm/30m</w:t>
            </w:r>
          </w:p>
        </w:tc>
        <w:tc>
          <w:tcPr>
            <w:tcW w:w="1867" w:type="dxa"/>
            <w:vAlign w:val="center"/>
          </w:tcPr>
          <w:p w14:paraId="7F4F3936" w14:textId="715FCDC4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钻孔/井下</w:t>
            </w:r>
          </w:p>
        </w:tc>
      </w:tr>
      <w:tr w:rsidR="009A2609" w:rsidRPr="009A2609" w14:paraId="7F0277AD" w14:textId="77777777" w:rsidTr="009A2609">
        <w:trPr>
          <w:jc w:val="center"/>
        </w:trPr>
        <w:tc>
          <w:tcPr>
            <w:tcW w:w="1866" w:type="dxa"/>
            <w:vAlign w:val="center"/>
          </w:tcPr>
          <w:p w14:paraId="0D31FE7C" w14:textId="0365BFE8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有害气体</w:t>
            </w:r>
          </w:p>
        </w:tc>
        <w:tc>
          <w:tcPr>
            <w:tcW w:w="1867" w:type="dxa"/>
            <w:vAlign w:val="center"/>
          </w:tcPr>
          <w:p w14:paraId="51FC8F0C" w14:textId="717FE9BD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激光红外甲烷传感器</w:t>
            </w:r>
          </w:p>
        </w:tc>
        <w:tc>
          <w:tcPr>
            <w:tcW w:w="1867" w:type="dxa"/>
            <w:vAlign w:val="center"/>
          </w:tcPr>
          <w:p w14:paraId="61089B72" w14:textId="4FD03799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0%</w:t>
            </w:r>
            <w:r>
              <w:rPr>
                <w:rFonts w:hint="eastAsia"/>
              </w:rPr>
              <w:t>～</w:t>
            </w:r>
            <w:r w:rsidRPr="009A2609">
              <w:rPr>
                <w:rFonts w:hint="eastAsia"/>
              </w:rPr>
              <w:t>100%</w:t>
            </w:r>
          </w:p>
        </w:tc>
        <w:tc>
          <w:tcPr>
            <w:tcW w:w="1867" w:type="dxa"/>
            <w:vAlign w:val="center"/>
          </w:tcPr>
          <w:p w14:paraId="22404752" w14:textId="239FC946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≤±0.1%(按实际量程划分)</w:t>
            </w:r>
          </w:p>
        </w:tc>
        <w:tc>
          <w:tcPr>
            <w:tcW w:w="1867" w:type="dxa"/>
            <w:vAlign w:val="center"/>
          </w:tcPr>
          <w:p w14:paraId="16FCE5A4" w14:textId="6A1E79AE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井下</w:t>
            </w:r>
            <w:proofErr w:type="gramStart"/>
            <w:r w:rsidRPr="009A2609">
              <w:rPr>
                <w:rFonts w:hint="eastAsia"/>
              </w:rPr>
              <w:t>防爆区</w:t>
            </w:r>
            <w:proofErr w:type="gramEnd"/>
          </w:p>
        </w:tc>
      </w:tr>
      <w:tr w:rsidR="009A2609" w:rsidRPr="009A2609" w14:paraId="3B1B385C" w14:textId="77777777" w:rsidTr="009A2609">
        <w:trPr>
          <w:jc w:val="center"/>
        </w:trPr>
        <w:tc>
          <w:tcPr>
            <w:tcW w:w="1866" w:type="dxa"/>
            <w:tcBorders>
              <w:bottom w:val="single" w:sz="8" w:space="0" w:color="auto"/>
            </w:tcBorders>
            <w:vAlign w:val="center"/>
          </w:tcPr>
          <w:p w14:paraId="1CB62368" w14:textId="2E2F0AD0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水文监测</w:t>
            </w:r>
          </w:p>
        </w:tc>
        <w:tc>
          <w:tcPr>
            <w:tcW w:w="1867" w:type="dxa"/>
            <w:tcBorders>
              <w:bottom w:val="single" w:sz="8" w:space="0" w:color="auto"/>
            </w:tcBorders>
            <w:vAlign w:val="center"/>
          </w:tcPr>
          <w:p w14:paraId="1279147E" w14:textId="5DBE980A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投入</w:t>
            </w:r>
            <w:proofErr w:type="gramStart"/>
            <w:r w:rsidRPr="009A2609">
              <w:rPr>
                <w:rFonts w:hint="eastAsia"/>
              </w:rPr>
              <w:t>式液位计</w:t>
            </w:r>
            <w:proofErr w:type="gramEnd"/>
          </w:p>
        </w:tc>
        <w:tc>
          <w:tcPr>
            <w:tcW w:w="1867" w:type="dxa"/>
            <w:tcBorders>
              <w:bottom w:val="single" w:sz="8" w:space="0" w:color="auto"/>
            </w:tcBorders>
            <w:vAlign w:val="center"/>
          </w:tcPr>
          <w:p w14:paraId="4A13D2BB" w14:textId="18DCB79B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0m</w:t>
            </w:r>
            <w:r>
              <w:rPr>
                <w:rFonts w:hint="eastAsia"/>
              </w:rPr>
              <w:t>～</w:t>
            </w:r>
            <w:r w:rsidRPr="009A2609">
              <w:rPr>
                <w:rFonts w:hint="eastAsia"/>
              </w:rPr>
              <w:t>100m</w:t>
            </w:r>
          </w:p>
        </w:tc>
        <w:tc>
          <w:tcPr>
            <w:tcW w:w="1867" w:type="dxa"/>
            <w:tcBorders>
              <w:bottom w:val="single" w:sz="8" w:space="0" w:color="auto"/>
            </w:tcBorders>
            <w:vAlign w:val="center"/>
          </w:tcPr>
          <w:p w14:paraId="7588292C" w14:textId="667C7A04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≤0.2%F.S</w:t>
            </w:r>
          </w:p>
        </w:tc>
        <w:tc>
          <w:tcPr>
            <w:tcW w:w="1867" w:type="dxa"/>
            <w:tcBorders>
              <w:bottom w:val="single" w:sz="8" w:space="0" w:color="auto"/>
            </w:tcBorders>
            <w:vAlign w:val="center"/>
          </w:tcPr>
          <w:p w14:paraId="03A063A4" w14:textId="4777BF0B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浑水/库区</w:t>
            </w:r>
          </w:p>
        </w:tc>
      </w:tr>
    </w:tbl>
    <w:p w14:paraId="64EBAA53" w14:textId="77777777" w:rsidR="009A2609" w:rsidRDefault="009A2609" w:rsidP="002520D3">
      <w:pPr>
        <w:pStyle w:val="afffff7"/>
        <w:rPr>
          <w:rFonts w:hint="eastAsia"/>
        </w:rPr>
      </w:pPr>
    </w:p>
    <w:p w14:paraId="52B1541D" w14:textId="63D482CB" w:rsidR="00CF3B17" w:rsidRDefault="00CF3B17" w:rsidP="00B25BD1">
      <w:pPr>
        <w:pStyle w:val="affe"/>
        <w:spacing w:before="120" w:after="120"/>
      </w:pPr>
      <w:r>
        <w:rPr>
          <w:rFonts w:hint="eastAsia"/>
        </w:rPr>
        <w:t>防爆与环境防护等级要求</w:t>
      </w:r>
    </w:p>
    <w:p w14:paraId="728DB864" w14:textId="37E6869A" w:rsidR="002520D3" w:rsidRPr="002520D3" w:rsidRDefault="002520D3" w:rsidP="002520D3">
      <w:pPr>
        <w:pStyle w:val="afffff7"/>
      </w:pPr>
      <w:r w:rsidRPr="002520D3">
        <w:t>暴露于井下或含有爆炸性气体环境的设备应取得矿用产品安全标志（MA/KA），防护等级不低于IP65（露天及涉水区域不低于IP68）。</w:t>
      </w:r>
    </w:p>
    <w:p w14:paraId="77F4B59F" w14:textId="3536C93B" w:rsidR="00CF3B17" w:rsidRDefault="00CF3B17" w:rsidP="00B25BD1">
      <w:pPr>
        <w:pStyle w:val="affe"/>
        <w:spacing w:before="120" w:after="120"/>
      </w:pPr>
      <w:r>
        <w:rPr>
          <w:rFonts w:hint="eastAsia"/>
        </w:rPr>
        <w:t>设备供电与抗干扰性能</w:t>
      </w:r>
    </w:p>
    <w:p w14:paraId="4ACAB42C" w14:textId="7776CC11" w:rsidR="002520D3" w:rsidRPr="002520D3" w:rsidRDefault="002520D3" w:rsidP="002520D3">
      <w:pPr>
        <w:pStyle w:val="afffff7"/>
      </w:pPr>
      <w:r w:rsidRPr="002520D3">
        <w:t>应配备不间断电源（UPS），断电后系统维持工作时间不应少于4小时。信号传输应具备抗电磁干扰（EMI）设计。</w:t>
      </w:r>
    </w:p>
    <w:p w14:paraId="01E89F4F" w14:textId="0653B6E1" w:rsidR="00CF3B17" w:rsidRDefault="00CF3B17" w:rsidP="00B25BD1">
      <w:pPr>
        <w:pStyle w:val="affd"/>
        <w:spacing w:before="120" w:after="120"/>
      </w:pPr>
      <w:bookmarkStart w:id="150" w:name="_Toc227249082"/>
      <w:bookmarkStart w:id="151" w:name="_Toc227249218"/>
      <w:bookmarkStart w:id="152" w:name="_Toc227251528"/>
      <w:r>
        <w:rPr>
          <w:rFonts w:hint="eastAsia"/>
        </w:rPr>
        <w:t>监测网点布设原则</w:t>
      </w:r>
      <w:bookmarkEnd w:id="150"/>
      <w:bookmarkEnd w:id="151"/>
      <w:bookmarkEnd w:id="152"/>
    </w:p>
    <w:p w14:paraId="543447A1" w14:textId="1D2F2247" w:rsidR="00CF3B17" w:rsidRDefault="00CF3B17" w:rsidP="00B25BD1">
      <w:pPr>
        <w:pStyle w:val="affe"/>
        <w:spacing w:before="120" w:after="120"/>
      </w:pPr>
      <w:r>
        <w:rPr>
          <w:rFonts w:hint="eastAsia"/>
        </w:rPr>
        <w:t>露天矿及地表监测点布设</w:t>
      </w:r>
    </w:p>
    <w:p w14:paraId="7E7A97B1" w14:textId="06146A88" w:rsidR="002520D3" w:rsidRPr="002520D3" w:rsidRDefault="002520D3" w:rsidP="002520D3">
      <w:pPr>
        <w:pStyle w:val="afffff7"/>
      </w:pPr>
      <w:r w:rsidRPr="002520D3">
        <w:t>布点应符合以下要求：监测横断面数量不应少于3个，且应结合地质断层及岩层走向进行布设。</w:t>
      </w:r>
    </w:p>
    <w:p w14:paraId="74ACD297" w14:textId="5937C11D" w:rsidR="00CF3B17" w:rsidRDefault="00CF3B17" w:rsidP="00B25BD1">
      <w:pPr>
        <w:pStyle w:val="affe"/>
        <w:spacing w:before="120" w:after="120"/>
      </w:pPr>
      <w:r>
        <w:rPr>
          <w:rFonts w:hint="eastAsia"/>
        </w:rPr>
        <w:t>井下及隐蔽工程监测点布设</w:t>
      </w:r>
    </w:p>
    <w:p w14:paraId="208AD3B1" w14:textId="6F8A8F57" w:rsidR="002520D3" w:rsidRPr="002520D3" w:rsidRDefault="002520D3" w:rsidP="002520D3">
      <w:pPr>
        <w:pStyle w:val="afffff7"/>
      </w:pPr>
      <w:r w:rsidRPr="002520D3">
        <w:t>布点应符合以下要求：传感器应悬挂于稳定岩层下方，距顶板及巷道侧壁的距离应严格依据通风及安全规程设定。</w:t>
      </w:r>
    </w:p>
    <w:p w14:paraId="2517D94D" w14:textId="7713DC02" w:rsidR="00CF3B17" w:rsidRDefault="00CF3B17" w:rsidP="00B25BD1">
      <w:pPr>
        <w:pStyle w:val="affe"/>
        <w:spacing w:before="120" w:after="120"/>
      </w:pPr>
      <w:r>
        <w:rPr>
          <w:rFonts w:hint="eastAsia"/>
        </w:rPr>
        <w:t>重点危险源加密布设要求</w:t>
      </w:r>
    </w:p>
    <w:p w14:paraId="5A5D16E3" w14:textId="7B0A9ECD" w:rsidR="002520D3" w:rsidRPr="002520D3" w:rsidRDefault="002520D3" w:rsidP="002520D3">
      <w:pPr>
        <w:pStyle w:val="afffff7"/>
      </w:pPr>
      <w:r w:rsidRPr="002520D3">
        <w:t>遇高应力集中区或地质条件突变区，应在常规网点基础上增加50%以上的监测点位。</w:t>
      </w:r>
    </w:p>
    <w:p w14:paraId="1EF82EEC" w14:textId="4A9BA55B" w:rsidR="00CF3B17" w:rsidRDefault="00CF3B17" w:rsidP="00B25BD1">
      <w:pPr>
        <w:pStyle w:val="affd"/>
        <w:spacing w:before="120" w:after="120"/>
      </w:pPr>
      <w:bookmarkStart w:id="153" w:name="_Toc227249083"/>
      <w:bookmarkStart w:id="154" w:name="_Toc227249219"/>
      <w:bookmarkStart w:id="155" w:name="_Toc227251529"/>
      <w:r>
        <w:rPr>
          <w:rFonts w:hint="eastAsia"/>
        </w:rPr>
        <w:t>设备安装与调试验收</w:t>
      </w:r>
      <w:bookmarkEnd w:id="153"/>
      <w:bookmarkEnd w:id="154"/>
      <w:bookmarkEnd w:id="155"/>
    </w:p>
    <w:p w14:paraId="322CE64E" w14:textId="2728A25C" w:rsidR="00CF3B17" w:rsidRDefault="00CF3B17" w:rsidP="00B25BD1">
      <w:pPr>
        <w:pStyle w:val="affe"/>
        <w:spacing w:before="120" w:after="120"/>
      </w:pPr>
      <w:r>
        <w:rPr>
          <w:rFonts w:hint="eastAsia"/>
        </w:rPr>
        <w:t>安装施工技术与安全规范</w:t>
      </w:r>
    </w:p>
    <w:p w14:paraId="5702DBAD" w14:textId="75CBEBAC" w:rsidR="002520D3" w:rsidRPr="002520D3" w:rsidRDefault="002520D3" w:rsidP="002520D3">
      <w:pPr>
        <w:pStyle w:val="afffff7"/>
      </w:pPr>
      <w:r w:rsidRPr="002520D3">
        <w:t>施工全过程应符合</w:t>
      </w:r>
      <w:proofErr w:type="gramStart"/>
      <w:r w:rsidRPr="002520D3">
        <w:t>涉矿安全</w:t>
      </w:r>
      <w:proofErr w:type="gramEnd"/>
      <w:r w:rsidRPr="002520D3">
        <w:t>规定，高处及井下作业需严格遵守人员登高及防坠要求。</w:t>
      </w:r>
    </w:p>
    <w:p w14:paraId="7F8C1E9E" w14:textId="4867AA67" w:rsidR="00CF3B17" w:rsidRDefault="00CF3B17" w:rsidP="00B25BD1">
      <w:pPr>
        <w:pStyle w:val="affe"/>
        <w:spacing w:before="120" w:after="120"/>
      </w:pPr>
      <w:r>
        <w:rPr>
          <w:rFonts w:hint="eastAsia"/>
        </w:rPr>
        <w:t>系统设备联调联试</w:t>
      </w:r>
    </w:p>
    <w:p w14:paraId="645AF419" w14:textId="5A1B2902" w:rsidR="002520D3" w:rsidRPr="002520D3" w:rsidRDefault="002520D3" w:rsidP="002520D3">
      <w:pPr>
        <w:pStyle w:val="afffff7"/>
      </w:pPr>
      <w:r w:rsidRPr="002520D3">
        <w:t>系统集成后需进行连续72小时的无故障运行测试，数据丢包率不应高于1%。</w:t>
      </w:r>
    </w:p>
    <w:p w14:paraId="3D7F7CE6" w14:textId="49DEF649" w:rsidR="00CF3B17" w:rsidRDefault="00CF3B17" w:rsidP="00B25BD1">
      <w:pPr>
        <w:pStyle w:val="affe"/>
        <w:spacing w:before="120" w:after="120"/>
      </w:pPr>
      <w:r>
        <w:rPr>
          <w:rFonts w:hint="eastAsia"/>
        </w:rPr>
        <w:lastRenderedPageBreak/>
        <w:t>现场验收标准与程序</w:t>
      </w:r>
    </w:p>
    <w:p w14:paraId="27A9EDE9" w14:textId="58B9F877" w:rsidR="002520D3" w:rsidRDefault="002520D3" w:rsidP="002520D3">
      <w:pPr>
        <w:pStyle w:val="afffff7"/>
      </w:pPr>
      <w:r w:rsidRPr="002520D3">
        <w:t>验收应包含设备外观审查、资料核对、</w:t>
      </w:r>
      <w:proofErr w:type="gramStart"/>
      <w:r w:rsidRPr="002520D3">
        <w:t>精度盲测比对</w:t>
      </w:r>
      <w:proofErr w:type="gramEnd"/>
      <w:r w:rsidRPr="002520D3">
        <w:t>，并签署书面验收报告。</w:t>
      </w:r>
    </w:p>
    <w:p w14:paraId="163DA98D" w14:textId="3C149D8E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156" w:name="_Toc227251530"/>
      <w:r>
        <w:rPr>
          <w:rFonts w:hint="eastAsia"/>
        </w:rPr>
        <w:t>供电与防雷接地要求</w:t>
      </w:r>
      <w:bookmarkEnd w:id="156"/>
    </w:p>
    <w:p w14:paraId="569E3B32" w14:textId="7DED318A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双电源供电要求</w:t>
      </w:r>
    </w:p>
    <w:p w14:paraId="0F51D71E" w14:textId="173C1588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重要监测设备应采用主电+</w:t>
      </w:r>
      <w:proofErr w:type="gramStart"/>
      <w:r>
        <w:rPr>
          <w:rFonts w:hint="eastAsia"/>
        </w:rPr>
        <w:t>备电双回路供电</w:t>
      </w:r>
      <w:proofErr w:type="gramEnd"/>
      <w:r>
        <w:rPr>
          <w:rFonts w:hint="eastAsia"/>
        </w:rPr>
        <w:t>，保障连续运行。</w:t>
      </w:r>
    </w:p>
    <w:p w14:paraId="51B6473B" w14:textId="0F927CFD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太阳能供电配置</w:t>
      </w:r>
    </w:p>
    <w:p w14:paraId="58D77826" w14:textId="142A1584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无电网区域应配置太阳能板+蓄电池，连续阴雨续航不低于7天。</w:t>
      </w:r>
    </w:p>
    <w:p w14:paraId="5D294237" w14:textId="01D1A126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防雷接地要求</w:t>
      </w:r>
    </w:p>
    <w:p w14:paraId="12DE0DDA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露天设备、采集箱、天线应安装防雷装置，接地电阻≤4Ω。</w:t>
      </w:r>
    </w:p>
    <w:p w14:paraId="6BC61DD0" w14:textId="621FDADC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157" w:name="_Toc227251531"/>
      <w:r>
        <w:rPr>
          <w:rFonts w:hint="eastAsia"/>
        </w:rPr>
        <w:t>标识与防护管理</w:t>
      </w:r>
      <w:bookmarkEnd w:id="157"/>
    </w:p>
    <w:p w14:paraId="2A72A88E" w14:textId="7B1C22A1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监测点标识要求</w:t>
      </w:r>
    </w:p>
    <w:p w14:paraId="0BB909F5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所有监测点应设置统一编号、铭牌、警示标识，便于识别与维护。</w:t>
      </w:r>
    </w:p>
    <w:p w14:paraId="54BFC296" w14:textId="0169833D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设备防护要求</w:t>
      </w:r>
    </w:p>
    <w:p w14:paraId="5B98D260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传感器、采集终端应加装防撞、防砸、防盗、防破坏保护装置。</w:t>
      </w:r>
    </w:p>
    <w:p w14:paraId="10CB9D92" w14:textId="47DC5B4E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线路防护要求</w:t>
      </w:r>
    </w:p>
    <w:p w14:paraId="4E198E79" w14:textId="6E68A4B5" w:rsidR="002158B1" w:rsidRPr="002520D3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线缆应穿管、架空或埋地敷设，避免碾压、切割、腐蚀损坏。</w:t>
      </w:r>
    </w:p>
    <w:p w14:paraId="5EE753CD" w14:textId="5C40449A" w:rsidR="00CF3B17" w:rsidRDefault="00CF3B17" w:rsidP="00C57E9D">
      <w:pPr>
        <w:pStyle w:val="affc"/>
        <w:spacing w:before="240" w:after="240"/>
      </w:pPr>
      <w:bookmarkStart w:id="158" w:name="_Toc227249084"/>
      <w:bookmarkStart w:id="159" w:name="_Toc227249220"/>
      <w:bookmarkStart w:id="160" w:name="_Toc227251532"/>
      <w:r>
        <w:rPr>
          <w:rFonts w:hint="eastAsia"/>
        </w:rPr>
        <w:t>数据采集、传输与处理</w:t>
      </w:r>
      <w:bookmarkEnd w:id="158"/>
      <w:bookmarkEnd w:id="159"/>
      <w:bookmarkEnd w:id="160"/>
    </w:p>
    <w:p w14:paraId="6B86CDEA" w14:textId="4574DBBD" w:rsidR="00CF3B17" w:rsidRDefault="00CF3B17" w:rsidP="00B25BD1">
      <w:pPr>
        <w:pStyle w:val="affd"/>
        <w:spacing w:before="120" w:after="120"/>
      </w:pPr>
      <w:bookmarkStart w:id="161" w:name="_Toc227249085"/>
      <w:bookmarkStart w:id="162" w:name="_Toc227249221"/>
      <w:bookmarkStart w:id="163" w:name="_Toc227251533"/>
      <w:r>
        <w:rPr>
          <w:rFonts w:hint="eastAsia"/>
        </w:rPr>
        <w:t>数据采集要求</w:t>
      </w:r>
      <w:bookmarkEnd w:id="161"/>
      <w:bookmarkEnd w:id="162"/>
      <w:bookmarkEnd w:id="163"/>
    </w:p>
    <w:p w14:paraId="2D96802C" w14:textId="05E5B903" w:rsidR="00CF3B17" w:rsidRDefault="00CF3B17" w:rsidP="00B25BD1">
      <w:pPr>
        <w:pStyle w:val="affe"/>
        <w:spacing w:before="120" w:after="120"/>
      </w:pPr>
      <w:r>
        <w:rPr>
          <w:rFonts w:hint="eastAsia"/>
        </w:rPr>
        <w:t>采集参数指标与精度控制</w:t>
      </w:r>
    </w:p>
    <w:p w14:paraId="54B1E60A" w14:textId="1EC903E2" w:rsidR="002520D3" w:rsidRPr="002520D3" w:rsidRDefault="002520D3" w:rsidP="002520D3">
      <w:pPr>
        <w:pStyle w:val="afffff7"/>
      </w:pPr>
      <w:r w:rsidRPr="002520D3">
        <w:t>原始采集数据必须包含时间戳、测点编号、设备电量及传感器原始输出量。</w:t>
      </w:r>
    </w:p>
    <w:p w14:paraId="01BFDCB3" w14:textId="57F781ED" w:rsidR="00CF3B17" w:rsidRDefault="00CF3B17" w:rsidP="00B25BD1">
      <w:pPr>
        <w:pStyle w:val="affe"/>
        <w:spacing w:before="120" w:after="120"/>
      </w:pPr>
      <w:r>
        <w:rPr>
          <w:rFonts w:hint="eastAsia"/>
        </w:rPr>
        <w:t>自动采集与人工</w:t>
      </w:r>
      <w:proofErr w:type="gramStart"/>
      <w:r>
        <w:rPr>
          <w:rFonts w:hint="eastAsia"/>
        </w:rPr>
        <w:t>巡</w:t>
      </w:r>
      <w:proofErr w:type="gramEnd"/>
      <w:r>
        <w:rPr>
          <w:rFonts w:hint="eastAsia"/>
        </w:rPr>
        <w:t>测频次</w:t>
      </w:r>
    </w:p>
    <w:p w14:paraId="2145F686" w14:textId="1C8F70C0" w:rsidR="002520D3" w:rsidRPr="002520D3" w:rsidRDefault="002520D3" w:rsidP="002520D3">
      <w:pPr>
        <w:pStyle w:val="afffff7"/>
      </w:pPr>
      <w:r w:rsidRPr="002520D3">
        <w:t>自动采集频次宜设为5分钟至1小时一次；人工</w:t>
      </w:r>
      <w:proofErr w:type="gramStart"/>
      <w:r w:rsidRPr="002520D3">
        <w:t>巡</w:t>
      </w:r>
      <w:proofErr w:type="gramEnd"/>
      <w:r w:rsidRPr="002520D3">
        <w:t>测频次应视工程阶段，每月不少于1次。</w:t>
      </w:r>
    </w:p>
    <w:p w14:paraId="388261CB" w14:textId="2A8B8A99" w:rsidR="00CF3B17" w:rsidRDefault="00CF3B17" w:rsidP="00B25BD1">
      <w:pPr>
        <w:pStyle w:val="affe"/>
        <w:spacing w:before="120" w:after="120"/>
      </w:pPr>
      <w:r>
        <w:rPr>
          <w:rFonts w:hint="eastAsia"/>
        </w:rPr>
        <w:t>数据完整性与有效性校验</w:t>
      </w:r>
    </w:p>
    <w:p w14:paraId="2E258870" w14:textId="4A402EEE" w:rsidR="002520D3" w:rsidRPr="002520D3" w:rsidRDefault="002520D3" w:rsidP="002520D3">
      <w:pPr>
        <w:pStyle w:val="afffff7"/>
      </w:pPr>
      <w:r w:rsidRPr="002520D3">
        <w:t>系统应自动识别零值、极值及断点数据，并打上对应状态标签。</w:t>
      </w:r>
    </w:p>
    <w:p w14:paraId="7CEE8D60" w14:textId="0FBA3608" w:rsidR="00CF3B17" w:rsidRDefault="00CF3B17" w:rsidP="00B25BD1">
      <w:pPr>
        <w:pStyle w:val="affd"/>
        <w:spacing w:before="120" w:after="120"/>
      </w:pPr>
      <w:bookmarkStart w:id="164" w:name="_Toc227249086"/>
      <w:bookmarkStart w:id="165" w:name="_Toc227249222"/>
      <w:bookmarkStart w:id="166" w:name="_Toc227251534"/>
      <w:r>
        <w:rPr>
          <w:rFonts w:hint="eastAsia"/>
        </w:rPr>
        <w:t>数据传输网络</w:t>
      </w:r>
      <w:bookmarkEnd w:id="164"/>
      <w:bookmarkEnd w:id="165"/>
      <w:bookmarkEnd w:id="166"/>
    </w:p>
    <w:p w14:paraId="66B28A8B" w14:textId="6948F5EB" w:rsidR="00CF3B17" w:rsidRDefault="00CF3B17" w:rsidP="00B25BD1">
      <w:pPr>
        <w:pStyle w:val="affe"/>
        <w:spacing w:before="120" w:after="120"/>
      </w:pPr>
      <w:r>
        <w:rPr>
          <w:rFonts w:hint="eastAsia"/>
        </w:rPr>
        <w:t>有线与无线传输网络组网</w:t>
      </w:r>
    </w:p>
    <w:p w14:paraId="4312D751" w14:textId="6D3DA1B1" w:rsidR="002520D3" w:rsidRPr="002520D3" w:rsidRDefault="002520D3" w:rsidP="002520D3">
      <w:pPr>
        <w:pStyle w:val="afffff7"/>
      </w:pPr>
      <w:r w:rsidRPr="002520D3">
        <w:t>主干网络宜采用工业以太网环网结构，节点至基站可采用LoRa、4G/5G或NB-IoT等无线技术。</w:t>
      </w:r>
    </w:p>
    <w:p w14:paraId="6A79DB46" w14:textId="763D6E45" w:rsidR="00CF3B17" w:rsidRDefault="00CF3B17" w:rsidP="00B25BD1">
      <w:pPr>
        <w:pStyle w:val="affe"/>
        <w:spacing w:before="120" w:after="120"/>
      </w:pPr>
      <w:r>
        <w:rPr>
          <w:rFonts w:hint="eastAsia"/>
        </w:rPr>
        <w:t>通信协议与数据接口标准</w:t>
      </w:r>
    </w:p>
    <w:p w14:paraId="48D55806" w14:textId="1AB35110" w:rsidR="002520D3" w:rsidRPr="002520D3" w:rsidRDefault="002520D3" w:rsidP="002520D3">
      <w:pPr>
        <w:pStyle w:val="afffff7"/>
      </w:pPr>
      <w:proofErr w:type="gramStart"/>
      <w:r w:rsidRPr="002520D3">
        <w:t>须支持</w:t>
      </w:r>
      <w:proofErr w:type="gramEnd"/>
      <w:r w:rsidRPr="002520D3">
        <w:t>Modbus、MQTT及TCP/IP等通用工业协议，预留与省级安全监管平台的数据对接接口。</w:t>
      </w:r>
    </w:p>
    <w:p w14:paraId="5FDDF208" w14:textId="061E9A4F" w:rsidR="00CF3B17" w:rsidRDefault="00CF3B17" w:rsidP="00B25BD1">
      <w:pPr>
        <w:pStyle w:val="affe"/>
        <w:spacing w:before="120" w:after="120"/>
      </w:pPr>
      <w:r>
        <w:rPr>
          <w:rFonts w:hint="eastAsia"/>
        </w:rPr>
        <w:t>数据传输加密与安全保障</w:t>
      </w:r>
    </w:p>
    <w:p w14:paraId="42BAF9D0" w14:textId="43C5FDF3" w:rsidR="002520D3" w:rsidRPr="002520D3" w:rsidRDefault="002520D3" w:rsidP="002520D3">
      <w:pPr>
        <w:pStyle w:val="afffff7"/>
      </w:pPr>
      <w:r w:rsidRPr="002520D3">
        <w:t>公网传输通道应配置VPN专线，核心数据实施非对称加密，禁止未经授权的远程参数修改。</w:t>
      </w:r>
    </w:p>
    <w:p w14:paraId="609B026F" w14:textId="6DD8F4FE" w:rsidR="00CF3B17" w:rsidRDefault="00CF3B17" w:rsidP="00B25BD1">
      <w:pPr>
        <w:pStyle w:val="affd"/>
        <w:spacing w:before="120" w:after="120"/>
      </w:pPr>
      <w:bookmarkStart w:id="167" w:name="_Toc227249087"/>
      <w:bookmarkStart w:id="168" w:name="_Toc227249223"/>
      <w:bookmarkStart w:id="169" w:name="_Toc227251535"/>
      <w:r>
        <w:rPr>
          <w:rFonts w:hint="eastAsia"/>
        </w:rPr>
        <w:t>数据融合与存储处理</w:t>
      </w:r>
      <w:bookmarkEnd w:id="167"/>
      <w:bookmarkEnd w:id="168"/>
      <w:bookmarkEnd w:id="169"/>
    </w:p>
    <w:p w14:paraId="35B93AE2" w14:textId="65303C84" w:rsidR="00CF3B17" w:rsidRDefault="00CF3B17" w:rsidP="00B25BD1">
      <w:pPr>
        <w:pStyle w:val="affe"/>
        <w:spacing w:before="120" w:after="120"/>
      </w:pPr>
      <w:r>
        <w:rPr>
          <w:rFonts w:hint="eastAsia"/>
        </w:rPr>
        <w:t>数据清洗与异常值预处理</w:t>
      </w:r>
    </w:p>
    <w:p w14:paraId="0C6F1C26" w14:textId="6F7F8FF4" w:rsidR="002520D3" w:rsidRPr="002520D3" w:rsidRDefault="002520D3" w:rsidP="002520D3">
      <w:pPr>
        <w:pStyle w:val="afffff7"/>
      </w:pPr>
      <w:r w:rsidRPr="002520D3">
        <w:t>需使用滤波算法剔除瞬态电磁干扰和施工震动造成的跳变数据。</w:t>
      </w:r>
    </w:p>
    <w:p w14:paraId="1E14D2C9" w14:textId="1A4598D6" w:rsidR="00CF3B17" w:rsidRDefault="00CF3B17" w:rsidP="00B25BD1">
      <w:pPr>
        <w:pStyle w:val="affe"/>
        <w:spacing w:before="120" w:after="120"/>
      </w:pPr>
      <w:r>
        <w:rPr>
          <w:rFonts w:hint="eastAsia"/>
        </w:rPr>
        <w:lastRenderedPageBreak/>
        <w:t>多</w:t>
      </w:r>
      <w:proofErr w:type="gramStart"/>
      <w:r>
        <w:rPr>
          <w:rFonts w:hint="eastAsia"/>
        </w:rPr>
        <w:t>源数据</w:t>
      </w:r>
      <w:proofErr w:type="gramEnd"/>
      <w:r>
        <w:rPr>
          <w:rFonts w:hint="eastAsia"/>
        </w:rPr>
        <w:t>融合与可视化</w:t>
      </w:r>
    </w:p>
    <w:p w14:paraId="409844E9" w14:textId="13FBF765" w:rsidR="002520D3" w:rsidRPr="002520D3" w:rsidRDefault="002520D3" w:rsidP="002520D3">
      <w:pPr>
        <w:pStyle w:val="afffff7"/>
      </w:pPr>
      <w:r w:rsidRPr="002520D3">
        <w:t>需使用滤波算法剔除瞬态电磁干扰和施工震动造成的跳变数据。</w:t>
      </w:r>
    </w:p>
    <w:p w14:paraId="1FE724F7" w14:textId="714A5E3A" w:rsidR="00CF3B17" w:rsidRDefault="00CF3B17" w:rsidP="00B25BD1">
      <w:pPr>
        <w:pStyle w:val="affe"/>
        <w:spacing w:before="120" w:after="120"/>
      </w:pPr>
      <w:r>
        <w:rPr>
          <w:rFonts w:hint="eastAsia"/>
        </w:rPr>
        <w:t>数据库构建与容灾备份机制</w:t>
      </w:r>
    </w:p>
    <w:p w14:paraId="4C15EB0E" w14:textId="66E9E023" w:rsidR="002520D3" w:rsidRDefault="002520D3" w:rsidP="002520D3">
      <w:pPr>
        <w:pStyle w:val="afffff7"/>
      </w:pPr>
      <w:r w:rsidRPr="002520D3">
        <w:t>数据库必须采取主</w:t>
      </w:r>
      <w:proofErr w:type="gramStart"/>
      <w:r w:rsidRPr="002520D3">
        <w:t>备双机热备</w:t>
      </w:r>
      <w:proofErr w:type="gramEnd"/>
      <w:r w:rsidRPr="002520D3">
        <w:t>架构，历史数据保存时限不低于10年，且</w:t>
      </w:r>
      <w:proofErr w:type="gramStart"/>
      <w:r w:rsidRPr="002520D3">
        <w:t>支持日级增量</w:t>
      </w:r>
      <w:proofErr w:type="gramEnd"/>
      <w:r w:rsidRPr="002520D3">
        <w:t>异地备份。</w:t>
      </w:r>
    </w:p>
    <w:p w14:paraId="1F8ACE48" w14:textId="51881A64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170" w:name="_Toc227251536"/>
      <w:r>
        <w:rPr>
          <w:rFonts w:hint="eastAsia"/>
        </w:rPr>
        <w:t>数据质量控制</w:t>
      </w:r>
      <w:bookmarkEnd w:id="170"/>
    </w:p>
    <w:p w14:paraId="2B1854AF" w14:textId="6D695474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异常数据识别</w:t>
      </w:r>
    </w:p>
    <w:p w14:paraId="5F757DB6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系统自动识别突变值、恒定值、超量程值、</w:t>
      </w:r>
      <w:proofErr w:type="gramStart"/>
      <w:r>
        <w:rPr>
          <w:rFonts w:hint="eastAsia"/>
        </w:rPr>
        <w:t>缺失值并</w:t>
      </w:r>
      <w:proofErr w:type="gramEnd"/>
      <w:r>
        <w:rPr>
          <w:rFonts w:hint="eastAsia"/>
        </w:rPr>
        <w:t>标记告警。</w:t>
      </w:r>
    </w:p>
    <w:p w14:paraId="39649B8A" w14:textId="7CD9D615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缺失数据补传</w:t>
      </w:r>
    </w:p>
    <w:p w14:paraId="63AFD09A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断网、断电恢复后，设备应自动</w:t>
      </w:r>
      <w:proofErr w:type="gramStart"/>
      <w:r>
        <w:rPr>
          <w:rFonts w:hint="eastAsia"/>
        </w:rPr>
        <w:t>补传历史</w:t>
      </w:r>
      <w:proofErr w:type="gramEnd"/>
      <w:r>
        <w:rPr>
          <w:rFonts w:hint="eastAsia"/>
        </w:rPr>
        <w:t>数据，保证数据完整。</w:t>
      </w:r>
    </w:p>
    <w:p w14:paraId="6AE28B1F" w14:textId="4BF6CBDB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数据有效性判定</w:t>
      </w:r>
    </w:p>
    <w:p w14:paraId="100002AD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无效数据应剔除并记录原因，不得用于计算与预警判定。</w:t>
      </w:r>
    </w:p>
    <w:p w14:paraId="6B73553A" w14:textId="55F75D82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171" w:name="_Toc227251537"/>
      <w:r>
        <w:rPr>
          <w:rFonts w:hint="eastAsia"/>
        </w:rPr>
        <w:t>数据安全管理</w:t>
      </w:r>
      <w:bookmarkEnd w:id="171"/>
    </w:p>
    <w:p w14:paraId="42997C9E" w14:textId="0DCB32F9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访问权限控制</w:t>
      </w:r>
    </w:p>
    <w:p w14:paraId="154E9EA1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实行账号分级管理，不同角色分配查看、操作、审批、管理权限。</w:t>
      </w:r>
    </w:p>
    <w:p w14:paraId="0428492E" w14:textId="476F3FC4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操作日志记录</w:t>
      </w:r>
    </w:p>
    <w:p w14:paraId="188C1027" w14:textId="382B698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登录、修改参数、校准设备、发布预警等操作全程留痕，保存不少于3年。</w:t>
      </w:r>
    </w:p>
    <w:p w14:paraId="5054629D" w14:textId="11EE1CB8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防篡改要求</w:t>
      </w:r>
    </w:p>
    <w:p w14:paraId="5910C122" w14:textId="5057EE96" w:rsidR="002158B1" w:rsidRPr="002520D3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监测原始数据应加密存储，不可修改、不可删除，保证</w:t>
      </w:r>
      <w:proofErr w:type="gramStart"/>
      <w:r>
        <w:rPr>
          <w:rFonts w:hint="eastAsia"/>
        </w:rPr>
        <w:t>真实可</w:t>
      </w:r>
      <w:proofErr w:type="gramEnd"/>
      <w:r>
        <w:rPr>
          <w:rFonts w:hint="eastAsia"/>
        </w:rPr>
        <w:t>追溯。</w:t>
      </w:r>
    </w:p>
    <w:p w14:paraId="0181D733" w14:textId="7BB5D6C7" w:rsidR="00CF3B17" w:rsidRDefault="00CF3B17" w:rsidP="00C57E9D">
      <w:pPr>
        <w:pStyle w:val="affc"/>
        <w:spacing w:before="240" w:after="240"/>
      </w:pPr>
      <w:bookmarkStart w:id="172" w:name="_Toc227249088"/>
      <w:bookmarkStart w:id="173" w:name="_Toc227249224"/>
      <w:bookmarkStart w:id="174" w:name="_Toc227251538"/>
      <w:r>
        <w:rPr>
          <w:rFonts w:hint="eastAsia"/>
        </w:rPr>
        <w:t>预警模型与等级划分</w:t>
      </w:r>
      <w:bookmarkEnd w:id="172"/>
      <w:bookmarkEnd w:id="173"/>
      <w:bookmarkEnd w:id="174"/>
    </w:p>
    <w:p w14:paraId="6D296D3B" w14:textId="2A6262BD" w:rsidR="00CF3B17" w:rsidRDefault="00CF3B17" w:rsidP="00B25BD1">
      <w:pPr>
        <w:pStyle w:val="affd"/>
        <w:spacing w:before="120" w:after="120"/>
      </w:pPr>
      <w:bookmarkStart w:id="175" w:name="_Toc227249089"/>
      <w:bookmarkStart w:id="176" w:name="_Toc227249225"/>
      <w:bookmarkStart w:id="177" w:name="_Toc227251539"/>
      <w:r>
        <w:rPr>
          <w:rFonts w:hint="eastAsia"/>
        </w:rPr>
        <w:t>预警阈值与判据设定</w:t>
      </w:r>
      <w:bookmarkEnd w:id="175"/>
      <w:bookmarkEnd w:id="176"/>
      <w:bookmarkEnd w:id="177"/>
    </w:p>
    <w:p w14:paraId="62FF305D" w14:textId="047FA5A7" w:rsidR="002520D3" w:rsidRDefault="00CF3B17" w:rsidP="002520D3">
      <w:pPr>
        <w:pStyle w:val="affe"/>
        <w:spacing w:before="120" w:after="120"/>
      </w:pPr>
      <w:r>
        <w:rPr>
          <w:rFonts w:hint="eastAsia"/>
        </w:rPr>
        <w:t>阈值设定依据与动态调整</w:t>
      </w:r>
    </w:p>
    <w:p w14:paraId="6FBD4F82" w14:textId="3DB69B7E" w:rsidR="002520D3" w:rsidRPr="002520D3" w:rsidRDefault="002520D3" w:rsidP="002520D3">
      <w:pPr>
        <w:pStyle w:val="afffff7"/>
      </w:pPr>
      <w:r w:rsidRPr="002520D3">
        <w:t>阈值应依据历史统计数据、设计规范及力学实验综合制定，每年应至少评估并调整一次。</w:t>
      </w:r>
    </w:p>
    <w:p w14:paraId="4CD8C7B1" w14:textId="15969FCF" w:rsidR="00CF3B17" w:rsidRDefault="00CF3B17" w:rsidP="00B25BD1">
      <w:pPr>
        <w:pStyle w:val="affe"/>
        <w:spacing w:before="120" w:after="120"/>
      </w:pPr>
      <w:r>
        <w:rPr>
          <w:rFonts w:hint="eastAsia"/>
        </w:rPr>
        <w:t>单一因素超限预警判据</w:t>
      </w:r>
    </w:p>
    <w:p w14:paraId="22D3B2AB" w14:textId="6CA70671" w:rsidR="002520D3" w:rsidRPr="002520D3" w:rsidRDefault="002520D3" w:rsidP="002520D3">
      <w:pPr>
        <w:pStyle w:val="afffff7"/>
      </w:pPr>
      <w:r w:rsidRPr="002520D3">
        <w:t>当某单一参数（如表面绝对位移量或甲烷浓度）突破绝对安全界限时触发预警。</w:t>
      </w:r>
    </w:p>
    <w:p w14:paraId="3371AEF6" w14:textId="57ADD126" w:rsidR="00CF3B17" w:rsidRDefault="00CF3B17" w:rsidP="00B25BD1">
      <w:pPr>
        <w:pStyle w:val="affe"/>
        <w:spacing w:before="120" w:after="120"/>
      </w:pPr>
      <w:r>
        <w:rPr>
          <w:rFonts w:hint="eastAsia"/>
        </w:rPr>
        <w:t>多因素耦合综合预警判据</w:t>
      </w:r>
    </w:p>
    <w:p w14:paraId="48E8ADA1" w14:textId="5C2CCAFC" w:rsidR="002520D3" w:rsidRPr="002520D3" w:rsidRDefault="002520D3" w:rsidP="002520D3">
      <w:pPr>
        <w:pStyle w:val="afffff7"/>
      </w:pPr>
      <w:r w:rsidRPr="002520D3">
        <w:t>结合降雨量、位移速率与加速度等多参数进行加权计算，当组合评分越限时触发综合预警。</w:t>
      </w:r>
    </w:p>
    <w:p w14:paraId="2B51EF28" w14:textId="404B9CDA" w:rsidR="00CF3B17" w:rsidRDefault="00CF3B17" w:rsidP="00B25BD1">
      <w:pPr>
        <w:pStyle w:val="affd"/>
        <w:spacing w:before="120" w:after="120"/>
      </w:pPr>
      <w:bookmarkStart w:id="178" w:name="_Toc227249090"/>
      <w:bookmarkStart w:id="179" w:name="_Toc227249226"/>
      <w:bookmarkStart w:id="180" w:name="_Toc227251540"/>
      <w:r>
        <w:rPr>
          <w:rFonts w:hint="eastAsia"/>
        </w:rPr>
        <w:t>预警模型构建方法</w:t>
      </w:r>
      <w:bookmarkEnd w:id="178"/>
      <w:bookmarkEnd w:id="179"/>
      <w:bookmarkEnd w:id="180"/>
    </w:p>
    <w:p w14:paraId="01509891" w14:textId="2F7DAD3F" w:rsidR="00CF3B17" w:rsidRDefault="00CF3B17" w:rsidP="00B25BD1">
      <w:pPr>
        <w:pStyle w:val="affe"/>
        <w:spacing w:before="120" w:after="120"/>
      </w:pPr>
      <w:r>
        <w:rPr>
          <w:rFonts w:hint="eastAsia"/>
        </w:rPr>
        <w:t>统计学及经验阈值模型</w:t>
      </w:r>
    </w:p>
    <w:p w14:paraId="1E49926F" w14:textId="79CDADEE" w:rsidR="002520D3" w:rsidRPr="002520D3" w:rsidRDefault="002520D3" w:rsidP="002520D3">
      <w:pPr>
        <w:pStyle w:val="afffff7"/>
      </w:pPr>
      <w:r w:rsidRPr="002520D3">
        <w:t>利用灰色关联度或时间序列法分析监测曲线斜率变化特征。</w:t>
      </w:r>
    </w:p>
    <w:p w14:paraId="0BF9ADA6" w14:textId="0D3A950B" w:rsidR="00CF3B17" w:rsidRDefault="00CF3B17" w:rsidP="00B25BD1">
      <w:pPr>
        <w:pStyle w:val="affe"/>
        <w:spacing w:before="120" w:after="120"/>
      </w:pPr>
      <w:r>
        <w:rPr>
          <w:rFonts w:hint="eastAsia"/>
        </w:rPr>
        <w:t>动力学与数值模拟预测模型</w:t>
      </w:r>
    </w:p>
    <w:p w14:paraId="39664F5B" w14:textId="702E82F3" w:rsidR="002520D3" w:rsidRPr="002520D3" w:rsidRDefault="002520D3" w:rsidP="002520D3">
      <w:pPr>
        <w:pStyle w:val="afffff7"/>
      </w:pPr>
      <w:r w:rsidRPr="002520D3">
        <w:t>建立岩土体有限元（FEM）分析模型，将实时数据代入进行边坡稳定性（安全系数）正演。</w:t>
      </w:r>
    </w:p>
    <w:p w14:paraId="04876AEA" w14:textId="6A10FE1F" w:rsidR="00CF3B17" w:rsidRDefault="00CF3B17" w:rsidP="00B25BD1">
      <w:pPr>
        <w:pStyle w:val="affe"/>
        <w:spacing w:before="120" w:after="120"/>
      </w:pPr>
      <w:r>
        <w:rPr>
          <w:rFonts w:hint="eastAsia"/>
        </w:rPr>
        <w:t>基于大数据与AI的智能模型</w:t>
      </w:r>
    </w:p>
    <w:p w14:paraId="3299F125" w14:textId="4F69D8DC" w:rsidR="002520D3" w:rsidRPr="002520D3" w:rsidRDefault="002520D3" w:rsidP="002520D3">
      <w:pPr>
        <w:pStyle w:val="afffff7"/>
      </w:pPr>
      <w:r w:rsidRPr="002520D3">
        <w:t>使用机器学习算法训练灾变特征库，实现复杂非线性趋势的智能捕捉与超前预测。</w:t>
      </w:r>
    </w:p>
    <w:p w14:paraId="5A1D3510" w14:textId="191851CB" w:rsidR="00CF3B17" w:rsidRDefault="00CF3B17" w:rsidP="00B25BD1">
      <w:pPr>
        <w:pStyle w:val="affd"/>
        <w:spacing w:before="120" w:after="120"/>
      </w:pPr>
      <w:bookmarkStart w:id="181" w:name="_Toc227249091"/>
      <w:bookmarkStart w:id="182" w:name="_Toc227249227"/>
      <w:bookmarkStart w:id="183" w:name="_Toc227251541"/>
      <w:r>
        <w:rPr>
          <w:rFonts w:hint="eastAsia"/>
        </w:rPr>
        <w:t>预警级别划分标准</w:t>
      </w:r>
      <w:bookmarkEnd w:id="181"/>
      <w:bookmarkEnd w:id="182"/>
      <w:bookmarkEnd w:id="183"/>
    </w:p>
    <w:p w14:paraId="3F6491C1" w14:textId="48B35E29" w:rsidR="002520D3" w:rsidRDefault="002520D3" w:rsidP="002520D3">
      <w:pPr>
        <w:pStyle w:val="afffff7"/>
      </w:pPr>
      <w:r w:rsidRPr="002520D3">
        <w:lastRenderedPageBreak/>
        <w:t>根据安全风险的严重程度、发展趋势和紧迫性，将预警分为四级</w:t>
      </w:r>
      <w:r w:rsidR="009A2609">
        <w:rPr>
          <w:rFonts w:hint="eastAsia"/>
        </w:rPr>
        <w:t>，</w:t>
      </w:r>
      <w:r w:rsidRPr="002520D3">
        <w:t>见表2。</w:t>
      </w:r>
    </w:p>
    <w:p w14:paraId="5F4F9868" w14:textId="6762D280" w:rsidR="009A2609" w:rsidRDefault="009A2609" w:rsidP="009A2609">
      <w:pPr>
        <w:pStyle w:val="aff2"/>
        <w:spacing w:before="120" w:after="120"/>
        <w:rPr>
          <w:rFonts w:hint="eastAsia"/>
        </w:rPr>
      </w:pPr>
      <w:r w:rsidRPr="009A2609">
        <w:rPr>
          <w:rFonts w:hint="eastAsia"/>
        </w:rPr>
        <w:t>矿产安全风险预警分级标准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4"/>
      </w:tblGrid>
      <w:tr w:rsidR="009A2609" w:rsidRPr="009A2609" w14:paraId="2F2F6408" w14:textId="77777777" w:rsidTr="009A2609">
        <w:trPr>
          <w:tblHeader/>
          <w:jc w:val="center"/>
        </w:trPr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27DB79" w14:textId="236D72F5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预警级别</w:t>
            </w:r>
          </w:p>
        </w:tc>
        <w:tc>
          <w:tcPr>
            <w:tcW w:w="23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1B99C9" w14:textId="38DFF2C0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标示颜色</w:t>
            </w:r>
          </w:p>
        </w:tc>
        <w:tc>
          <w:tcPr>
            <w:tcW w:w="23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E76BFE" w14:textId="0270901D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危险程度定性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26BD0C" w14:textId="33554C47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典型触发条件示例（参考值）</w:t>
            </w:r>
          </w:p>
        </w:tc>
      </w:tr>
      <w:tr w:rsidR="009A2609" w:rsidRPr="009A2609" w14:paraId="37A93A94" w14:textId="77777777" w:rsidTr="009A2609">
        <w:trPr>
          <w:jc w:val="center"/>
        </w:trPr>
        <w:tc>
          <w:tcPr>
            <w:tcW w:w="2334" w:type="dxa"/>
            <w:tcBorders>
              <w:top w:val="single" w:sz="8" w:space="0" w:color="auto"/>
            </w:tcBorders>
            <w:vAlign w:val="center"/>
          </w:tcPr>
          <w:p w14:paraId="481D4552" w14:textId="6A5C0BEC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一级预警</w:t>
            </w:r>
          </w:p>
        </w:tc>
        <w:tc>
          <w:tcPr>
            <w:tcW w:w="2333" w:type="dxa"/>
            <w:tcBorders>
              <w:top w:val="single" w:sz="8" w:space="0" w:color="auto"/>
            </w:tcBorders>
            <w:vAlign w:val="center"/>
          </w:tcPr>
          <w:p w14:paraId="25F94065" w14:textId="68423C31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红色</w:t>
            </w:r>
          </w:p>
        </w:tc>
        <w:tc>
          <w:tcPr>
            <w:tcW w:w="2333" w:type="dxa"/>
            <w:tcBorders>
              <w:top w:val="single" w:sz="8" w:space="0" w:color="auto"/>
            </w:tcBorders>
            <w:vAlign w:val="center"/>
          </w:tcPr>
          <w:p w14:paraId="662821DB" w14:textId="500C0D60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特别严重，灾害即将发生</w:t>
            </w:r>
          </w:p>
        </w:tc>
        <w:tc>
          <w:tcPr>
            <w:tcW w:w="2334" w:type="dxa"/>
            <w:tcBorders>
              <w:top w:val="single" w:sz="8" w:space="0" w:color="auto"/>
            </w:tcBorders>
            <w:vAlign w:val="center"/>
          </w:tcPr>
          <w:p w14:paraId="2CA7AD1F" w14:textId="7969F317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边坡位移进入加速变形阶段；</w:t>
            </w:r>
            <w:r w:rsidRPr="009A2609">
              <w:t>CH</w:t>
            </w:r>
            <w:r w:rsidRPr="009A2609">
              <w:rPr>
                <w:rFonts w:ascii="Cambria Math" w:hAnsi="Cambria Math" w:cs="Cambria Math"/>
              </w:rPr>
              <w:t>₄</w:t>
            </w:r>
            <w:r w:rsidRPr="009A2609">
              <w:rPr>
                <w:rFonts w:hint="eastAsia"/>
              </w:rPr>
              <w:t>浓度≥</w:t>
            </w:r>
            <w:r w:rsidRPr="009A2609">
              <w:t>0.75%</w:t>
            </w:r>
          </w:p>
        </w:tc>
      </w:tr>
      <w:tr w:rsidR="009A2609" w:rsidRPr="009A2609" w14:paraId="3E650DFA" w14:textId="77777777" w:rsidTr="009A2609">
        <w:trPr>
          <w:jc w:val="center"/>
        </w:trPr>
        <w:tc>
          <w:tcPr>
            <w:tcW w:w="2334" w:type="dxa"/>
            <w:vAlign w:val="center"/>
          </w:tcPr>
          <w:p w14:paraId="72392212" w14:textId="709FA3AD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二级预警</w:t>
            </w:r>
          </w:p>
        </w:tc>
        <w:tc>
          <w:tcPr>
            <w:tcW w:w="2333" w:type="dxa"/>
            <w:vAlign w:val="center"/>
          </w:tcPr>
          <w:p w14:paraId="14DCF25F" w14:textId="37571A76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橙色</w:t>
            </w:r>
          </w:p>
        </w:tc>
        <w:tc>
          <w:tcPr>
            <w:tcW w:w="2333" w:type="dxa"/>
            <w:vAlign w:val="center"/>
          </w:tcPr>
          <w:p w14:paraId="7B4AD44A" w14:textId="239EE906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严重，灾害发生概率高</w:t>
            </w:r>
          </w:p>
        </w:tc>
        <w:tc>
          <w:tcPr>
            <w:tcW w:w="2334" w:type="dxa"/>
            <w:vAlign w:val="center"/>
          </w:tcPr>
          <w:p w14:paraId="00BF1A6A" w14:textId="225E61F3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位移速率连续3天呈明显上升趋势；CO浓度急剧升高</w:t>
            </w:r>
          </w:p>
        </w:tc>
      </w:tr>
      <w:tr w:rsidR="009A2609" w:rsidRPr="009A2609" w14:paraId="549A40D7" w14:textId="77777777" w:rsidTr="009A2609">
        <w:trPr>
          <w:jc w:val="center"/>
        </w:trPr>
        <w:tc>
          <w:tcPr>
            <w:tcW w:w="2334" w:type="dxa"/>
            <w:vAlign w:val="center"/>
          </w:tcPr>
          <w:p w14:paraId="45D615E0" w14:textId="19E067CB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三级预警</w:t>
            </w:r>
          </w:p>
        </w:tc>
        <w:tc>
          <w:tcPr>
            <w:tcW w:w="2333" w:type="dxa"/>
            <w:vAlign w:val="center"/>
          </w:tcPr>
          <w:p w14:paraId="41120073" w14:textId="50FA9948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黄色</w:t>
            </w:r>
          </w:p>
        </w:tc>
        <w:tc>
          <w:tcPr>
            <w:tcW w:w="2333" w:type="dxa"/>
            <w:vAlign w:val="center"/>
          </w:tcPr>
          <w:p w14:paraId="6AA81FF4" w14:textId="38D74463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较重，灾害风险显现</w:t>
            </w:r>
          </w:p>
        </w:tc>
        <w:tc>
          <w:tcPr>
            <w:tcW w:w="2334" w:type="dxa"/>
            <w:vAlign w:val="center"/>
          </w:tcPr>
          <w:p w14:paraId="4EDECE39" w14:textId="35674CA7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累计位移达到设计阈值的80%；设备出现大面积离线</w:t>
            </w:r>
          </w:p>
        </w:tc>
      </w:tr>
      <w:tr w:rsidR="009A2609" w:rsidRPr="009A2609" w14:paraId="0BD8ECC2" w14:textId="77777777" w:rsidTr="009A2609">
        <w:trPr>
          <w:jc w:val="center"/>
        </w:trPr>
        <w:tc>
          <w:tcPr>
            <w:tcW w:w="2334" w:type="dxa"/>
            <w:tcBorders>
              <w:bottom w:val="single" w:sz="8" w:space="0" w:color="auto"/>
            </w:tcBorders>
            <w:vAlign w:val="center"/>
          </w:tcPr>
          <w:p w14:paraId="3CB653AB" w14:textId="56F46F78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四级预警</w:t>
            </w:r>
          </w:p>
        </w:tc>
        <w:tc>
          <w:tcPr>
            <w:tcW w:w="2333" w:type="dxa"/>
            <w:tcBorders>
              <w:bottom w:val="single" w:sz="8" w:space="0" w:color="auto"/>
            </w:tcBorders>
            <w:vAlign w:val="center"/>
          </w:tcPr>
          <w:p w14:paraId="39B49F9D" w14:textId="7A652F66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蓝色</w:t>
            </w:r>
          </w:p>
        </w:tc>
        <w:tc>
          <w:tcPr>
            <w:tcW w:w="2333" w:type="dxa"/>
            <w:tcBorders>
              <w:bottom w:val="single" w:sz="8" w:space="0" w:color="auto"/>
            </w:tcBorders>
            <w:vAlign w:val="center"/>
          </w:tcPr>
          <w:p w14:paraId="615C115D" w14:textId="16D84FF9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一般，地质环境出现波动</w:t>
            </w:r>
          </w:p>
        </w:tc>
        <w:tc>
          <w:tcPr>
            <w:tcW w:w="2334" w:type="dxa"/>
            <w:tcBorders>
              <w:bottom w:val="single" w:sz="8" w:space="0" w:color="auto"/>
            </w:tcBorders>
            <w:vAlign w:val="center"/>
          </w:tcPr>
          <w:p w14:paraId="241319FE" w14:textId="0380B6F0" w:rsidR="009A2609" w:rsidRPr="009A2609" w:rsidRDefault="009A2609" w:rsidP="009A2609">
            <w:pPr>
              <w:pStyle w:val="afffffffffb"/>
              <w:rPr>
                <w:rFonts w:hint="eastAsia"/>
              </w:rPr>
            </w:pPr>
            <w:r w:rsidRPr="009A2609">
              <w:rPr>
                <w:rFonts w:hint="eastAsia"/>
              </w:rPr>
              <w:t>局部应力开始集中；降雨量达到预警触发基线</w:t>
            </w:r>
          </w:p>
        </w:tc>
      </w:tr>
    </w:tbl>
    <w:p w14:paraId="68FAAF91" w14:textId="77777777" w:rsidR="009A2609" w:rsidRDefault="009A2609" w:rsidP="002520D3">
      <w:pPr>
        <w:pStyle w:val="afffff7"/>
      </w:pPr>
    </w:p>
    <w:p w14:paraId="68241657" w14:textId="696B019D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184" w:name="_Toc227251542"/>
      <w:r>
        <w:rPr>
          <w:rFonts w:hint="eastAsia"/>
        </w:rPr>
        <w:t>预警阈值动态调整机制</w:t>
      </w:r>
      <w:bookmarkEnd w:id="184"/>
    </w:p>
    <w:p w14:paraId="4B79E318" w14:textId="4929D63A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季节调整要求</w:t>
      </w:r>
    </w:p>
    <w:p w14:paraId="1E09ECB5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雨季、冻融期、极端天气应适当提高预警灵敏度，下调触发阈值。</w:t>
      </w:r>
    </w:p>
    <w:p w14:paraId="7DCA9F30" w14:textId="650C4204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施工扰动调整</w:t>
      </w:r>
    </w:p>
    <w:p w14:paraId="6149E08F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爆破、开挖、回填期间，应提高监测频率并优化预警判据。</w:t>
      </w:r>
    </w:p>
    <w:p w14:paraId="6A38ABFB" w14:textId="224D7037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长期趋势调整</w:t>
      </w:r>
    </w:p>
    <w:p w14:paraId="1B2ABAD1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根据多年监测数据规律，每年复核并更新一次预警阈值。</w:t>
      </w:r>
    </w:p>
    <w:p w14:paraId="514D965A" w14:textId="0FD6C2E1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185" w:name="_Toc227251543"/>
      <w:r>
        <w:rPr>
          <w:rFonts w:hint="eastAsia"/>
        </w:rPr>
        <w:t>多灾种耦合预警</w:t>
      </w:r>
      <w:bookmarkEnd w:id="185"/>
    </w:p>
    <w:p w14:paraId="288DDDE7" w14:textId="21E48552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降雨-滑坡耦合预警</w:t>
      </w:r>
    </w:p>
    <w:p w14:paraId="6586AD46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结合降雨量、降雨强度、土体含水率与位移速率综合判定。</w:t>
      </w:r>
    </w:p>
    <w:p w14:paraId="7AB245C5" w14:textId="26E7A190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应力-位移耦合预警</w:t>
      </w:r>
    </w:p>
    <w:p w14:paraId="242B93A0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结合围岩应力、支护压力、变形速率判定冲击地压风险。</w:t>
      </w:r>
    </w:p>
    <w:p w14:paraId="36CB1ABF" w14:textId="677DDED6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水位-浸润线耦合预警</w:t>
      </w:r>
    </w:p>
    <w:p w14:paraId="5B8EF2BD" w14:textId="28CDDF04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结合库水位、浸润线埋深、渗流量判定尾矿库溃坝风险。</w:t>
      </w:r>
    </w:p>
    <w:p w14:paraId="38BBEF8D" w14:textId="6024D7F2" w:rsidR="002520D3" w:rsidRPr="002520D3" w:rsidRDefault="00CF3B17" w:rsidP="002520D3">
      <w:pPr>
        <w:pStyle w:val="affc"/>
        <w:spacing w:before="240" w:after="240"/>
      </w:pPr>
      <w:bookmarkStart w:id="186" w:name="_Toc227249092"/>
      <w:bookmarkStart w:id="187" w:name="_Toc227249228"/>
      <w:bookmarkStart w:id="188" w:name="_Toc227251544"/>
      <w:r>
        <w:rPr>
          <w:rFonts w:hint="eastAsia"/>
        </w:rPr>
        <w:t>预警发布与响应处置</w:t>
      </w:r>
      <w:bookmarkEnd w:id="186"/>
      <w:bookmarkEnd w:id="187"/>
      <w:bookmarkEnd w:id="188"/>
    </w:p>
    <w:p w14:paraId="64B6BAD5" w14:textId="4BE77D70" w:rsidR="00CF3B17" w:rsidRDefault="00CF3B17" w:rsidP="00B25BD1">
      <w:pPr>
        <w:pStyle w:val="affd"/>
        <w:spacing w:before="120" w:after="120"/>
      </w:pPr>
      <w:bookmarkStart w:id="189" w:name="_Toc227249093"/>
      <w:bookmarkStart w:id="190" w:name="_Toc227249229"/>
      <w:bookmarkStart w:id="191" w:name="_Toc227251545"/>
      <w:r>
        <w:rPr>
          <w:rFonts w:hint="eastAsia"/>
        </w:rPr>
        <w:t>预警信息发布管理</w:t>
      </w:r>
      <w:bookmarkEnd w:id="189"/>
      <w:bookmarkEnd w:id="190"/>
      <w:bookmarkEnd w:id="191"/>
    </w:p>
    <w:p w14:paraId="512A6B5F" w14:textId="1DA95946" w:rsidR="00CF3B17" w:rsidRDefault="00CF3B17" w:rsidP="00B25BD1">
      <w:pPr>
        <w:pStyle w:val="affe"/>
        <w:spacing w:before="120" w:after="120"/>
      </w:pPr>
      <w:r>
        <w:rPr>
          <w:rFonts w:hint="eastAsia"/>
        </w:rPr>
        <w:t>预警生成权限与人工审核</w:t>
      </w:r>
    </w:p>
    <w:p w14:paraId="282987B1" w14:textId="3434A070" w:rsidR="00882964" w:rsidRPr="00882964" w:rsidRDefault="00882964" w:rsidP="00882964">
      <w:pPr>
        <w:pStyle w:val="afffff7"/>
      </w:pPr>
      <w:r w:rsidRPr="00882964">
        <w:t>蓝、黄色预警可由系统自动生成；橙、红色预警须由矿山安全总监或授权主管复核确认后下发。</w:t>
      </w:r>
    </w:p>
    <w:p w14:paraId="63660E3A" w14:textId="2CEA8911" w:rsidR="00CF3B17" w:rsidRDefault="00CF3B17" w:rsidP="00B25BD1">
      <w:pPr>
        <w:pStyle w:val="affe"/>
        <w:spacing w:before="120" w:after="120"/>
      </w:pPr>
      <w:r>
        <w:rPr>
          <w:rFonts w:hint="eastAsia"/>
        </w:rPr>
        <w:t>信息内容与标准化格式要求</w:t>
      </w:r>
    </w:p>
    <w:p w14:paraId="18E48E36" w14:textId="621DFE20" w:rsidR="00882964" w:rsidRPr="00882964" w:rsidRDefault="00882964" w:rsidP="00882964">
      <w:pPr>
        <w:pStyle w:val="afffff7"/>
      </w:pPr>
      <w:r w:rsidRPr="00882964">
        <w:t>发布内容必须包括：预警等级、影响区域范围、可能诱发的灾害类型、发生时间预测及初步建议。</w:t>
      </w:r>
    </w:p>
    <w:p w14:paraId="5D3CA46E" w14:textId="12820A28" w:rsidR="00CF3B17" w:rsidRDefault="00CF3B17" w:rsidP="00B25BD1">
      <w:pPr>
        <w:pStyle w:val="affe"/>
        <w:spacing w:before="120" w:after="120"/>
      </w:pPr>
      <w:r>
        <w:rPr>
          <w:rFonts w:hint="eastAsia"/>
        </w:rPr>
        <w:t>多渠道发布与定向接收终端</w:t>
      </w:r>
    </w:p>
    <w:p w14:paraId="04ECE599" w14:textId="689833C5" w:rsidR="00882964" w:rsidRPr="00882964" w:rsidRDefault="00882964" w:rsidP="00882964">
      <w:pPr>
        <w:pStyle w:val="afffff7"/>
      </w:pPr>
      <w:r w:rsidRPr="00882964">
        <w:t>信息应同步下发至井下广播系统、调度中心大屏、相关责任人手机</w:t>
      </w:r>
      <w:proofErr w:type="gramStart"/>
      <w:r w:rsidRPr="00882964">
        <w:t>短彩信</w:t>
      </w:r>
      <w:proofErr w:type="gramEnd"/>
      <w:r w:rsidRPr="00882964">
        <w:t>及</w:t>
      </w:r>
      <w:proofErr w:type="gramStart"/>
      <w:r w:rsidRPr="00882964">
        <w:t>企业微信</w:t>
      </w:r>
      <w:proofErr w:type="gramEnd"/>
      <w:r w:rsidRPr="00882964">
        <w:t>/内部APP等。</w:t>
      </w:r>
    </w:p>
    <w:p w14:paraId="7A7CF63C" w14:textId="3ED61B70" w:rsidR="00CF3B17" w:rsidRDefault="00CF3B17" w:rsidP="00B25BD1">
      <w:pPr>
        <w:pStyle w:val="affd"/>
        <w:spacing w:before="120" w:after="120"/>
      </w:pPr>
      <w:bookmarkStart w:id="192" w:name="_Toc227249094"/>
      <w:bookmarkStart w:id="193" w:name="_Toc227249230"/>
      <w:bookmarkStart w:id="194" w:name="_Toc227251546"/>
      <w:r>
        <w:rPr>
          <w:rFonts w:hint="eastAsia"/>
        </w:rPr>
        <w:t>预警分级响应行动</w:t>
      </w:r>
      <w:bookmarkEnd w:id="192"/>
      <w:bookmarkEnd w:id="193"/>
      <w:bookmarkEnd w:id="194"/>
    </w:p>
    <w:p w14:paraId="26FF59AE" w14:textId="51CF1057" w:rsidR="00CF3B17" w:rsidRDefault="00CF3B17" w:rsidP="00B25BD1">
      <w:pPr>
        <w:pStyle w:val="affe"/>
        <w:spacing w:before="120" w:after="120"/>
      </w:pPr>
      <w:r>
        <w:rPr>
          <w:rFonts w:hint="eastAsia"/>
        </w:rPr>
        <w:t>蓝色与黄色预警响应程序</w:t>
      </w:r>
    </w:p>
    <w:p w14:paraId="3D7BCA26" w14:textId="287170D3" w:rsidR="00882964" w:rsidRPr="00882964" w:rsidRDefault="00882964" w:rsidP="00882964">
      <w:pPr>
        <w:pStyle w:val="afffff7"/>
      </w:pPr>
      <w:r w:rsidRPr="00882964">
        <w:t>主要行动应包括：加强加密监测频次、组织技术人员现场排查、做好应急物资整备。</w:t>
      </w:r>
    </w:p>
    <w:p w14:paraId="2D2021AF" w14:textId="18940D37" w:rsidR="00CF3B17" w:rsidRDefault="00CF3B17" w:rsidP="00B25BD1">
      <w:pPr>
        <w:pStyle w:val="affe"/>
        <w:spacing w:before="120" w:after="120"/>
      </w:pPr>
      <w:r>
        <w:rPr>
          <w:rFonts w:hint="eastAsia"/>
        </w:rPr>
        <w:lastRenderedPageBreak/>
        <w:t>橙色与红色预警响应程序</w:t>
      </w:r>
    </w:p>
    <w:p w14:paraId="4BFF66ED" w14:textId="21D2B1F5" w:rsidR="00882964" w:rsidRPr="00882964" w:rsidRDefault="00882964" w:rsidP="00882964">
      <w:pPr>
        <w:pStyle w:val="afffff7"/>
      </w:pPr>
      <w:r w:rsidRPr="00882964">
        <w:t>主要行动应包括：启动相应级别应急预案、停产撤人、封锁影响区域道路及上报当地应急管理部门。</w:t>
      </w:r>
    </w:p>
    <w:p w14:paraId="44B8F643" w14:textId="247C4047" w:rsidR="00CF3B17" w:rsidRDefault="00CF3B17" w:rsidP="00B25BD1">
      <w:pPr>
        <w:pStyle w:val="affe"/>
        <w:spacing w:before="120" w:after="120"/>
      </w:pPr>
      <w:r>
        <w:rPr>
          <w:rFonts w:hint="eastAsia"/>
        </w:rPr>
        <w:t>现场人员紧急撤离与区域管控</w:t>
      </w:r>
    </w:p>
    <w:p w14:paraId="631CF630" w14:textId="28057CA4" w:rsidR="00882964" w:rsidRPr="00882964" w:rsidRDefault="00882964" w:rsidP="00882964">
      <w:pPr>
        <w:pStyle w:val="afffff7"/>
      </w:pPr>
      <w:r w:rsidRPr="00882964">
        <w:t>一旦下达红色预警，危险区域内全体作业人员必须</w:t>
      </w:r>
      <w:proofErr w:type="gramStart"/>
      <w:r w:rsidRPr="00882964">
        <w:t>循</w:t>
      </w:r>
      <w:proofErr w:type="gramEnd"/>
      <w:r w:rsidRPr="00882964">
        <w:t>指定避灾路线于30分钟内撤出至安全避险硐室或地表。</w:t>
      </w:r>
    </w:p>
    <w:p w14:paraId="06CC5151" w14:textId="06C7572D" w:rsidR="00CF3B17" w:rsidRDefault="00CF3B17" w:rsidP="00B25BD1">
      <w:pPr>
        <w:pStyle w:val="affd"/>
        <w:spacing w:before="120" w:after="120"/>
      </w:pPr>
      <w:bookmarkStart w:id="195" w:name="_Toc227249095"/>
      <w:bookmarkStart w:id="196" w:name="_Toc227249231"/>
      <w:bookmarkStart w:id="197" w:name="_Toc227251547"/>
      <w:r>
        <w:rPr>
          <w:rFonts w:hint="eastAsia"/>
        </w:rPr>
        <w:t>预警解除与事后评估</w:t>
      </w:r>
      <w:bookmarkEnd w:id="195"/>
      <w:bookmarkEnd w:id="196"/>
      <w:bookmarkEnd w:id="197"/>
    </w:p>
    <w:p w14:paraId="67585642" w14:textId="339D1952" w:rsidR="00CF3B17" w:rsidRDefault="00CF3B17" w:rsidP="00B25BD1">
      <w:pPr>
        <w:pStyle w:val="affe"/>
        <w:spacing w:before="120" w:after="120"/>
      </w:pPr>
      <w:r>
        <w:rPr>
          <w:rFonts w:hint="eastAsia"/>
        </w:rPr>
        <w:t>预警解除的条件与判定程序</w:t>
      </w:r>
    </w:p>
    <w:p w14:paraId="77DCD1C3" w14:textId="02F9E57E" w:rsidR="00882964" w:rsidRPr="00882964" w:rsidRDefault="00882964" w:rsidP="00882964">
      <w:pPr>
        <w:pStyle w:val="afffff7"/>
      </w:pPr>
      <w:r w:rsidRPr="00882964">
        <w:t>当触发预警的异常指标恢复至正常波动区间并维持24小时以上，经专家组确认后，由原发布机构解除预警。</w:t>
      </w:r>
    </w:p>
    <w:p w14:paraId="42F206E8" w14:textId="663B5534" w:rsidR="00CF3B17" w:rsidRDefault="00CF3B17" w:rsidP="00B25BD1">
      <w:pPr>
        <w:pStyle w:val="affe"/>
        <w:spacing w:before="120" w:after="120"/>
      </w:pPr>
      <w:r>
        <w:rPr>
          <w:rFonts w:hint="eastAsia"/>
        </w:rPr>
        <w:t>监测数据回溯与预警效果评估</w:t>
      </w:r>
    </w:p>
    <w:p w14:paraId="18F4D432" w14:textId="3C54442A" w:rsidR="00882964" w:rsidRPr="00882964" w:rsidRDefault="00882964" w:rsidP="00882964">
      <w:pPr>
        <w:pStyle w:val="afffff7"/>
      </w:pPr>
      <w:r w:rsidRPr="00882964">
        <w:t>预警解除后5个工作日内，必须调取预警前后的时序数据，对比预报时间与实际情况，评估系统的敏锐性及准确率。</w:t>
      </w:r>
    </w:p>
    <w:p w14:paraId="59FFBF75" w14:textId="33747B17" w:rsidR="00CF3B17" w:rsidRDefault="00CF3B17" w:rsidP="00B25BD1">
      <w:pPr>
        <w:pStyle w:val="affe"/>
        <w:spacing w:before="120" w:after="120"/>
      </w:pPr>
      <w:r>
        <w:rPr>
          <w:rFonts w:hint="eastAsia"/>
        </w:rPr>
        <w:t>险情总结与预警模型优化修正</w:t>
      </w:r>
    </w:p>
    <w:p w14:paraId="5F026194" w14:textId="3B697DA0" w:rsidR="00882964" w:rsidRDefault="00882964" w:rsidP="00882964">
      <w:pPr>
        <w:pStyle w:val="afffff7"/>
      </w:pPr>
      <w:r w:rsidRPr="00882964">
        <w:t>根据事后评估报告，重新修订警报触发阈值库和优化算法模型</w:t>
      </w:r>
      <w:r>
        <w:rPr>
          <w:rFonts w:hint="eastAsia"/>
        </w:rPr>
        <w:t>。</w:t>
      </w:r>
    </w:p>
    <w:p w14:paraId="5CF409C5" w14:textId="0154E7F6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198" w:name="_Toc227251548"/>
      <w:r>
        <w:rPr>
          <w:rFonts w:hint="eastAsia"/>
        </w:rPr>
        <w:t>预警信息存档与追溯</w:t>
      </w:r>
      <w:bookmarkEnd w:id="198"/>
    </w:p>
    <w:p w14:paraId="1927BDF5" w14:textId="315375ED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预警记录存档</w:t>
      </w:r>
    </w:p>
    <w:p w14:paraId="24AF2F5B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预警时间、等级、位置、原因、处置措施应自动存档，不可修改。</w:t>
      </w:r>
    </w:p>
    <w:p w14:paraId="6FB8773E" w14:textId="69DFC95B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指令下达记录</w:t>
      </w:r>
    </w:p>
    <w:p w14:paraId="12C386C7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预警指令接收人、响应时间、现场反馈应全程记录可查。</w:t>
      </w:r>
    </w:p>
    <w:p w14:paraId="72164081" w14:textId="493C9F9B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音视频留存</w:t>
      </w:r>
    </w:p>
    <w:p w14:paraId="5AB58840" w14:textId="06F8788C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预警期间调度通话、现场视频、监控画面应保存不少于1年。</w:t>
      </w:r>
    </w:p>
    <w:p w14:paraId="0138F4F7" w14:textId="35C3E2EA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199" w:name="_Toc227251549"/>
      <w:r>
        <w:rPr>
          <w:rFonts w:hint="eastAsia"/>
        </w:rPr>
        <w:t>次生灾害防范</w:t>
      </w:r>
      <w:bookmarkEnd w:id="199"/>
    </w:p>
    <w:p w14:paraId="011A68EC" w14:textId="05354F2E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滑坡次生灾害防范</w:t>
      </w:r>
    </w:p>
    <w:p w14:paraId="6D37DA42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预警期间加强坡脚、道路、河道巡查，防范堵塞、溃决风险。</w:t>
      </w:r>
    </w:p>
    <w:p w14:paraId="12BD07FB" w14:textId="692B53A7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尾矿库次生灾害防范</w:t>
      </w:r>
    </w:p>
    <w:p w14:paraId="78E7E5FF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加强溢洪道、排水井巡查，严防漫顶、渗漏、管涌发生。</w:t>
      </w:r>
    </w:p>
    <w:p w14:paraId="736F6237" w14:textId="3E35137F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井下次生灾害防范</w:t>
      </w:r>
    </w:p>
    <w:p w14:paraId="78C1B3C2" w14:textId="1317DE7B" w:rsidR="002158B1" w:rsidRPr="00882964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加强通风、瓦斯、水害监测，防止复合灾害发生。</w:t>
      </w:r>
    </w:p>
    <w:p w14:paraId="4360C8CA" w14:textId="66DE85B8" w:rsidR="00CF3B17" w:rsidRDefault="00CF3B17" w:rsidP="00C57E9D">
      <w:pPr>
        <w:pStyle w:val="affc"/>
        <w:spacing w:before="240" w:after="240"/>
      </w:pPr>
      <w:bookmarkStart w:id="200" w:name="_Toc227249096"/>
      <w:bookmarkStart w:id="201" w:name="_Toc227249232"/>
      <w:bookmarkStart w:id="202" w:name="_Toc227251550"/>
      <w:r>
        <w:rPr>
          <w:rFonts w:hint="eastAsia"/>
        </w:rPr>
        <w:t>系统运行维护与管理</w:t>
      </w:r>
      <w:bookmarkEnd w:id="200"/>
      <w:bookmarkEnd w:id="201"/>
      <w:bookmarkEnd w:id="202"/>
    </w:p>
    <w:p w14:paraId="7303CCB0" w14:textId="588EF838" w:rsidR="00CF3B17" w:rsidRDefault="00CF3B17" w:rsidP="00B25BD1">
      <w:pPr>
        <w:pStyle w:val="affd"/>
        <w:spacing w:before="120" w:after="120"/>
      </w:pPr>
      <w:bookmarkStart w:id="203" w:name="_Toc227249097"/>
      <w:bookmarkStart w:id="204" w:name="_Toc227249233"/>
      <w:bookmarkStart w:id="205" w:name="_Toc227251551"/>
      <w:r>
        <w:rPr>
          <w:rFonts w:hint="eastAsia"/>
        </w:rPr>
        <w:t>组织管理体系建立</w:t>
      </w:r>
      <w:bookmarkEnd w:id="203"/>
      <w:bookmarkEnd w:id="204"/>
      <w:bookmarkEnd w:id="205"/>
    </w:p>
    <w:p w14:paraId="73D07DEF" w14:textId="11A42F00" w:rsidR="00CF3B17" w:rsidRDefault="00CF3B17" w:rsidP="00B25BD1">
      <w:pPr>
        <w:pStyle w:val="affe"/>
        <w:spacing w:before="120" w:after="120"/>
      </w:pPr>
      <w:r>
        <w:rPr>
          <w:rFonts w:hint="eastAsia"/>
        </w:rPr>
        <w:t>机构设置与专业人员配备</w:t>
      </w:r>
    </w:p>
    <w:p w14:paraId="030C009D" w14:textId="7602687D" w:rsidR="00882964" w:rsidRPr="00882964" w:rsidRDefault="00882964" w:rsidP="00882964">
      <w:pPr>
        <w:pStyle w:val="afffff7"/>
      </w:pPr>
      <w:r w:rsidRPr="00882964">
        <w:t>矿山企业必须设立独立的监测预警管理中心，每班次值守的专业操作人员不应少于2人。</w:t>
      </w:r>
    </w:p>
    <w:p w14:paraId="207C3FB9" w14:textId="62A539B5" w:rsidR="00CF3B17" w:rsidRDefault="00CF3B17" w:rsidP="00B25BD1">
      <w:pPr>
        <w:pStyle w:val="affe"/>
        <w:spacing w:before="120" w:after="120"/>
      </w:pPr>
      <w:r>
        <w:rPr>
          <w:rFonts w:hint="eastAsia"/>
        </w:rPr>
        <w:t>岗位职责与监测考核制度</w:t>
      </w:r>
    </w:p>
    <w:p w14:paraId="367F9E3E" w14:textId="6BB972C6" w:rsidR="00882964" w:rsidRPr="00882964" w:rsidRDefault="00882964" w:rsidP="00882964">
      <w:pPr>
        <w:pStyle w:val="afffff7"/>
      </w:pPr>
      <w:r w:rsidRPr="00882964">
        <w:t>制定明确的设备巡检、数据通报及预警响应岗位职责说明书，并建立定期考核及问责机制。</w:t>
      </w:r>
    </w:p>
    <w:p w14:paraId="59A56676" w14:textId="7FA8E660" w:rsidR="00CF3B17" w:rsidRDefault="00CF3B17" w:rsidP="00B25BD1">
      <w:pPr>
        <w:pStyle w:val="affe"/>
        <w:spacing w:before="120" w:after="120"/>
      </w:pPr>
      <w:r>
        <w:rPr>
          <w:rFonts w:hint="eastAsia"/>
        </w:rPr>
        <w:t>应急预案演练与技术培训</w:t>
      </w:r>
    </w:p>
    <w:p w14:paraId="2FE32688" w14:textId="7505290A" w:rsidR="00882964" w:rsidRPr="00882964" w:rsidRDefault="00882964" w:rsidP="00882964">
      <w:pPr>
        <w:pStyle w:val="afffff7"/>
      </w:pPr>
      <w:r w:rsidRPr="00882964">
        <w:lastRenderedPageBreak/>
        <w:t>针对系统故障或高级别灾害警报，每年应至少组织1次专项技术培训与2次综合逃生演练。</w:t>
      </w:r>
    </w:p>
    <w:p w14:paraId="20DB8297" w14:textId="1D9CAE84" w:rsidR="00882964" w:rsidRPr="00882964" w:rsidRDefault="00CF3B17" w:rsidP="00882964">
      <w:pPr>
        <w:pStyle w:val="affd"/>
        <w:spacing w:before="120" w:after="120"/>
      </w:pPr>
      <w:bookmarkStart w:id="206" w:name="_Toc227249098"/>
      <w:bookmarkStart w:id="207" w:name="_Toc227249234"/>
      <w:bookmarkStart w:id="208" w:name="_Toc227251552"/>
      <w:r>
        <w:rPr>
          <w:rFonts w:hint="eastAsia"/>
        </w:rPr>
        <w:t>设备与系统运行维护</w:t>
      </w:r>
      <w:bookmarkEnd w:id="206"/>
      <w:bookmarkEnd w:id="207"/>
      <w:bookmarkEnd w:id="208"/>
    </w:p>
    <w:p w14:paraId="16A30F0A" w14:textId="767E616C" w:rsidR="00CF3B17" w:rsidRDefault="00CF3B17" w:rsidP="00B25BD1">
      <w:pPr>
        <w:pStyle w:val="affe"/>
        <w:spacing w:before="120" w:after="120"/>
      </w:pPr>
      <w:r>
        <w:rPr>
          <w:rFonts w:hint="eastAsia"/>
        </w:rPr>
        <w:t>仪器设备日常巡查与保养</w:t>
      </w:r>
    </w:p>
    <w:p w14:paraId="079DCF84" w14:textId="7E94C964" w:rsidR="00882964" w:rsidRPr="00882964" w:rsidRDefault="00882964" w:rsidP="00882964">
      <w:pPr>
        <w:pStyle w:val="afffff7"/>
      </w:pPr>
      <w:r w:rsidRPr="00882964">
        <w:t>巡检人员需按</w:t>
      </w:r>
      <w:proofErr w:type="gramStart"/>
      <w:r w:rsidRPr="00882964">
        <w:t>周清理</w:t>
      </w:r>
      <w:proofErr w:type="gramEnd"/>
      <w:r w:rsidRPr="00882964">
        <w:t>露天光学镜头和防雨罩，按月检查井下传感器防护网及线缆破损情况。</w:t>
      </w:r>
    </w:p>
    <w:p w14:paraId="0884BFAA" w14:textId="6FBBBF76" w:rsidR="00CF3B17" w:rsidRDefault="00CF3B17" w:rsidP="00B25BD1">
      <w:pPr>
        <w:pStyle w:val="affe"/>
        <w:spacing w:before="120" w:after="120"/>
      </w:pPr>
      <w:r>
        <w:rPr>
          <w:rFonts w:hint="eastAsia"/>
        </w:rPr>
        <w:t>传感器定期检定与校准测试</w:t>
      </w:r>
    </w:p>
    <w:p w14:paraId="51E6143F" w14:textId="6EA60D5B" w:rsidR="00882964" w:rsidRPr="00882964" w:rsidRDefault="00882964" w:rsidP="00882964">
      <w:pPr>
        <w:pStyle w:val="afffff7"/>
      </w:pPr>
      <w:r w:rsidRPr="00882964">
        <w:t>瓦斯气体传感器须按相关规范每15天至30天标校一次，</w:t>
      </w:r>
      <w:proofErr w:type="gramStart"/>
      <w:r w:rsidRPr="00882964">
        <w:t>位移与渗压</w:t>
      </w:r>
      <w:proofErr w:type="gramEnd"/>
      <w:r w:rsidRPr="00882964">
        <w:t>传感器每年送检计量机构校验。</w:t>
      </w:r>
    </w:p>
    <w:p w14:paraId="67B985BE" w14:textId="013C2B7D" w:rsidR="00CF3B17" w:rsidRDefault="00CF3B17" w:rsidP="00B25BD1">
      <w:pPr>
        <w:pStyle w:val="affe"/>
        <w:spacing w:before="120" w:after="120"/>
      </w:pPr>
      <w:r>
        <w:rPr>
          <w:rFonts w:hint="eastAsia"/>
        </w:rPr>
        <w:t>软硬件故障排查与应急修复</w:t>
      </w:r>
    </w:p>
    <w:p w14:paraId="1AE34C9D" w14:textId="4AF867E8" w:rsidR="00882964" w:rsidRPr="00882964" w:rsidRDefault="00882964" w:rsidP="00882964">
      <w:pPr>
        <w:pStyle w:val="afffff7"/>
      </w:pPr>
      <w:r w:rsidRPr="00882964">
        <w:t>当监测系统发生中断故障，运</w:t>
      </w:r>
      <w:proofErr w:type="gramStart"/>
      <w:r w:rsidRPr="00882964">
        <w:t>维人员</w:t>
      </w:r>
      <w:proofErr w:type="gramEnd"/>
      <w:r w:rsidRPr="00882964">
        <w:t>必须在2小时内响应，并在24小时内恢复数据链路及系统运作。</w:t>
      </w:r>
    </w:p>
    <w:p w14:paraId="534CB193" w14:textId="717EC51E" w:rsidR="00CF3B17" w:rsidRDefault="00CF3B17" w:rsidP="00B25BD1">
      <w:pPr>
        <w:pStyle w:val="affd"/>
        <w:spacing w:before="120" w:after="120"/>
      </w:pPr>
      <w:bookmarkStart w:id="209" w:name="_Toc227249099"/>
      <w:bookmarkStart w:id="210" w:name="_Toc227249235"/>
      <w:bookmarkStart w:id="211" w:name="_Toc227251553"/>
      <w:r>
        <w:rPr>
          <w:rFonts w:hint="eastAsia"/>
        </w:rPr>
        <w:t>档案与台</w:t>
      </w:r>
      <w:proofErr w:type="gramStart"/>
      <w:r>
        <w:rPr>
          <w:rFonts w:hint="eastAsia"/>
        </w:rPr>
        <w:t>账资料</w:t>
      </w:r>
      <w:proofErr w:type="gramEnd"/>
      <w:r>
        <w:rPr>
          <w:rFonts w:hint="eastAsia"/>
        </w:rPr>
        <w:t>管理</w:t>
      </w:r>
      <w:bookmarkEnd w:id="209"/>
      <w:bookmarkEnd w:id="210"/>
      <w:bookmarkEnd w:id="211"/>
    </w:p>
    <w:p w14:paraId="40452F4A" w14:textId="72484F17" w:rsidR="00CF3B17" w:rsidRDefault="00CF3B17" w:rsidP="00B25BD1">
      <w:pPr>
        <w:pStyle w:val="affe"/>
        <w:spacing w:before="120" w:after="120"/>
      </w:pPr>
      <w:r>
        <w:rPr>
          <w:rFonts w:hint="eastAsia"/>
        </w:rPr>
        <w:t>基础地质与设计施工资料建档</w:t>
      </w:r>
    </w:p>
    <w:p w14:paraId="0AAC9E6E" w14:textId="03A8A99B" w:rsidR="00882964" w:rsidRPr="00882964" w:rsidRDefault="00882964" w:rsidP="00882964">
      <w:pPr>
        <w:pStyle w:val="afffff7"/>
      </w:pPr>
      <w:r w:rsidRPr="00882964">
        <w:t>图纸、计算书、设备合格证明等文件必须实行</w:t>
      </w:r>
      <w:r w:rsidRPr="00882964">
        <w:t>“</w:t>
      </w:r>
      <w:proofErr w:type="gramStart"/>
      <w:r w:rsidRPr="00882964">
        <w:t>一</w:t>
      </w:r>
      <w:proofErr w:type="gramEnd"/>
      <w:r w:rsidRPr="00882964">
        <w:t>项目一档</w:t>
      </w:r>
      <w:r w:rsidRPr="00882964">
        <w:t>”</w:t>
      </w:r>
      <w:r w:rsidRPr="00882964">
        <w:t>，设立独立的实物与电子档案。</w:t>
      </w:r>
    </w:p>
    <w:p w14:paraId="39341063" w14:textId="4B629D21" w:rsidR="00CF3B17" w:rsidRDefault="00CF3B17" w:rsidP="00B25BD1">
      <w:pPr>
        <w:pStyle w:val="affe"/>
        <w:spacing w:before="120" w:after="120"/>
      </w:pPr>
      <w:r>
        <w:rPr>
          <w:rFonts w:hint="eastAsia"/>
        </w:rPr>
        <w:t>监测数据报表与运行日志管理</w:t>
      </w:r>
    </w:p>
    <w:p w14:paraId="164EDB7C" w14:textId="583730ED" w:rsidR="00882964" w:rsidRPr="00882964" w:rsidRDefault="00882964" w:rsidP="00882964">
      <w:pPr>
        <w:pStyle w:val="afffff7"/>
      </w:pPr>
      <w:r w:rsidRPr="00882964">
        <w:t>系统每日自动生成数据日报表，值班人员须对关键异动情况在运行日志中手工签字背书。</w:t>
      </w:r>
    </w:p>
    <w:p w14:paraId="3B370F33" w14:textId="55D3FBF1" w:rsidR="00CF3B17" w:rsidRDefault="00CF3B17" w:rsidP="00B25BD1">
      <w:pPr>
        <w:pStyle w:val="affe"/>
        <w:spacing w:before="120" w:after="120"/>
      </w:pPr>
      <w:r>
        <w:rPr>
          <w:rFonts w:hint="eastAsia"/>
        </w:rPr>
        <w:t>数据共享、汇交与保密管理</w:t>
      </w:r>
    </w:p>
    <w:p w14:paraId="088DE45A" w14:textId="5D7D29C8" w:rsidR="00882964" w:rsidRDefault="00882964" w:rsidP="00882964">
      <w:pPr>
        <w:pStyle w:val="afffff7"/>
      </w:pPr>
      <w:r w:rsidRPr="00882964">
        <w:t>监测数据的对外发布权归企业法人所有；数据报送政府监管平台时，应执行国家相关网络保密要求。</w:t>
      </w:r>
    </w:p>
    <w:p w14:paraId="2334D7D8" w14:textId="70243A1F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212" w:name="_Toc227251554"/>
      <w:r>
        <w:rPr>
          <w:rFonts w:hint="eastAsia"/>
        </w:rPr>
        <w:t>备品备件与应急物资</w:t>
      </w:r>
      <w:bookmarkEnd w:id="212"/>
    </w:p>
    <w:p w14:paraId="3D4947EB" w14:textId="38D6BAFD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备件配置要求</w:t>
      </w:r>
    </w:p>
    <w:p w14:paraId="3F58E307" w14:textId="7BF122AC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现场应储备不少于在用数量15%的传感器、采集模块、电源、天线。</w:t>
      </w:r>
    </w:p>
    <w:p w14:paraId="500A6985" w14:textId="20D03BFA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应急工具配置</w:t>
      </w:r>
    </w:p>
    <w:p w14:paraId="3A7EF553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配备调试电脑、万用表、光纤熔接机、防水胶带、备用线缆。</w:t>
      </w:r>
    </w:p>
    <w:p w14:paraId="33963B1C" w14:textId="6F99A4E8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物资管理要求</w:t>
      </w:r>
    </w:p>
    <w:p w14:paraId="25665F5D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备品备件定点存放、定期检查、专人管理，随时可更换使用。</w:t>
      </w:r>
    </w:p>
    <w:p w14:paraId="6365437B" w14:textId="6CCC0975" w:rsidR="002158B1" w:rsidRDefault="002158B1" w:rsidP="002158B1">
      <w:pPr>
        <w:pStyle w:val="affd"/>
        <w:spacing w:before="120" w:after="120"/>
        <w:rPr>
          <w:rFonts w:hint="eastAsia"/>
        </w:rPr>
      </w:pPr>
      <w:bookmarkStart w:id="213" w:name="_Toc227251555"/>
      <w:r>
        <w:rPr>
          <w:rFonts w:hint="eastAsia"/>
        </w:rPr>
        <w:t>考核与责任追究</w:t>
      </w:r>
      <w:bookmarkEnd w:id="213"/>
    </w:p>
    <w:p w14:paraId="3EDAB793" w14:textId="6A93B9C6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日常运维考核</w:t>
      </w:r>
    </w:p>
    <w:p w14:paraId="67C15FD6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将设备在线率、数据完整率、预警处置及时率纳入月度考核。</w:t>
      </w:r>
    </w:p>
    <w:p w14:paraId="008681FE" w14:textId="404ACCE7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失职责任追究</w:t>
      </w:r>
    </w:p>
    <w:p w14:paraId="43359A4E" w14:textId="77777777" w:rsidR="002158B1" w:rsidRDefault="002158B1" w:rsidP="002158B1">
      <w:pPr>
        <w:pStyle w:val="afffff7"/>
        <w:rPr>
          <w:rFonts w:hint="eastAsia"/>
        </w:rPr>
      </w:pPr>
      <w:r>
        <w:rPr>
          <w:rFonts w:hint="eastAsia"/>
        </w:rPr>
        <w:t>因巡检不到位、处置不及时造成事故的，严肃追究岗位责任。</w:t>
      </w:r>
    </w:p>
    <w:p w14:paraId="7A6D828B" w14:textId="10A389F2" w:rsidR="002158B1" w:rsidRDefault="002158B1" w:rsidP="002158B1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奖励机制</w:t>
      </w:r>
    </w:p>
    <w:p w14:paraId="64029A73" w14:textId="5635FC7D" w:rsidR="002158B1" w:rsidRDefault="002158B1" w:rsidP="002158B1">
      <w:pPr>
        <w:pStyle w:val="afffff7"/>
      </w:pPr>
      <w:r>
        <w:rPr>
          <w:rFonts w:hint="eastAsia"/>
        </w:rPr>
        <w:t>对及时发现重大隐患、成功预警避险的人员给予专项奖励。</w:t>
      </w:r>
    </w:p>
    <w:p w14:paraId="440F9A84" w14:textId="2B4A887C" w:rsidR="002158B1" w:rsidRPr="00882964" w:rsidRDefault="002158B1" w:rsidP="002158B1">
      <w:pPr>
        <w:pStyle w:val="afffff7"/>
        <w:ind w:firstLineChars="0" w:firstLine="0"/>
        <w:jc w:val="center"/>
        <w:rPr>
          <w:rFonts w:hint="eastAsia"/>
        </w:rPr>
      </w:pPr>
      <w:bookmarkStart w:id="214" w:name="BookMark8"/>
      <w:bookmarkEnd w:id="26"/>
      <w:r>
        <w:rPr>
          <w:rFonts w:hint="eastAsia"/>
          <w:noProof/>
        </w:rPr>
        <w:drawing>
          <wp:inline distT="0" distB="0" distL="0" distR="0" wp14:anchorId="6562CEA4" wp14:editId="5F4B4FBA">
            <wp:extent cx="1485900" cy="317500"/>
            <wp:effectExtent l="0" t="0" r="0" b="6350"/>
            <wp:docPr id="460523030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2303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4"/>
    </w:p>
    <w:sectPr w:rsidR="002158B1" w:rsidRPr="00882964" w:rsidSect="00B7262E">
      <w:footerReference w:type="default" r:id="rId19"/>
      <w:pgSz w:w="11906" w:h="16838"/>
      <w:pgMar w:top="1928" w:right="1134" w:bottom="1134" w:left="1134" w:header="1418" w:footer="1134" w:gutter="284"/>
      <w:pgNumType w:start="1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984F" w14:textId="77777777" w:rsidR="007F7C7A" w:rsidRDefault="007F7C7A">
      <w:pPr>
        <w:spacing w:line="240" w:lineRule="auto"/>
      </w:pPr>
      <w:r>
        <w:separator/>
      </w:r>
    </w:p>
  </w:endnote>
  <w:endnote w:type="continuationSeparator" w:id="0">
    <w:p w14:paraId="2A66276C" w14:textId="77777777" w:rsidR="007F7C7A" w:rsidRDefault="007F7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属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等线" w:eastAsia="等线" w:hAnsi="等线"/>
        <w:szCs w:val="22"/>
      </w:rPr>
      <w:id w:val="-548138633"/>
    </w:sdtPr>
    <w:sdtEndPr>
      <w:rPr>
        <w:sz w:val="18"/>
        <w:szCs w:val="18"/>
      </w:rPr>
    </w:sdtEndPr>
    <w:sdtContent>
      <w:p w14:paraId="02374C54" w14:textId="77777777" w:rsidR="002E7C44" w:rsidRDefault="00000000">
        <w:pPr>
          <w:framePr w:wrap="auto" w:vAnchor="text" w:hAnchor="margin" w:xAlign="center" w:y="1"/>
          <w:tabs>
            <w:tab w:val="center" w:pos="4153"/>
            <w:tab w:val="right" w:pos="8306"/>
          </w:tabs>
          <w:snapToGrid w:val="0"/>
          <w:jc w:val="left"/>
          <w:rPr>
            <w:rFonts w:ascii="等线" w:eastAsia="等线" w:hAnsi="等线" w:hint="eastAsia"/>
            <w:sz w:val="18"/>
            <w:szCs w:val="18"/>
          </w:rPr>
        </w:pPr>
        <w:r>
          <w:rPr>
            <w:rFonts w:ascii="宋体" w:hAnsi="Times New Roman" w:cs="宋体"/>
            <w:sz w:val="18"/>
            <w:szCs w:val="18"/>
          </w:rPr>
          <w:fldChar w:fldCharType="begin"/>
        </w:r>
        <w:r>
          <w:rPr>
            <w:rFonts w:ascii="宋体" w:hAnsi="Times New Roman" w:cs="宋体"/>
            <w:sz w:val="18"/>
            <w:szCs w:val="18"/>
          </w:rPr>
          <w:instrText xml:space="preserve"> PAGE </w:instrText>
        </w:r>
        <w:r>
          <w:rPr>
            <w:rFonts w:ascii="宋体" w:hAnsi="Times New Roman" w:cs="宋体"/>
            <w:sz w:val="18"/>
            <w:szCs w:val="18"/>
          </w:rPr>
          <w:fldChar w:fldCharType="end"/>
        </w:r>
      </w:p>
    </w:sdtContent>
  </w:sdt>
  <w:p w14:paraId="1E77E2C6" w14:textId="77777777" w:rsidR="002E7C44" w:rsidRDefault="002E7C44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F502" w14:textId="77777777" w:rsidR="002E7C44" w:rsidRDefault="002E7C44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2DF8" w14:textId="77777777" w:rsidR="002E7C44" w:rsidRDefault="00000000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  <w:sdt>
      <w:sdtPr>
        <w:rPr>
          <w:rFonts w:ascii="等线" w:eastAsia="等线" w:hAnsi="等线"/>
          <w:szCs w:val="22"/>
        </w:rPr>
        <w:id w:val="1458601550"/>
      </w:sdtPr>
      <w:sdtEndPr>
        <w:rPr>
          <w:sz w:val="18"/>
          <w:szCs w:val="18"/>
        </w:rPr>
      </w:sdtEndPr>
      <w:sdtContent/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1117" w14:textId="77777777" w:rsidR="002E7C44" w:rsidRDefault="00000000">
    <w:pPr>
      <w:pStyle w:val="afffff4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A117" w14:textId="77777777" w:rsidR="002E7C44" w:rsidRDefault="00000000">
    <w:pPr>
      <w:pStyle w:val="afffff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3C438" wp14:editId="4D3B749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4429B" w14:textId="77777777" w:rsidR="002E7C44" w:rsidRDefault="00000000">
                          <w:pPr>
                            <w:pStyle w:val="afffff4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3C4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F4429B" w14:textId="77777777" w:rsidR="002E7C44" w:rsidRDefault="00000000">
                    <w:pPr>
                      <w:pStyle w:val="afffff4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A585" w14:textId="77777777" w:rsidR="007F7C7A" w:rsidRDefault="007F7C7A">
      <w:pPr>
        <w:spacing w:line="240" w:lineRule="auto"/>
      </w:pPr>
      <w:r>
        <w:separator/>
      </w:r>
    </w:p>
  </w:footnote>
  <w:footnote w:type="continuationSeparator" w:id="0">
    <w:p w14:paraId="733E2E96" w14:textId="77777777" w:rsidR="007F7C7A" w:rsidRDefault="007F7C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5D9D" w14:textId="77777777" w:rsidR="002E7C44" w:rsidRDefault="00000000">
    <w:pPr>
      <w:pStyle w:val="afffffc"/>
      <w:wordWrap w:val="0"/>
      <w:rPr>
        <w:rFonts w:hint="eastAsia"/>
      </w:rPr>
    </w:pPr>
    <w:r>
      <w:rPr>
        <w:rFonts w:hint="eastAsia"/>
      </w:rPr>
      <w:t>T/CI 351-2024</w:t>
    </w:r>
  </w:p>
  <w:p w14:paraId="56DA1724" w14:textId="77777777" w:rsidR="002E7C44" w:rsidRDefault="002E7C44">
    <w:pPr>
      <w:pStyle w:val="af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A5F3" w14:textId="77777777" w:rsidR="009A2609" w:rsidRDefault="009A2609">
    <w:pPr>
      <w:pStyle w:val="aff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2085" w14:textId="77777777" w:rsidR="009A2609" w:rsidRDefault="009A2609">
    <w:pPr>
      <w:pStyle w:val="afff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3C14" w14:textId="77777777" w:rsidR="002E7C44" w:rsidRDefault="00000000">
    <w:pPr>
      <w:pStyle w:val="affff1"/>
      <w:jc w:val="right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>
      <w:rPr>
        <w:b/>
      </w:rPr>
      <w:t>错误！文档中没有指定样式的文字。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DEFA" w14:textId="77777777" w:rsidR="002E7C44" w:rsidRDefault="00000000">
    <w:pPr>
      <w:pStyle w:val="afffffc"/>
      <w:rPr>
        <w:rFonts w:hint="eastAsia"/>
        <w:szCs w:val="21"/>
      </w:rPr>
    </w:pPr>
    <w:r>
      <w:rPr>
        <w:rFonts w:hAnsi="黑体" w:cs="黑体" w:hint="eastAsia"/>
        <w:szCs w:val="21"/>
      </w:rPr>
      <w:t>T/CWDPA XXX</w:t>
    </w:r>
    <w:r>
      <w:rPr>
        <w:rFonts w:hAnsi="黑体" w:cs="黑体" w:hint="eastAsia"/>
        <w:szCs w:val="21"/>
      </w:rPr>
      <w:t>—2026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156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48977388">
    <w:abstractNumId w:val="0"/>
  </w:num>
  <w:num w:numId="2" w16cid:durableId="2078435430">
    <w:abstractNumId w:val="27"/>
  </w:num>
  <w:num w:numId="3" w16cid:durableId="1481726961">
    <w:abstractNumId w:val="5"/>
  </w:num>
  <w:num w:numId="4" w16cid:durableId="1230651230">
    <w:abstractNumId w:val="23"/>
  </w:num>
  <w:num w:numId="5" w16cid:durableId="1804616753">
    <w:abstractNumId w:val="18"/>
  </w:num>
  <w:num w:numId="6" w16cid:durableId="2026251367">
    <w:abstractNumId w:val="13"/>
  </w:num>
  <w:num w:numId="7" w16cid:durableId="463353931">
    <w:abstractNumId w:val="8"/>
  </w:num>
  <w:num w:numId="8" w16cid:durableId="351304961">
    <w:abstractNumId w:val="3"/>
  </w:num>
  <w:num w:numId="9" w16cid:durableId="692387855">
    <w:abstractNumId w:val="9"/>
  </w:num>
  <w:num w:numId="10" w16cid:durableId="2102294724">
    <w:abstractNumId w:val="16"/>
  </w:num>
  <w:num w:numId="11" w16cid:durableId="48188248">
    <w:abstractNumId w:val="25"/>
  </w:num>
  <w:num w:numId="12" w16cid:durableId="1733890971">
    <w:abstractNumId w:val="11"/>
  </w:num>
  <w:num w:numId="13" w16cid:durableId="958223814">
    <w:abstractNumId w:val="12"/>
  </w:num>
  <w:num w:numId="14" w16cid:durableId="453600367">
    <w:abstractNumId w:val="7"/>
  </w:num>
  <w:num w:numId="15" w16cid:durableId="1866215032">
    <w:abstractNumId w:val="19"/>
  </w:num>
  <w:num w:numId="16" w16cid:durableId="40597564">
    <w:abstractNumId w:val="21"/>
  </w:num>
  <w:num w:numId="17" w16cid:durableId="1818914690">
    <w:abstractNumId w:val="17"/>
  </w:num>
  <w:num w:numId="18" w16cid:durableId="421686010">
    <w:abstractNumId w:val="29"/>
  </w:num>
  <w:num w:numId="19" w16cid:durableId="1165785384">
    <w:abstractNumId w:val="15"/>
  </w:num>
  <w:num w:numId="20" w16cid:durableId="1077359690">
    <w:abstractNumId w:val="1"/>
  </w:num>
  <w:num w:numId="21" w16cid:durableId="798229665">
    <w:abstractNumId w:val="10"/>
  </w:num>
  <w:num w:numId="22" w16cid:durableId="993335633">
    <w:abstractNumId w:val="30"/>
  </w:num>
  <w:num w:numId="23" w16cid:durableId="1001469880">
    <w:abstractNumId w:val="20"/>
  </w:num>
  <w:num w:numId="24" w16cid:durableId="2093550934">
    <w:abstractNumId w:val="6"/>
  </w:num>
  <w:num w:numId="25" w16cid:durableId="1848979067">
    <w:abstractNumId w:val="26"/>
  </w:num>
  <w:num w:numId="26" w16cid:durableId="841555741">
    <w:abstractNumId w:val="28"/>
  </w:num>
  <w:num w:numId="27" w16cid:durableId="63990677">
    <w:abstractNumId w:val="2"/>
  </w:num>
  <w:num w:numId="28" w16cid:durableId="1806465720">
    <w:abstractNumId w:val="4"/>
  </w:num>
  <w:num w:numId="29" w16cid:durableId="999430501">
    <w:abstractNumId w:val="14"/>
  </w:num>
  <w:num w:numId="30" w16cid:durableId="573512043">
    <w:abstractNumId w:val="24"/>
  </w:num>
  <w:num w:numId="31" w16cid:durableId="849639878">
    <w:abstractNumId w:val="22"/>
  </w:num>
  <w:num w:numId="32" w16cid:durableId="1131944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1666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288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4239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53722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9094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7168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72840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8009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hOWQyZTEyMzkzMmM5NDQ1ODRkNTRiNTAyMTlhMjIifQ=="/>
  </w:docVars>
  <w:rsids>
    <w:rsidRoot w:val="0067059D"/>
    <w:rsid w:val="0000040A"/>
    <w:rsid w:val="00000A94"/>
    <w:rsid w:val="00001972"/>
    <w:rsid w:val="00001D9A"/>
    <w:rsid w:val="00006C95"/>
    <w:rsid w:val="00007B3A"/>
    <w:rsid w:val="000107E0"/>
    <w:rsid w:val="00011FDE"/>
    <w:rsid w:val="00012FFD"/>
    <w:rsid w:val="00014162"/>
    <w:rsid w:val="00014340"/>
    <w:rsid w:val="000154B6"/>
    <w:rsid w:val="00016A9C"/>
    <w:rsid w:val="00022184"/>
    <w:rsid w:val="00022762"/>
    <w:rsid w:val="000238E0"/>
    <w:rsid w:val="000249DB"/>
    <w:rsid w:val="0002595E"/>
    <w:rsid w:val="00027A4F"/>
    <w:rsid w:val="000303C3"/>
    <w:rsid w:val="000331D3"/>
    <w:rsid w:val="000346A5"/>
    <w:rsid w:val="000359C3"/>
    <w:rsid w:val="00035A7D"/>
    <w:rsid w:val="0003641F"/>
    <w:rsid w:val="000365ED"/>
    <w:rsid w:val="00036994"/>
    <w:rsid w:val="0004249A"/>
    <w:rsid w:val="00043282"/>
    <w:rsid w:val="00044286"/>
    <w:rsid w:val="0004515D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4C4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5526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621F"/>
    <w:rsid w:val="00137565"/>
    <w:rsid w:val="00141114"/>
    <w:rsid w:val="00142969"/>
    <w:rsid w:val="00143736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4F8E"/>
    <w:rsid w:val="00176DFD"/>
    <w:rsid w:val="001852C9"/>
    <w:rsid w:val="00187A0B"/>
    <w:rsid w:val="00190087"/>
    <w:rsid w:val="001913C4"/>
    <w:rsid w:val="0019266F"/>
    <w:rsid w:val="0019348F"/>
    <w:rsid w:val="00193A07"/>
    <w:rsid w:val="00194C95"/>
    <w:rsid w:val="00195C34"/>
    <w:rsid w:val="00196EF5"/>
    <w:rsid w:val="00197A4F"/>
    <w:rsid w:val="00197B2C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69AE"/>
    <w:rsid w:val="001C7736"/>
    <w:rsid w:val="001C78D3"/>
    <w:rsid w:val="001C7FEA"/>
    <w:rsid w:val="001D0499"/>
    <w:rsid w:val="001D0BBE"/>
    <w:rsid w:val="001D0ED4"/>
    <w:rsid w:val="001D212F"/>
    <w:rsid w:val="001D29D7"/>
    <w:rsid w:val="001D2DE7"/>
    <w:rsid w:val="001D411C"/>
    <w:rsid w:val="001D49FF"/>
    <w:rsid w:val="001D5E39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12D"/>
    <w:rsid w:val="001F77C7"/>
    <w:rsid w:val="00200183"/>
    <w:rsid w:val="00200333"/>
    <w:rsid w:val="0020107D"/>
    <w:rsid w:val="00202AA4"/>
    <w:rsid w:val="002031F7"/>
    <w:rsid w:val="002040E6"/>
    <w:rsid w:val="00205220"/>
    <w:rsid w:val="0020527B"/>
    <w:rsid w:val="00205F2C"/>
    <w:rsid w:val="0020792A"/>
    <w:rsid w:val="00210A0F"/>
    <w:rsid w:val="00210B15"/>
    <w:rsid w:val="002142EA"/>
    <w:rsid w:val="002158B1"/>
    <w:rsid w:val="00215ADD"/>
    <w:rsid w:val="00217380"/>
    <w:rsid w:val="002204BB"/>
    <w:rsid w:val="00221B79"/>
    <w:rsid w:val="00221C6B"/>
    <w:rsid w:val="002253A1"/>
    <w:rsid w:val="00225CF8"/>
    <w:rsid w:val="0022794E"/>
    <w:rsid w:val="00233D64"/>
    <w:rsid w:val="00233DB5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520D3"/>
    <w:rsid w:val="0026148A"/>
    <w:rsid w:val="00262696"/>
    <w:rsid w:val="00263D25"/>
    <w:rsid w:val="002643C3"/>
    <w:rsid w:val="00264A0C"/>
    <w:rsid w:val="00264E76"/>
    <w:rsid w:val="00266EEB"/>
    <w:rsid w:val="00267EF4"/>
    <w:rsid w:val="002706D5"/>
    <w:rsid w:val="00270CB8"/>
    <w:rsid w:val="00272B08"/>
    <w:rsid w:val="00281BB8"/>
    <w:rsid w:val="00281E9E"/>
    <w:rsid w:val="00282405"/>
    <w:rsid w:val="00285170"/>
    <w:rsid w:val="00285361"/>
    <w:rsid w:val="00291DC2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5CBA"/>
    <w:rsid w:val="002A757F"/>
    <w:rsid w:val="002A7F44"/>
    <w:rsid w:val="002B053F"/>
    <w:rsid w:val="002B0C40"/>
    <w:rsid w:val="002B1966"/>
    <w:rsid w:val="002B4508"/>
    <w:rsid w:val="002B512E"/>
    <w:rsid w:val="002B5779"/>
    <w:rsid w:val="002B7332"/>
    <w:rsid w:val="002B7F51"/>
    <w:rsid w:val="002C09D3"/>
    <w:rsid w:val="002C09E7"/>
    <w:rsid w:val="002C0D0F"/>
    <w:rsid w:val="002C1E06"/>
    <w:rsid w:val="002C3404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E7C44"/>
    <w:rsid w:val="002F30E0"/>
    <w:rsid w:val="002F35E4"/>
    <w:rsid w:val="002F3730"/>
    <w:rsid w:val="002F38E1"/>
    <w:rsid w:val="002F7AF6"/>
    <w:rsid w:val="0030009A"/>
    <w:rsid w:val="00300E63"/>
    <w:rsid w:val="00302F5F"/>
    <w:rsid w:val="0030441D"/>
    <w:rsid w:val="00306063"/>
    <w:rsid w:val="00313B85"/>
    <w:rsid w:val="003163F8"/>
    <w:rsid w:val="00317261"/>
    <w:rsid w:val="00317988"/>
    <w:rsid w:val="003221B4"/>
    <w:rsid w:val="0032258D"/>
    <w:rsid w:val="00322E62"/>
    <w:rsid w:val="00322FD0"/>
    <w:rsid w:val="0032448D"/>
    <w:rsid w:val="00324D13"/>
    <w:rsid w:val="00324EDD"/>
    <w:rsid w:val="003331E4"/>
    <w:rsid w:val="00336C64"/>
    <w:rsid w:val="00337162"/>
    <w:rsid w:val="0034194F"/>
    <w:rsid w:val="00341F19"/>
    <w:rsid w:val="00342EDA"/>
    <w:rsid w:val="00344209"/>
    <w:rsid w:val="00344519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16DF"/>
    <w:rsid w:val="00376713"/>
    <w:rsid w:val="00376BBD"/>
    <w:rsid w:val="00381815"/>
    <w:rsid w:val="003819AF"/>
    <w:rsid w:val="003820E9"/>
    <w:rsid w:val="00382DE7"/>
    <w:rsid w:val="00384FFC"/>
    <w:rsid w:val="00386F7E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5BF0"/>
    <w:rsid w:val="003B60BF"/>
    <w:rsid w:val="003B699B"/>
    <w:rsid w:val="003B6BE3"/>
    <w:rsid w:val="003B6FE7"/>
    <w:rsid w:val="003B734B"/>
    <w:rsid w:val="003C010C"/>
    <w:rsid w:val="003C0A6C"/>
    <w:rsid w:val="003C14F8"/>
    <w:rsid w:val="003C298A"/>
    <w:rsid w:val="003C5A43"/>
    <w:rsid w:val="003D0519"/>
    <w:rsid w:val="003D0ADA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635"/>
    <w:rsid w:val="003F3F08"/>
    <w:rsid w:val="003F49F1"/>
    <w:rsid w:val="003F5FF8"/>
    <w:rsid w:val="003F6272"/>
    <w:rsid w:val="00400E72"/>
    <w:rsid w:val="00401400"/>
    <w:rsid w:val="00404869"/>
    <w:rsid w:val="00405884"/>
    <w:rsid w:val="00407D39"/>
    <w:rsid w:val="0041477A"/>
    <w:rsid w:val="004148D6"/>
    <w:rsid w:val="004167A3"/>
    <w:rsid w:val="0042486A"/>
    <w:rsid w:val="00430EFC"/>
    <w:rsid w:val="00432DAA"/>
    <w:rsid w:val="0043344A"/>
    <w:rsid w:val="00434305"/>
    <w:rsid w:val="00435DF7"/>
    <w:rsid w:val="0043741A"/>
    <w:rsid w:val="0044083F"/>
    <w:rsid w:val="00441AE7"/>
    <w:rsid w:val="004422DE"/>
    <w:rsid w:val="00445574"/>
    <w:rsid w:val="004467FB"/>
    <w:rsid w:val="004518D6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77109"/>
    <w:rsid w:val="00481C44"/>
    <w:rsid w:val="00484936"/>
    <w:rsid w:val="00485C89"/>
    <w:rsid w:val="00486BE3"/>
    <w:rsid w:val="004905E4"/>
    <w:rsid w:val="00490A89"/>
    <w:rsid w:val="00490AB4"/>
    <w:rsid w:val="00492B6E"/>
    <w:rsid w:val="00492F02"/>
    <w:rsid w:val="004939AE"/>
    <w:rsid w:val="004A12DF"/>
    <w:rsid w:val="004A1BA8"/>
    <w:rsid w:val="004A42B4"/>
    <w:rsid w:val="004A4B57"/>
    <w:rsid w:val="004A63FA"/>
    <w:rsid w:val="004A6A3D"/>
    <w:rsid w:val="004B0272"/>
    <w:rsid w:val="004B2701"/>
    <w:rsid w:val="004B2E1B"/>
    <w:rsid w:val="004B3AA8"/>
    <w:rsid w:val="004B3E93"/>
    <w:rsid w:val="004B4E95"/>
    <w:rsid w:val="004B74DB"/>
    <w:rsid w:val="004C1FBC"/>
    <w:rsid w:val="004C216B"/>
    <w:rsid w:val="004C25A2"/>
    <w:rsid w:val="004C31F2"/>
    <w:rsid w:val="004C3F1D"/>
    <w:rsid w:val="004C458D"/>
    <w:rsid w:val="004C7556"/>
    <w:rsid w:val="004C7CEF"/>
    <w:rsid w:val="004C7E8B"/>
    <w:rsid w:val="004C7E9D"/>
    <w:rsid w:val="004C7F67"/>
    <w:rsid w:val="004D076D"/>
    <w:rsid w:val="004D0905"/>
    <w:rsid w:val="004D0EF1"/>
    <w:rsid w:val="004D2253"/>
    <w:rsid w:val="004D4406"/>
    <w:rsid w:val="004D7C42"/>
    <w:rsid w:val="004E0465"/>
    <w:rsid w:val="004E127B"/>
    <w:rsid w:val="004E1736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3E7A"/>
    <w:rsid w:val="00514174"/>
    <w:rsid w:val="00516088"/>
    <w:rsid w:val="00516B0B"/>
    <w:rsid w:val="005220EC"/>
    <w:rsid w:val="00523F95"/>
    <w:rsid w:val="0052445E"/>
    <w:rsid w:val="00524D65"/>
    <w:rsid w:val="00525B16"/>
    <w:rsid w:val="005276AB"/>
    <w:rsid w:val="00533D04"/>
    <w:rsid w:val="00534804"/>
    <w:rsid w:val="0053488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66E7"/>
    <w:rsid w:val="00546C8E"/>
    <w:rsid w:val="005479DA"/>
    <w:rsid w:val="00547BCC"/>
    <w:rsid w:val="0055013B"/>
    <w:rsid w:val="00551F6F"/>
    <w:rsid w:val="005535DD"/>
    <w:rsid w:val="00555044"/>
    <w:rsid w:val="00557C2B"/>
    <w:rsid w:val="00560F2D"/>
    <w:rsid w:val="00561475"/>
    <w:rsid w:val="00562308"/>
    <w:rsid w:val="0056487B"/>
    <w:rsid w:val="00564FB9"/>
    <w:rsid w:val="005670BD"/>
    <w:rsid w:val="00567834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5F77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410C"/>
    <w:rsid w:val="005C5F21"/>
    <w:rsid w:val="005C7156"/>
    <w:rsid w:val="005D0C75"/>
    <w:rsid w:val="005D4171"/>
    <w:rsid w:val="005D6A95"/>
    <w:rsid w:val="005D6B2C"/>
    <w:rsid w:val="005D6D9C"/>
    <w:rsid w:val="005E10C4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56FA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D40"/>
    <w:rsid w:val="00664F62"/>
    <w:rsid w:val="0066524E"/>
    <w:rsid w:val="006655E1"/>
    <w:rsid w:val="00665D06"/>
    <w:rsid w:val="0067059D"/>
    <w:rsid w:val="00672060"/>
    <w:rsid w:val="00672BFD"/>
    <w:rsid w:val="00672D0D"/>
    <w:rsid w:val="006770F4"/>
    <w:rsid w:val="00677A84"/>
    <w:rsid w:val="0068026D"/>
    <w:rsid w:val="00680A27"/>
    <w:rsid w:val="006816A4"/>
    <w:rsid w:val="006819B8"/>
    <w:rsid w:val="0068217C"/>
    <w:rsid w:val="006826DE"/>
    <w:rsid w:val="006840A6"/>
    <w:rsid w:val="006850CD"/>
    <w:rsid w:val="00685AAB"/>
    <w:rsid w:val="0068626A"/>
    <w:rsid w:val="00687CC3"/>
    <w:rsid w:val="00693962"/>
    <w:rsid w:val="006A07AA"/>
    <w:rsid w:val="006A25E5"/>
    <w:rsid w:val="006A2B46"/>
    <w:rsid w:val="006A336D"/>
    <w:rsid w:val="006A37B9"/>
    <w:rsid w:val="006A555A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C70DD"/>
    <w:rsid w:val="006D04EA"/>
    <w:rsid w:val="006D16C4"/>
    <w:rsid w:val="006D3E96"/>
    <w:rsid w:val="006D4515"/>
    <w:rsid w:val="006D4BB1"/>
    <w:rsid w:val="006D6593"/>
    <w:rsid w:val="006E5F02"/>
    <w:rsid w:val="006E613E"/>
    <w:rsid w:val="006F03A8"/>
    <w:rsid w:val="006F2ACA"/>
    <w:rsid w:val="006F2ADC"/>
    <w:rsid w:val="006F2BFE"/>
    <w:rsid w:val="006F31E9"/>
    <w:rsid w:val="006F6284"/>
    <w:rsid w:val="006F6F64"/>
    <w:rsid w:val="007002C5"/>
    <w:rsid w:val="00704387"/>
    <w:rsid w:val="00706599"/>
    <w:rsid w:val="00707669"/>
    <w:rsid w:val="00711CBA"/>
    <w:rsid w:val="00711FB5"/>
    <w:rsid w:val="00712A01"/>
    <w:rsid w:val="00714F58"/>
    <w:rsid w:val="00715A38"/>
    <w:rsid w:val="00722FBF"/>
    <w:rsid w:val="00722FC2"/>
    <w:rsid w:val="00724E1B"/>
    <w:rsid w:val="00725949"/>
    <w:rsid w:val="00727FA2"/>
    <w:rsid w:val="00731E47"/>
    <w:rsid w:val="007322D9"/>
    <w:rsid w:val="00732BC0"/>
    <w:rsid w:val="007330A8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3AA"/>
    <w:rsid w:val="00750D61"/>
    <w:rsid w:val="00750EE1"/>
    <w:rsid w:val="00752B4D"/>
    <w:rsid w:val="00755402"/>
    <w:rsid w:val="007555E0"/>
    <w:rsid w:val="00756B26"/>
    <w:rsid w:val="00756EDF"/>
    <w:rsid w:val="0075726C"/>
    <w:rsid w:val="007600E3"/>
    <w:rsid w:val="00765C43"/>
    <w:rsid w:val="00765EFB"/>
    <w:rsid w:val="007671CA"/>
    <w:rsid w:val="00767C61"/>
    <w:rsid w:val="0077008A"/>
    <w:rsid w:val="007739C4"/>
    <w:rsid w:val="00773C1F"/>
    <w:rsid w:val="00774DA4"/>
    <w:rsid w:val="00776599"/>
    <w:rsid w:val="0078114B"/>
    <w:rsid w:val="00781DD2"/>
    <w:rsid w:val="00783ECF"/>
    <w:rsid w:val="0078413A"/>
    <w:rsid w:val="0079105A"/>
    <w:rsid w:val="007959E8"/>
    <w:rsid w:val="00795E9C"/>
    <w:rsid w:val="007A0521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3DF4"/>
    <w:rsid w:val="007B5A3D"/>
    <w:rsid w:val="007B5B95"/>
    <w:rsid w:val="007B6032"/>
    <w:rsid w:val="007B68EA"/>
    <w:rsid w:val="007B7453"/>
    <w:rsid w:val="007C2D89"/>
    <w:rsid w:val="007C4593"/>
    <w:rsid w:val="007C48AE"/>
    <w:rsid w:val="007C5309"/>
    <w:rsid w:val="007C6069"/>
    <w:rsid w:val="007C789C"/>
    <w:rsid w:val="007D06C4"/>
    <w:rsid w:val="007D1352"/>
    <w:rsid w:val="007D2508"/>
    <w:rsid w:val="007D346A"/>
    <w:rsid w:val="007D6518"/>
    <w:rsid w:val="007D7416"/>
    <w:rsid w:val="007D76BD"/>
    <w:rsid w:val="007E0BF1"/>
    <w:rsid w:val="007F0ED8"/>
    <w:rsid w:val="007F0F63"/>
    <w:rsid w:val="007F75CE"/>
    <w:rsid w:val="007F7C7A"/>
    <w:rsid w:val="008013A4"/>
    <w:rsid w:val="0080270F"/>
    <w:rsid w:val="008027CE"/>
    <w:rsid w:val="00802F42"/>
    <w:rsid w:val="00803727"/>
    <w:rsid w:val="00804383"/>
    <w:rsid w:val="00804BB7"/>
    <w:rsid w:val="00804D41"/>
    <w:rsid w:val="00810257"/>
    <w:rsid w:val="008104F5"/>
    <w:rsid w:val="00811072"/>
    <w:rsid w:val="00811369"/>
    <w:rsid w:val="008150F1"/>
    <w:rsid w:val="00815419"/>
    <w:rsid w:val="008163C8"/>
    <w:rsid w:val="008164A1"/>
    <w:rsid w:val="00817325"/>
    <w:rsid w:val="008209E6"/>
    <w:rsid w:val="00820C8D"/>
    <w:rsid w:val="00821D19"/>
    <w:rsid w:val="00823303"/>
    <w:rsid w:val="008233B2"/>
    <w:rsid w:val="00823A9F"/>
    <w:rsid w:val="00823C85"/>
    <w:rsid w:val="008245D0"/>
    <w:rsid w:val="00825138"/>
    <w:rsid w:val="008269DD"/>
    <w:rsid w:val="00830223"/>
    <w:rsid w:val="00830621"/>
    <w:rsid w:val="0083348C"/>
    <w:rsid w:val="008373D3"/>
    <w:rsid w:val="00840617"/>
    <w:rsid w:val="00840F84"/>
    <w:rsid w:val="00842A47"/>
    <w:rsid w:val="00843C13"/>
    <w:rsid w:val="00843DEF"/>
    <w:rsid w:val="008454F8"/>
    <w:rsid w:val="00845B8C"/>
    <w:rsid w:val="0085173A"/>
    <w:rsid w:val="00855166"/>
    <w:rsid w:val="008603CE"/>
    <w:rsid w:val="008620FC"/>
    <w:rsid w:val="008627A5"/>
    <w:rsid w:val="00863E05"/>
    <w:rsid w:val="008644AC"/>
    <w:rsid w:val="00865ACA"/>
    <w:rsid w:val="00865D28"/>
    <w:rsid w:val="00865F85"/>
    <w:rsid w:val="00867C10"/>
    <w:rsid w:val="00870439"/>
    <w:rsid w:val="00870DA1"/>
    <w:rsid w:val="00882964"/>
    <w:rsid w:val="00883F93"/>
    <w:rsid w:val="00884DB3"/>
    <w:rsid w:val="00885A9D"/>
    <w:rsid w:val="008864F6"/>
    <w:rsid w:val="0089049D"/>
    <w:rsid w:val="00890CF8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2983"/>
    <w:rsid w:val="008A57E6"/>
    <w:rsid w:val="008A6F81"/>
    <w:rsid w:val="008A769A"/>
    <w:rsid w:val="008B0C9C"/>
    <w:rsid w:val="008B1006"/>
    <w:rsid w:val="008B166D"/>
    <w:rsid w:val="008B17F4"/>
    <w:rsid w:val="008B3192"/>
    <w:rsid w:val="008B3615"/>
    <w:rsid w:val="008B4AC4"/>
    <w:rsid w:val="008B50C8"/>
    <w:rsid w:val="008B5281"/>
    <w:rsid w:val="008B7E05"/>
    <w:rsid w:val="008C1797"/>
    <w:rsid w:val="008C219C"/>
    <w:rsid w:val="008C475E"/>
    <w:rsid w:val="008C5EF2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08D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0C"/>
    <w:rsid w:val="009145AE"/>
    <w:rsid w:val="009146CE"/>
    <w:rsid w:val="00914CA7"/>
    <w:rsid w:val="00915C3E"/>
    <w:rsid w:val="009161A8"/>
    <w:rsid w:val="0092431B"/>
    <w:rsid w:val="009245AE"/>
    <w:rsid w:val="009245F5"/>
    <w:rsid w:val="00924827"/>
    <w:rsid w:val="009249EC"/>
    <w:rsid w:val="009273B3"/>
    <w:rsid w:val="00927635"/>
    <w:rsid w:val="009305B5"/>
    <w:rsid w:val="00932735"/>
    <w:rsid w:val="009333FA"/>
    <w:rsid w:val="00934164"/>
    <w:rsid w:val="00934326"/>
    <w:rsid w:val="009378DD"/>
    <w:rsid w:val="009429D5"/>
    <w:rsid w:val="00942BF1"/>
    <w:rsid w:val="00945180"/>
    <w:rsid w:val="00945428"/>
    <w:rsid w:val="0094607B"/>
    <w:rsid w:val="00946826"/>
    <w:rsid w:val="00953604"/>
    <w:rsid w:val="0095496B"/>
    <w:rsid w:val="0095658B"/>
    <w:rsid w:val="00960F1E"/>
    <w:rsid w:val="009610DC"/>
    <w:rsid w:val="00961490"/>
    <w:rsid w:val="009625E7"/>
    <w:rsid w:val="0096381A"/>
    <w:rsid w:val="00965E04"/>
    <w:rsid w:val="009674AD"/>
    <w:rsid w:val="00970CDC"/>
    <w:rsid w:val="0097236C"/>
    <w:rsid w:val="00974A6E"/>
    <w:rsid w:val="009752A9"/>
    <w:rsid w:val="00975727"/>
    <w:rsid w:val="00977010"/>
    <w:rsid w:val="00977D02"/>
    <w:rsid w:val="00977FF9"/>
    <w:rsid w:val="009809BB"/>
    <w:rsid w:val="009820ED"/>
    <w:rsid w:val="0098364B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609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B0F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3711"/>
    <w:rsid w:val="009E4A58"/>
    <w:rsid w:val="009E5A2D"/>
    <w:rsid w:val="009E5AB2"/>
    <w:rsid w:val="009E5EF8"/>
    <w:rsid w:val="009E6219"/>
    <w:rsid w:val="009F03B3"/>
    <w:rsid w:val="009F2560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17769"/>
    <w:rsid w:val="00A2271D"/>
    <w:rsid w:val="00A2332A"/>
    <w:rsid w:val="00A237D5"/>
    <w:rsid w:val="00A30EFC"/>
    <w:rsid w:val="00A31984"/>
    <w:rsid w:val="00A32D73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061F"/>
    <w:rsid w:val="00A54B6E"/>
    <w:rsid w:val="00A55BD6"/>
    <w:rsid w:val="00A55D50"/>
    <w:rsid w:val="00A57142"/>
    <w:rsid w:val="00A57334"/>
    <w:rsid w:val="00A63E83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871C0"/>
    <w:rsid w:val="00A909B4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189B"/>
    <w:rsid w:val="00AB4DD6"/>
    <w:rsid w:val="00AB6309"/>
    <w:rsid w:val="00AB6C5F"/>
    <w:rsid w:val="00AB7129"/>
    <w:rsid w:val="00AC27A6"/>
    <w:rsid w:val="00AC30F7"/>
    <w:rsid w:val="00AC3A5A"/>
    <w:rsid w:val="00AC4D95"/>
    <w:rsid w:val="00AC5CD9"/>
    <w:rsid w:val="00AC5DF4"/>
    <w:rsid w:val="00AD0AEF"/>
    <w:rsid w:val="00AD11B7"/>
    <w:rsid w:val="00AD1A94"/>
    <w:rsid w:val="00AD1C05"/>
    <w:rsid w:val="00AD4126"/>
    <w:rsid w:val="00AD421C"/>
    <w:rsid w:val="00AD44FA"/>
    <w:rsid w:val="00AE0611"/>
    <w:rsid w:val="00AE070A"/>
    <w:rsid w:val="00AE101C"/>
    <w:rsid w:val="00AE2A69"/>
    <w:rsid w:val="00AE37E5"/>
    <w:rsid w:val="00AE5EB4"/>
    <w:rsid w:val="00AF0C18"/>
    <w:rsid w:val="00AF47C5"/>
    <w:rsid w:val="00AF5398"/>
    <w:rsid w:val="00B049AF"/>
    <w:rsid w:val="00B06E2D"/>
    <w:rsid w:val="00B07242"/>
    <w:rsid w:val="00B10534"/>
    <w:rsid w:val="00B10771"/>
    <w:rsid w:val="00B113DB"/>
    <w:rsid w:val="00B119D2"/>
    <w:rsid w:val="00B11D8A"/>
    <w:rsid w:val="00B12981"/>
    <w:rsid w:val="00B147DD"/>
    <w:rsid w:val="00B156FD"/>
    <w:rsid w:val="00B21F61"/>
    <w:rsid w:val="00B25BD1"/>
    <w:rsid w:val="00B261F1"/>
    <w:rsid w:val="00B265BC"/>
    <w:rsid w:val="00B31FB1"/>
    <w:rsid w:val="00B33952"/>
    <w:rsid w:val="00B33C5E"/>
    <w:rsid w:val="00B342F4"/>
    <w:rsid w:val="00B34369"/>
    <w:rsid w:val="00B34DC2"/>
    <w:rsid w:val="00B351E4"/>
    <w:rsid w:val="00B378E5"/>
    <w:rsid w:val="00B4346D"/>
    <w:rsid w:val="00B440F4"/>
    <w:rsid w:val="00B447A5"/>
    <w:rsid w:val="00B45352"/>
    <w:rsid w:val="00B4654C"/>
    <w:rsid w:val="00B47293"/>
    <w:rsid w:val="00B503EF"/>
    <w:rsid w:val="00B5099D"/>
    <w:rsid w:val="00B50E50"/>
    <w:rsid w:val="00B52120"/>
    <w:rsid w:val="00B54ABC"/>
    <w:rsid w:val="00B5532C"/>
    <w:rsid w:val="00B56FBE"/>
    <w:rsid w:val="00B60ACF"/>
    <w:rsid w:val="00B61142"/>
    <w:rsid w:val="00B62B58"/>
    <w:rsid w:val="00B65149"/>
    <w:rsid w:val="00B66567"/>
    <w:rsid w:val="00B66F52"/>
    <w:rsid w:val="00B66FE5"/>
    <w:rsid w:val="00B7262E"/>
    <w:rsid w:val="00B72880"/>
    <w:rsid w:val="00B758BF"/>
    <w:rsid w:val="00B77EC8"/>
    <w:rsid w:val="00B827A6"/>
    <w:rsid w:val="00B831CE"/>
    <w:rsid w:val="00B8483B"/>
    <w:rsid w:val="00B86677"/>
    <w:rsid w:val="00B87131"/>
    <w:rsid w:val="00B939B1"/>
    <w:rsid w:val="00B96D40"/>
    <w:rsid w:val="00B97386"/>
    <w:rsid w:val="00B97784"/>
    <w:rsid w:val="00B979AE"/>
    <w:rsid w:val="00BA18CB"/>
    <w:rsid w:val="00BA263B"/>
    <w:rsid w:val="00BA42B2"/>
    <w:rsid w:val="00BA58D4"/>
    <w:rsid w:val="00BA5B9E"/>
    <w:rsid w:val="00BA7C9A"/>
    <w:rsid w:val="00BB4BD3"/>
    <w:rsid w:val="00BB5F8F"/>
    <w:rsid w:val="00BB657A"/>
    <w:rsid w:val="00BC1A4E"/>
    <w:rsid w:val="00BC5DC7"/>
    <w:rsid w:val="00BC6B8B"/>
    <w:rsid w:val="00BC73D8"/>
    <w:rsid w:val="00BD074C"/>
    <w:rsid w:val="00BD1075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4FCF"/>
    <w:rsid w:val="00BF51E5"/>
    <w:rsid w:val="00BF74A6"/>
    <w:rsid w:val="00C013AD"/>
    <w:rsid w:val="00C04904"/>
    <w:rsid w:val="00C056B3"/>
    <w:rsid w:val="00C0753A"/>
    <w:rsid w:val="00C103E5"/>
    <w:rsid w:val="00C13319"/>
    <w:rsid w:val="00C13EE9"/>
    <w:rsid w:val="00C166DE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36ABB"/>
    <w:rsid w:val="00C42130"/>
    <w:rsid w:val="00C423A4"/>
    <w:rsid w:val="00C423E3"/>
    <w:rsid w:val="00C44BF5"/>
    <w:rsid w:val="00C521D6"/>
    <w:rsid w:val="00C52488"/>
    <w:rsid w:val="00C55232"/>
    <w:rsid w:val="00C553A4"/>
    <w:rsid w:val="00C55A06"/>
    <w:rsid w:val="00C55D03"/>
    <w:rsid w:val="00C574ED"/>
    <w:rsid w:val="00C57E9D"/>
    <w:rsid w:val="00C601BC"/>
    <w:rsid w:val="00C6329F"/>
    <w:rsid w:val="00C63340"/>
    <w:rsid w:val="00C643F9"/>
    <w:rsid w:val="00C64E95"/>
    <w:rsid w:val="00C71372"/>
    <w:rsid w:val="00C71D2C"/>
    <w:rsid w:val="00C72410"/>
    <w:rsid w:val="00C7287F"/>
    <w:rsid w:val="00C80CB8"/>
    <w:rsid w:val="00C819F8"/>
    <w:rsid w:val="00C8248C"/>
    <w:rsid w:val="00C82651"/>
    <w:rsid w:val="00C84E33"/>
    <w:rsid w:val="00C86D6F"/>
    <w:rsid w:val="00C905FC"/>
    <w:rsid w:val="00C92510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B562D"/>
    <w:rsid w:val="00CC038D"/>
    <w:rsid w:val="00CC08DB"/>
    <w:rsid w:val="00CC39FF"/>
    <w:rsid w:val="00CC3C2F"/>
    <w:rsid w:val="00CC4AC8"/>
    <w:rsid w:val="00CC5233"/>
    <w:rsid w:val="00CC5DE6"/>
    <w:rsid w:val="00CC665D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6BD6"/>
    <w:rsid w:val="00CD6EDA"/>
    <w:rsid w:val="00CE0C4F"/>
    <w:rsid w:val="00CE30EA"/>
    <w:rsid w:val="00CE5E57"/>
    <w:rsid w:val="00CF048A"/>
    <w:rsid w:val="00CF155A"/>
    <w:rsid w:val="00CF182C"/>
    <w:rsid w:val="00CF2947"/>
    <w:rsid w:val="00CF3B17"/>
    <w:rsid w:val="00CF686F"/>
    <w:rsid w:val="00CF6E60"/>
    <w:rsid w:val="00CF7BCA"/>
    <w:rsid w:val="00CF7F6C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291"/>
    <w:rsid w:val="00D27582"/>
    <w:rsid w:val="00D27EC4"/>
    <w:rsid w:val="00D324C1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045D"/>
    <w:rsid w:val="00D51BF3"/>
    <w:rsid w:val="00D54C80"/>
    <w:rsid w:val="00D66846"/>
    <w:rsid w:val="00D675FB"/>
    <w:rsid w:val="00D71F25"/>
    <w:rsid w:val="00D72A9C"/>
    <w:rsid w:val="00D74974"/>
    <w:rsid w:val="00D77031"/>
    <w:rsid w:val="00D77C26"/>
    <w:rsid w:val="00D80876"/>
    <w:rsid w:val="00D81F09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587"/>
    <w:rsid w:val="00DB47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C74F2"/>
    <w:rsid w:val="00DD00FF"/>
    <w:rsid w:val="00DD0619"/>
    <w:rsid w:val="00DD07FB"/>
    <w:rsid w:val="00DD25C6"/>
    <w:rsid w:val="00DD26FD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7642"/>
    <w:rsid w:val="00E0070A"/>
    <w:rsid w:val="00E01138"/>
    <w:rsid w:val="00E02DFB"/>
    <w:rsid w:val="00E030F9"/>
    <w:rsid w:val="00E0311A"/>
    <w:rsid w:val="00E03138"/>
    <w:rsid w:val="00E06404"/>
    <w:rsid w:val="00E07415"/>
    <w:rsid w:val="00E11A85"/>
    <w:rsid w:val="00E12495"/>
    <w:rsid w:val="00E15CCD"/>
    <w:rsid w:val="00E202EF"/>
    <w:rsid w:val="00E210B5"/>
    <w:rsid w:val="00E2552F"/>
    <w:rsid w:val="00E2629C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733"/>
    <w:rsid w:val="00E62FF9"/>
    <w:rsid w:val="00E635D6"/>
    <w:rsid w:val="00E639BC"/>
    <w:rsid w:val="00E664CC"/>
    <w:rsid w:val="00E70388"/>
    <w:rsid w:val="00E70F92"/>
    <w:rsid w:val="00E74313"/>
    <w:rsid w:val="00E74C54"/>
    <w:rsid w:val="00E74F38"/>
    <w:rsid w:val="00E76032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0979"/>
    <w:rsid w:val="00E9311F"/>
    <w:rsid w:val="00E934D1"/>
    <w:rsid w:val="00E94AF0"/>
    <w:rsid w:val="00E95D13"/>
    <w:rsid w:val="00E95DD3"/>
    <w:rsid w:val="00E969D5"/>
    <w:rsid w:val="00E972C1"/>
    <w:rsid w:val="00EA58D1"/>
    <w:rsid w:val="00EA61BC"/>
    <w:rsid w:val="00EA681A"/>
    <w:rsid w:val="00EA735B"/>
    <w:rsid w:val="00EB06DD"/>
    <w:rsid w:val="00EB1BC5"/>
    <w:rsid w:val="00EB1E69"/>
    <w:rsid w:val="00EB2086"/>
    <w:rsid w:val="00EB31ED"/>
    <w:rsid w:val="00EB5EDF"/>
    <w:rsid w:val="00EB60FE"/>
    <w:rsid w:val="00EB74DB"/>
    <w:rsid w:val="00EC5359"/>
    <w:rsid w:val="00EC562A"/>
    <w:rsid w:val="00EC72D8"/>
    <w:rsid w:val="00ED067A"/>
    <w:rsid w:val="00ED2B50"/>
    <w:rsid w:val="00EE0350"/>
    <w:rsid w:val="00EE0719"/>
    <w:rsid w:val="00EE0E80"/>
    <w:rsid w:val="00EE378C"/>
    <w:rsid w:val="00EE613F"/>
    <w:rsid w:val="00EE7295"/>
    <w:rsid w:val="00EE7869"/>
    <w:rsid w:val="00EF054A"/>
    <w:rsid w:val="00EF2655"/>
    <w:rsid w:val="00EF3235"/>
    <w:rsid w:val="00EF796D"/>
    <w:rsid w:val="00EF7E72"/>
    <w:rsid w:val="00F060C9"/>
    <w:rsid w:val="00F06375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5CA4"/>
    <w:rsid w:val="00F16F00"/>
    <w:rsid w:val="00F2402F"/>
    <w:rsid w:val="00F25BB6"/>
    <w:rsid w:val="00F2622A"/>
    <w:rsid w:val="00F26877"/>
    <w:rsid w:val="00F26B7E"/>
    <w:rsid w:val="00F27A3B"/>
    <w:rsid w:val="00F32780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09AD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73550"/>
    <w:rsid w:val="00F75DFA"/>
    <w:rsid w:val="00F815B6"/>
    <w:rsid w:val="00F81D98"/>
    <w:rsid w:val="00F833BA"/>
    <w:rsid w:val="00F836F2"/>
    <w:rsid w:val="00F837C8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5E7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0401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6659"/>
    <w:rsid w:val="00FF730C"/>
    <w:rsid w:val="00FF73F4"/>
    <w:rsid w:val="00FF7CE4"/>
    <w:rsid w:val="00FF7E39"/>
    <w:rsid w:val="0248305A"/>
    <w:rsid w:val="0250735D"/>
    <w:rsid w:val="029124C9"/>
    <w:rsid w:val="05D13019"/>
    <w:rsid w:val="06BD3950"/>
    <w:rsid w:val="07340504"/>
    <w:rsid w:val="074339A9"/>
    <w:rsid w:val="07F567CA"/>
    <w:rsid w:val="082454D8"/>
    <w:rsid w:val="09D76A51"/>
    <w:rsid w:val="0A611458"/>
    <w:rsid w:val="0AD97F5C"/>
    <w:rsid w:val="0BED0C97"/>
    <w:rsid w:val="0C554996"/>
    <w:rsid w:val="0C734149"/>
    <w:rsid w:val="0CE65413"/>
    <w:rsid w:val="0DA90E87"/>
    <w:rsid w:val="0DC73CDF"/>
    <w:rsid w:val="0FB22603"/>
    <w:rsid w:val="10A96AED"/>
    <w:rsid w:val="11466B07"/>
    <w:rsid w:val="11484B7B"/>
    <w:rsid w:val="121073DE"/>
    <w:rsid w:val="1273042B"/>
    <w:rsid w:val="12B969E9"/>
    <w:rsid w:val="13951B3B"/>
    <w:rsid w:val="13E25209"/>
    <w:rsid w:val="15C41AB6"/>
    <w:rsid w:val="172E656B"/>
    <w:rsid w:val="173B2048"/>
    <w:rsid w:val="1D95247B"/>
    <w:rsid w:val="1DEB6009"/>
    <w:rsid w:val="1F4A70FD"/>
    <w:rsid w:val="200E40BC"/>
    <w:rsid w:val="2099237C"/>
    <w:rsid w:val="228D3E7A"/>
    <w:rsid w:val="246A441E"/>
    <w:rsid w:val="247A76EA"/>
    <w:rsid w:val="25432329"/>
    <w:rsid w:val="25E42FB4"/>
    <w:rsid w:val="26AD1FB3"/>
    <w:rsid w:val="27BC1FA7"/>
    <w:rsid w:val="283332DA"/>
    <w:rsid w:val="290047DB"/>
    <w:rsid w:val="291F0542"/>
    <w:rsid w:val="294D78C7"/>
    <w:rsid w:val="29BB5003"/>
    <w:rsid w:val="2D88542E"/>
    <w:rsid w:val="2E0067B1"/>
    <w:rsid w:val="3029746C"/>
    <w:rsid w:val="30CD7FF2"/>
    <w:rsid w:val="30FA5A12"/>
    <w:rsid w:val="32523AAD"/>
    <w:rsid w:val="32592EEF"/>
    <w:rsid w:val="32A978B2"/>
    <w:rsid w:val="32BE2B5E"/>
    <w:rsid w:val="35B16BCD"/>
    <w:rsid w:val="35E328D9"/>
    <w:rsid w:val="370C4202"/>
    <w:rsid w:val="37815996"/>
    <w:rsid w:val="37842B42"/>
    <w:rsid w:val="38521299"/>
    <w:rsid w:val="38D11273"/>
    <w:rsid w:val="39687A37"/>
    <w:rsid w:val="3B00217F"/>
    <w:rsid w:val="3C053706"/>
    <w:rsid w:val="3C425A6B"/>
    <w:rsid w:val="3C842FA3"/>
    <w:rsid w:val="3DFC15F4"/>
    <w:rsid w:val="3E0B2DFF"/>
    <w:rsid w:val="3E511436"/>
    <w:rsid w:val="3EA42E61"/>
    <w:rsid w:val="41E714BD"/>
    <w:rsid w:val="454848B8"/>
    <w:rsid w:val="462D2C94"/>
    <w:rsid w:val="46731392"/>
    <w:rsid w:val="47FE103D"/>
    <w:rsid w:val="48926E17"/>
    <w:rsid w:val="493868A9"/>
    <w:rsid w:val="49E625A7"/>
    <w:rsid w:val="4A213193"/>
    <w:rsid w:val="4A4E5BB5"/>
    <w:rsid w:val="4A9F11A1"/>
    <w:rsid w:val="4AF56684"/>
    <w:rsid w:val="4BAF3313"/>
    <w:rsid w:val="4C1B1639"/>
    <w:rsid w:val="4D1C4610"/>
    <w:rsid w:val="4E3C7A50"/>
    <w:rsid w:val="4F5A5E19"/>
    <w:rsid w:val="4F66583F"/>
    <w:rsid w:val="527267F2"/>
    <w:rsid w:val="55067F3A"/>
    <w:rsid w:val="553D7E00"/>
    <w:rsid w:val="558F5D5E"/>
    <w:rsid w:val="55E31AFA"/>
    <w:rsid w:val="56142799"/>
    <w:rsid w:val="56523435"/>
    <w:rsid w:val="57C40382"/>
    <w:rsid w:val="588C0F63"/>
    <w:rsid w:val="590961FC"/>
    <w:rsid w:val="5ADA376B"/>
    <w:rsid w:val="5B0E5A1D"/>
    <w:rsid w:val="5B2B4256"/>
    <w:rsid w:val="5D0968B1"/>
    <w:rsid w:val="5D156F6C"/>
    <w:rsid w:val="5D7879F0"/>
    <w:rsid w:val="5EB7760C"/>
    <w:rsid w:val="5F0759F1"/>
    <w:rsid w:val="62130050"/>
    <w:rsid w:val="6242450E"/>
    <w:rsid w:val="62A849B5"/>
    <w:rsid w:val="6A975974"/>
    <w:rsid w:val="6A991B4E"/>
    <w:rsid w:val="6B9D229A"/>
    <w:rsid w:val="6E0D32E8"/>
    <w:rsid w:val="6E426D96"/>
    <w:rsid w:val="6EB16D05"/>
    <w:rsid w:val="6F3C104B"/>
    <w:rsid w:val="6F77137F"/>
    <w:rsid w:val="70DE4977"/>
    <w:rsid w:val="710E5E8B"/>
    <w:rsid w:val="718F134F"/>
    <w:rsid w:val="719647CC"/>
    <w:rsid w:val="72596DDD"/>
    <w:rsid w:val="72BB3A37"/>
    <w:rsid w:val="74FC77C0"/>
    <w:rsid w:val="75D829C3"/>
    <w:rsid w:val="76713F77"/>
    <w:rsid w:val="79B53B59"/>
    <w:rsid w:val="7AF0771F"/>
    <w:rsid w:val="7B0F3A72"/>
    <w:rsid w:val="7BF94115"/>
    <w:rsid w:val="7C8C3866"/>
    <w:rsid w:val="7D413817"/>
    <w:rsid w:val="7D474461"/>
    <w:rsid w:val="7DCB092C"/>
    <w:rsid w:val="7E2C6520"/>
    <w:rsid w:val="7F62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23812C"/>
  <w15:docId w15:val="{F7E1116D-87E5-4108-AD73-1EBF2DC3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semiHidden="1" w:uiPriority="0" w:unhideWhenUsed="1"/>
    <w:lsdException w:name="toc 9" w:semiHidden="1" w:uiPriority="0" w:unhideWhenUsed="1"/>
    <w:lsdException w:name="Normal Indent" w:uiPriority="0" w:qFormat="1"/>
    <w:lsdException w:name="footnote text" w:semiHidden="1" w:uiPriority="0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5">
    <w:name w:val="Normal"/>
    <w:autoRedefine/>
    <w:qFormat/>
    <w:pPr>
      <w:widowControl w:val="0"/>
      <w:adjustRightInd w:val="0"/>
      <w:spacing w:line="400" w:lineRule="exact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fff5"/>
    <w:next w:val="afff5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autoRedefine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autoRedefine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autoRedefine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autoRedefine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autoRedefine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TOC7">
    <w:name w:val="toc 7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autoRedefine/>
    <w:qFormat/>
    <w:pPr>
      <w:ind w:firstLine="420"/>
    </w:pPr>
  </w:style>
  <w:style w:type="paragraph" w:styleId="afffa">
    <w:name w:val="annotation text"/>
    <w:basedOn w:val="afff5"/>
    <w:uiPriority w:val="99"/>
    <w:semiHidden/>
    <w:unhideWhenUsed/>
    <w:qFormat/>
    <w:pPr>
      <w:jc w:val="left"/>
    </w:pPr>
  </w:style>
  <w:style w:type="paragraph" w:styleId="afffb">
    <w:name w:val="Body Text"/>
    <w:basedOn w:val="afff5"/>
    <w:link w:val="afffc"/>
    <w:autoRedefine/>
    <w:qFormat/>
    <w:pPr>
      <w:spacing w:after="120"/>
    </w:pPr>
  </w:style>
  <w:style w:type="paragraph" w:styleId="TOC5">
    <w:name w:val="toc 5"/>
    <w:basedOn w:val="afff5"/>
    <w:next w:val="afff5"/>
    <w:autoRedefine/>
    <w:uiPriority w:val="39"/>
    <w:unhideWhenUsed/>
    <w:qFormat/>
    <w:pPr>
      <w:ind w:left="839"/>
    </w:pPr>
    <w:rPr>
      <w:rFonts w:ascii="宋体"/>
    </w:rPr>
  </w:style>
  <w:style w:type="paragraph" w:styleId="TOC3">
    <w:name w:val="toc 3"/>
    <w:basedOn w:val="afff5"/>
    <w:next w:val="afff5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d">
    <w:name w:val="Balloon Text"/>
    <w:basedOn w:val="afff5"/>
    <w:link w:val="afffe"/>
    <w:autoRedefine/>
    <w:uiPriority w:val="99"/>
    <w:semiHidden/>
    <w:unhideWhenUsed/>
    <w:qFormat/>
    <w:rPr>
      <w:sz w:val="18"/>
      <w:szCs w:val="18"/>
    </w:rPr>
  </w:style>
  <w:style w:type="paragraph" w:styleId="affff">
    <w:name w:val="footer"/>
    <w:basedOn w:val="afff5"/>
    <w:link w:val="affff0"/>
    <w:autoRedefine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1">
    <w:name w:val="header"/>
    <w:basedOn w:val="afff5"/>
    <w:link w:val="affff2"/>
    <w:autoRedefine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TOC1">
    <w:name w:val="toc 1"/>
    <w:basedOn w:val="afff5"/>
    <w:next w:val="afff5"/>
    <w:autoRedefine/>
    <w:uiPriority w:val="39"/>
    <w:unhideWhenUsed/>
    <w:qFormat/>
    <w:rPr>
      <w:rFonts w:ascii="宋体"/>
    </w:rPr>
  </w:style>
  <w:style w:type="paragraph" w:styleId="TOC4">
    <w:name w:val="toc 4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3">
    <w:name w:val="footnote text"/>
    <w:basedOn w:val="afff5"/>
    <w:next w:val="afff5"/>
    <w:link w:val="affff4"/>
    <w:autoRedefine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TOC6">
    <w:name w:val="toc 6"/>
    <w:basedOn w:val="afff5"/>
    <w:next w:val="afff5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5">
    <w:name w:val="table of figures"/>
    <w:basedOn w:val="afff5"/>
    <w:next w:val="afff5"/>
    <w:autoRedefine/>
    <w:semiHidden/>
    <w:qFormat/>
    <w:pPr>
      <w:adjustRightInd/>
      <w:spacing w:line="240" w:lineRule="auto"/>
      <w:jc w:val="left"/>
    </w:pPr>
    <w:rPr>
      <w:szCs w:val="24"/>
    </w:rPr>
  </w:style>
  <w:style w:type="paragraph" w:styleId="TOC2">
    <w:name w:val="toc 2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HTML">
    <w:name w:val="HTML Preformatted"/>
    <w:basedOn w:val="afff5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ffff6">
    <w:name w:val="Normal (Web)"/>
    <w:basedOn w:val="afff5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fff7">
    <w:name w:val="Title"/>
    <w:basedOn w:val="afff5"/>
    <w:link w:val="affff8"/>
    <w:autoRedefine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9">
    <w:name w:val="Table Grid"/>
    <w:basedOn w:val="afff7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Strong"/>
    <w:autoRedefine/>
    <w:uiPriority w:val="22"/>
    <w:qFormat/>
    <w:rPr>
      <w:b/>
      <w:bCs/>
    </w:rPr>
  </w:style>
  <w:style w:type="character" w:styleId="affffb">
    <w:name w:val="page number"/>
    <w:autoRedefine/>
    <w:qFormat/>
    <w:rPr>
      <w:rFonts w:ascii="宋体" w:eastAsia="宋体" w:hAnsi="Times New Roman"/>
      <w:sz w:val="18"/>
    </w:rPr>
  </w:style>
  <w:style w:type="character" w:styleId="affffc">
    <w:name w:val="Emphasis"/>
    <w:autoRedefine/>
    <w:uiPriority w:val="20"/>
    <w:qFormat/>
    <w:rPr>
      <w:i/>
      <w:iCs/>
    </w:rPr>
  </w:style>
  <w:style w:type="character" w:styleId="affffd">
    <w:name w:val="Hyperlink"/>
    <w:autoRedefine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e">
    <w:name w:val="footnote reference"/>
    <w:autoRedefine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autoRedefine/>
    <w:qFormat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autoRedefine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autoRedefine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autoRedefine/>
    <w:qFormat/>
    <w:rPr>
      <w:rFonts w:ascii="Arial" w:eastAsia="黑体" w:hAnsi="Arial"/>
      <w:kern w:val="2"/>
      <w:sz w:val="21"/>
      <w:szCs w:val="21"/>
    </w:rPr>
  </w:style>
  <w:style w:type="character" w:customStyle="1" w:styleId="affff2">
    <w:name w:val="页眉 字符"/>
    <w:link w:val="affff1"/>
    <w:autoRedefine/>
    <w:uiPriority w:val="99"/>
    <w:qFormat/>
    <w:rPr>
      <w:kern w:val="2"/>
      <w:sz w:val="18"/>
      <w:szCs w:val="18"/>
    </w:rPr>
  </w:style>
  <w:style w:type="character" w:customStyle="1" w:styleId="affff0">
    <w:name w:val="页脚 字符"/>
    <w:link w:val="affff"/>
    <w:autoRedefine/>
    <w:uiPriority w:val="99"/>
    <w:qFormat/>
    <w:rPr>
      <w:rFonts w:ascii="宋体"/>
      <w:kern w:val="2"/>
      <w:sz w:val="18"/>
      <w:szCs w:val="18"/>
    </w:rPr>
  </w:style>
  <w:style w:type="character" w:customStyle="1" w:styleId="afffe">
    <w:name w:val="批注框文本 字符"/>
    <w:link w:val="afffd"/>
    <w:autoRedefine/>
    <w:uiPriority w:val="99"/>
    <w:semiHidden/>
    <w:qFormat/>
    <w:rPr>
      <w:kern w:val="2"/>
      <w:sz w:val="18"/>
      <w:szCs w:val="18"/>
    </w:rPr>
  </w:style>
  <w:style w:type="paragraph" w:styleId="afffff">
    <w:name w:val="Quote"/>
    <w:basedOn w:val="afff5"/>
    <w:next w:val="afff5"/>
    <w:link w:val="afffff0"/>
    <w:autoRedefine/>
    <w:uiPriority w:val="29"/>
    <w:qFormat/>
    <w:rPr>
      <w:i/>
      <w:iCs/>
      <w:color w:val="000000"/>
    </w:rPr>
  </w:style>
  <w:style w:type="character" w:customStyle="1" w:styleId="afffff0">
    <w:name w:val="引用 字符"/>
    <w:link w:val="afffff"/>
    <w:autoRedefine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affff8">
    <w:name w:val="标题 字符"/>
    <w:link w:val="affff7"/>
    <w:autoRedefine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f1">
    <w:name w:val="标准标志"/>
    <w:next w:val="afff5"/>
    <w:autoRedefine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f2">
    <w:name w:val="标准称谓"/>
    <w:next w:val="afff5"/>
    <w:autoRedefine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w w:val="148"/>
      <w:sz w:val="52"/>
    </w:rPr>
  </w:style>
  <w:style w:type="paragraph" w:customStyle="1" w:styleId="afffff3">
    <w:name w:val="标准文件_页脚偶数页"/>
    <w:autoRedefine/>
    <w:qFormat/>
    <w:pPr>
      <w:ind w:left="198"/>
    </w:pPr>
    <w:rPr>
      <w:rFonts w:ascii="宋体"/>
      <w:sz w:val="18"/>
    </w:rPr>
  </w:style>
  <w:style w:type="paragraph" w:customStyle="1" w:styleId="afffff4">
    <w:name w:val="标准文件_页脚奇数页"/>
    <w:autoRedefine/>
    <w:qFormat/>
    <w:pPr>
      <w:ind w:right="227"/>
      <w:jc w:val="right"/>
    </w:pPr>
    <w:rPr>
      <w:rFonts w:ascii="宋体"/>
      <w:sz w:val="18"/>
    </w:rPr>
  </w:style>
  <w:style w:type="paragraph" w:customStyle="1" w:styleId="afffff5">
    <w:name w:val="标准书眉一"/>
    <w:autoRedefine/>
    <w:qFormat/>
    <w:pPr>
      <w:jc w:val="both"/>
    </w:pPr>
  </w:style>
  <w:style w:type="paragraph" w:customStyle="1" w:styleId="ICS">
    <w:name w:val="标准文件_ICS"/>
    <w:basedOn w:val="afff5"/>
    <w:autoRedefine/>
    <w:qFormat/>
    <w:pPr>
      <w:spacing w:line="0" w:lineRule="atLeast"/>
    </w:pPr>
    <w:rPr>
      <w:rFonts w:ascii="黑体" w:eastAsia="黑体" w:hAnsi="宋体"/>
    </w:rPr>
  </w:style>
  <w:style w:type="paragraph" w:customStyle="1" w:styleId="afffff6">
    <w:name w:val="标准文件_标准正文"/>
    <w:basedOn w:val="afff5"/>
    <w:next w:val="afffff7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fffff7">
    <w:name w:val="标准文件_段"/>
    <w:link w:val="Char"/>
    <w:autoRedefine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8">
    <w:name w:val="标准文件_版本"/>
    <w:basedOn w:val="afffff6"/>
    <w:autoRedefine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9">
    <w:name w:val="标准文件_标准部门"/>
    <w:basedOn w:val="afff5"/>
    <w:autoRedefine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a">
    <w:name w:val="标准文件_标准代替"/>
    <w:basedOn w:val="afff5"/>
    <w:next w:val="afff5"/>
    <w:autoRedefine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b">
    <w:name w:val="标准文件_标准名称标题"/>
    <w:basedOn w:val="afff5"/>
    <w:next w:val="afff5"/>
    <w:autoRedefine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c">
    <w:name w:val="标准文件_页眉奇数页"/>
    <w:next w:val="afff5"/>
    <w:autoRedefine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d">
    <w:name w:val="标准文件_页眉偶数页"/>
    <w:basedOn w:val="afffffc"/>
    <w:next w:val="afff5"/>
    <w:autoRedefine/>
    <w:qFormat/>
    <w:pPr>
      <w:jc w:val="left"/>
    </w:pPr>
  </w:style>
  <w:style w:type="paragraph" w:customStyle="1" w:styleId="afffffe">
    <w:name w:val="标准文件_参考文献标题"/>
    <w:basedOn w:val="afff5"/>
    <w:next w:val="afff5"/>
    <w:autoRedefine/>
    <w:qFormat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autoRedefine/>
    <w:qFormat/>
    <w:pPr>
      <w:numPr>
        <w:numId w:val="1"/>
      </w:numPr>
    </w:pPr>
    <w:rPr>
      <w:rFonts w:ascii="宋体"/>
    </w:rPr>
  </w:style>
  <w:style w:type="paragraph" w:customStyle="1" w:styleId="affe">
    <w:name w:val="标准文件_二级条标题"/>
    <w:next w:val="afffff7"/>
    <w:autoRedefine/>
    <w:qFormat/>
    <w:pPr>
      <w:widowControl w:val="0"/>
      <w:numPr>
        <w:ilvl w:val="3"/>
        <w:numId w:val="2"/>
      </w:numPr>
      <w:spacing w:beforeLines="50" w:before="50" w:afterLines="50" w:after="50"/>
      <w:ind w:left="0"/>
      <w:jc w:val="both"/>
      <w:outlineLvl w:val="2"/>
    </w:pPr>
    <w:rPr>
      <w:rFonts w:ascii="黑体" w:eastAsia="黑体"/>
      <w:sz w:val="21"/>
    </w:rPr>
  </w:style>
  <w:style w:type="character" w:customStyle="1" w:styleId="affffff">
    <w:name w:val="标准文件_发布"/>
    <w:autoRedefine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7"/>
    <w:autoRedefine/>
    <w:qFormat/>
    <w:pPr>
      <w:numPr>
        <w:numId w:val="3"/>
      </w:numPr>
      <w:ind w:firstLineChars="0" w:firstLine="0"/>
    </w:pPr>
  </w:style>
  <w:style w:type="paragraph" w:customStyle="1" w:styleId="affffff0">
    <w:name w:val="标准文件_封面标准编号"/>
    <w:basedOn w:val="afff5"/>
    <w:next w:val="afffffa"/>
    <w:autoRedefine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1">
    <w:name w:val="标准文件_封面标准分类号"/>
    <w:basedOn w:val="afff5"/>
    <w:autoRedefine/>
    <w:qFormat/>
    <w:rPr>
      <w:rFonts w:ascii="黑体" w:eastAsia="黑体"/>
      <w:b/>
      <w:kern w:val="0"/>
      <w:sz w:val="28"/>
    </w:rPr>
  </w:style>
  <w:style w:type="paragraph" w:customStyle="1" w:styleId="affffff2">
    <w:name w:val="标准文件_封面标准名称"/>
    <w:basedOn w:val="afff5"/>
    <w:autoRedefine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3">
    <w:name w:val="标准文件_封面标准英文名称"/>
    <w:basedOn w:val="afff5"/>
    <w:autoRedefine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4">
    <w:name w:val="标准文件_封面发布日期"/>
    <w:basedOn w:val="afff5"/>
    <w:autoRedefine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5">
    <w:name w:val="标准文件_封面密级"/>
    <w:basedOn w:val="afff5"/>
    <w:autoRedefine/>
    <w:qFormat/>
    <w:rPr>
      <w:rFonts w:eastAsia="黑体"/>
      <w:sz w:val="32"/>
    </w:rPr>
  </w:style>
  <w:style w:type="paragraph" w:customStyle="1" w:styleId="affffff6">
    <w:name w:val="标准文件_封面实施日期"/>
    <w:basedOn w:val="afff5"/>
    <w:autoRedefine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7">
    <w:name w:val="标准文件_封面抬头"/>
    <w:basedOn w:val="afffff7"/>
    <w:autoRedefine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7"/>
    <w:autoRedefine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">
    <w:name w:val="标准文件_附录表标题"/>
    <w:next w:val="afffff7"/>
    <w:autoRedefine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4">
    <w:name w:val="标准文件_附录一级条标题"/>
    <w:next w:val="afffff7"/>
    <w:autoRedefine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5">
    <w:name w:val="标准文件_附录二级条标题"/>
    <w:basedOn w:val="aff4"/>
    <w:next w:val="afffff7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8">
    <w:name w:val="标准文件_附录公式"/>
    <w:basedOn w:val="afffff6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7"/>
    <w:autoRedefine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/>
      <w:kern w:val="21"/>
      <w:sz w:val="21"/>
    </w:rPr>
  </w:style>
  <w:style w:type="paragraph" w:customStyle="1" w:styleId="aff7">
    <w:name w:val="标准文件_附录四级条标题"/>
    <w:next w:val="afffff7"/>
    <w:autoRedefine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/>
      <w:kern w:val="21"/>
      <w:sz w:val="21"/>
    </w:rPr>
  </w:style>
  <w:style w:type="paragraph" w:customStyle="1" w:styleId="af9">
    <w:name w:val="标准文件_附录图标题"/>
    <w:next w:val="afffff7"/>
    <w:autoRedefine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8">
    <w:name w:val="标准文件_附录五级条标题"/>
    <w:next w:val="afffff7"/>
    <w:autoRedefine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/>
      <w:kern w:val="21"/>
      <w:sz w:val="21"/>
    </w:rPr>
  </w:style>
  <w:style w:type="paragraph" w:customStyle="1" w:styleId="af0">
    <w:name w:val="标准文件_附录英文标识"/>
    <w:next w:val="afffb"/>
    <w:autoRedefine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/>
      <w:sz w:val="21"/>
    </w:rPr>
  </w:style>
  <w:style w:type="character" w:customStyle="1" w:styleId="afffc">
    <w:name w:val="正文文本 字符"/>
    <w:link w:val="afffb"/>
    <w:autoRedefine/>
    <w:qFormat/>
    <w:rPr>
      <w:kern w:val="2"/>
      <w:sz w:val="21"/>
      <w:szCs w:val="21"/>
    </w:rPr>
  </w:style>
  <w:style w:type="paragraph" w:customStyle="1" w:styleId="affffff9">
    <w:name w:val="标准文件_附录章标题"/>
    <w:next w:val="afffff7"/>
    <w:autoRedefine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a">
    <w:name w:val="标准文件_公式后的破折号"/>
    <w:basedOn w:val="afffff7"/>
    <w:next w:val="afffff7"/>
    <w:autoRedefine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autoRedefine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/>
      <w:sz w:val="32"/>
    </w:rPr>
  </w:style>
  <w:style w:type="paragraph" w:customStyle="1" w:styleId="affffffb">
    <w:name w:val="标准文件_目次、标准名称标题"/>
    <w:basedOn w:val="a6"/>
    <w:next w:val="afffff7"/>
    <w:autoRedefine/>
    <w:qFormat/>
    <w:pPr>
      <w:spacing w:line="460" w:lineRule="exact"/>
      <w:ind w:left="0" w:firstLine="0"/>
    </w:pPr>
  </w:style>
  <w:style w:type="paragraph" w:customStyle="1" w:styleId="affffffc">
    <w:name w:val="标准文件_目录标题"/>
    <w:basedOn w:val="afff5"/>
    <w:autoRedefine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autoRedefine/>
    <w:qFormat/>
    <w:pPr>
      <w:numPr>
        <w:numId w:val="9"/>
      </w:numPr>
      <w:adjustRightInd w:val="0"/>
      <w:snapToGrid w:val="0"/>
      <w:ind w:firstLineChars="200" w:firstLine="200"/>
    </w:pPr>
    <w:rPr>
      <w:sz w:val="21"/>
    </w:rPr>
  </w:style>
  <w:style w:type="paragraph" w:customStyle="1" w:styleId="afc">
    <w:name w:val="标准文件_破折号列项（二级）"/>
    <w:basedOn w:val="af1"/>
    <w:autoRedefine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f7"/>
    <w:autoRedefine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autoRedefine/>
    <w:uiPriority w:val="31"/>
    <w:qFormat/>
    <w:rPr>
      <w:smallCaps/>
      <w:color w:val="C0504D"/>
      <w:u w:val="single"/>
    </w:rPr>
  </w:style>
  <w:style w:type="paragraph" w:customStyle="1" w:styleId="affffffd">
    <w:name w:val="标准文件_示例后续"/>
    <w:basedOn w:val="afff5"/>
    <w:autoRedefine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autoRedefine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7"/>
    <w:autoRedefine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character" w:customStyle="1" w:styleId="affff4">
    <w:name w:val="脚注文本 字符"/>
    <w:link w:val="affff3"/>
    <w:autoRedefine/>
    <w:semiHidden/>
    <w:qFormat/>
    <w:rPr>
      <w:rFonts w:ascii="宋体"/>
      <w:kern w:val="2"/>
      <w:sz w:val="18"/>
      <w:szCs w:val="18"/>
    </w:rPr>
  </w:style>
  <w:style w:type="paragraph" w:customStyle="1" w:styleId="affffffe">
    <w:name w:val="标准文件_条文脚注"/>
    <w:basedOn w:val="affff3"/>
    <w:autoRedefine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7"/>
    <w:autoRedefine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f">
    <w:name w:val="标准文件_图表脚注内容"/>
    <w:autoRedefine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7"/>
    <w:autoRedefine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ffc">
    <w:name w:val="标准文件_章标题"/>
    <w:next w:val="afffff7"/>
    <w:autoRedefine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fd">
    <w:name w:val="标准文件_一级条标题"/>
    <w:basedOn w:val="affc"/>
    <w:next w:val="afffff7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f0">
    <w:name w:val="标准文件_一致程度"/>
    <w:basedOn w:val="afff5"/>
    <w:autoRedefine/>
    <w:qFormat/>
    <w:pPr>
      <w:spacing w:line="440" w:lineRule="exact"/>
      <w:jc w:val="center"/>
    </w:pPr>
    <w:rPr>
      <w:sz w:val="28"/>
    </w:rPr>
  </w:style>
  <w:style w:type="paragraph" w:customStyle="1" w:styleId="afffffff1">
    <w:name w:val="标准文件_引言标题"/>
    <w:next w:val="afff5"/>
    <w:autoRedefine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fffffff2">
    <w:name w:val="标准文件_英文图表脚注"/>
    <w:basedOn w:val="afffff6"/>
    <w:autoRedefine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autoRedefine/>
    <w:qFormat/>
    <w:pPr>
      <w:numPr>
        <w:ilvl w:val="1"/>
        <w:numId w:val="13"/>
      </w:numPr>
      <w:tabs>
        <w:tab w:val="left" w:pos="851"/>
      </w:tabs>
      <w:jc w:val="both"/>
    </w:pPr>
    <w:rPr>
      <w:rFonts w:ascii="宋体"/>
      <w:sz w:val="21"/>
    </w:rPr>
  </w:style>
  <w:style w:type="paragraph" w:customStyle="1" w:styleId="af">
    <w:name w:val="标准文件_英文注："/>
    <w:basedOn w:val="afff5"/>
    <w:next w:val="afffff7"/>
    <w:autoRedefine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autoRedefine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7"/>
    <w:autoRedefine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3">
    <w:name w:val="标准文件_正文公式"/>
    <w:basedOn w:val="afff5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7"/>
    <w:autoRedefine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3">
    <w:name w:val="标准文件_正文英文表标题"/>
    <w:next w:val="afffff7"/>
    <w:autoRedefine/>
    <w:qFormat/>
    <w:pPr>
      <w:numPr>
        <w:numId w:val="18"/>
      </w:numPr>
      <w:jc w:val="center"/>
    </w:pPr>
    <w:rPr>
      <w:rFonts w:ascii="黑体" w:eastAsia="黑体"/>
      <w:sz w:val="21"/>
    </w:rPr>
  </w:style>
  <w:style w:type="paragraph" w:customStyle="1" w:styleId="afb">
    <w:name w:val="标准文件_正文英文图标题"/>
    <w:next w:val="afffff7"/>
    <w:autoRedefine/>
    <w:qFormat/>
    <w:pPr>
      <w:numPr>
        <w:numId w:val="19"/>
      </w:numPr>
      <w:jc w:val="center"/>
    </w:pPr>
    <w:rPr>
      <w:rFonts w:ascii="黑体" w:eastAsia="黑体"/>
      <w:sz w:val="21"/>
    </w:rPr>
  </w:style>
  <w:style w:type="paragraph" w:customStyle="1" w:styleId="af7">
    <w:name w:val="标准文件_编号列项（三级）"/>
    <w:autoRedefine/>
    <w:qFormat/>
    <w:pPr>
      <w:numPr>
        <w:ilvl w:val="2"/>
        <w:numId w:val="13"/>
      </w:numPr>
      <w:tabs>
        <w:tab w:val="left" w:pos="851"/>
      </w:tabs>
    </w:pPr>
    <w:rPr>
      <w:rFonts w:ascii="宋体"/>
      <w:sz w:val="21"/>
    </w:rPr>
  </w:style>
  <w:style w:type="paragraph" w:customStyle="1" w:styleId="a1">
    <w:name w:val="二级无标题条"/>
    <w:basedOn w:val="afff5"/>
    <w:autoRedefine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4">
    <w:name w:val="发布部门"/>
    <w:next w:val="afffff7"/>
    <w:autoRedefine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w w:val="135"/>
      <w:sz w:val="36"/>
    </w:rPr>
  </w:style>
  <w:style w:type="paragraph" w:customStyle="1" w:styleId="afffffff5">
    <w:name w:val="发布日期"/>
    <w:autoRedefine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ffff6">
    <w:name w:val="封面标准代替信息"/>
    <w:basedOn w:val="afff5"/>
    <w:autoRedefine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7">
    <w:name w:val="封面标准名称"/>
    <w:autoRedefine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ff8">
    <w:name w:val="封面标准文稿编辑信息"/>
    <w:autoRedefine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ff9">
    <w:name w:val="封面标准文稿类别"/>
    <w:autoRedefine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ffa">
    <w:name w:val="封面标准英文名称"/>
    <w:autoRedefine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ffffffb">
    <w:name w:val="封面一致性程度标识"/>
    <w:autoRedefine/>
    <w:qFormat/>
    <w:pPr>
      <w:spacing w:before="440" w:line="440" w:lineRule="exact"/>
      <w:jc w:val="center"/>
    </w:pPr>
    <w:rPr>
      <w:sz w:val="28"/>
    </w:rPr>
  </w:style>
  <w:style w:type="paragraph" w:customStyle="1" w:styleId="afffffffc">
    <w:name w:val="封面正文"/>
    <w:autoRedefine/>
    <w:qFormat/>
    <w:pPr>
      <w:jc w:val="both"/>
    </w:pPr>
  </w:style>
  <w:style w:type="paragraph" w:customStyle="1" w:styleId="afffffffd">
    <w:name w:val="附录二级无标题条"/>
    <w:basedOn w:val="afff5"/>
    <w:next w:val="afffff7"/>
    <w:autoRedefine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e">
    <w:name w:val="附录三级无标题条"/>
    <w:basedOn w:val="afffffffd"/>
    <w:next w:val="afffff7"/>
    <w:autoRedefine/>
    <w:qFormat/>
    <w:pPr>
      <w:outlineLvl w:val="4"/>
    </w:pPr>
  </w:style>
  <w:style w:type="paragraph" w:customStyle="1" w:styleId="affffffff">
    <w:name w:val="附录四级无标题条"/>
    <w:basedOn w:val="afffffffe"/>
    <w:next w:val="afffff7"/>
    <w:autoRedefine/>
    <w:qFormat/>
    <w:pPr>
      <w:outlineLvl w:val="5"/>
    </w:pPr>
  </w:style>
  <w:style w:type="paragraph" w:customStyle="1" w:styleId="affffffff0">
    <w:name w:val="附录图"/>
    <w:next w:val="afffff7"/>
    <w:autoRedefine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2">
    <w:name w:val="标准文件_一级项"/>
    <w:autoRedefine/>
    <w:qFormat/>
    <w:pPr>
      <w:numPr>
        <w:numId w:val="21"/>
      </w:numPr>
    </w:pPr>
    <w:rPr>
      <w:rFonts w:ascii="宋体"/>
      <w:sz w:val="21"/>
    </w:rPr>
  </w:style>
  <w:style w:type="paragraph" w:customStyle="1" w:styleId="affffffff1">
    <w:name w:val="附录五级无标题条"/>
    <w:basedOn w:val="affffffff"/>
    <w:next w:val="afffff7"/>
    <w:autoRedefine/>
    <w:qFormat/>
    <w:pPr>
      <w:outlineLvl w:val="6"/>
    </w:pPr>
  </w:style>
  <w:style w:type="paragraph" w:customStyle="1" w:styleId="affffffff2">
    <w:name w:val="附录性质"/>
    <w:basedOn w:val="afff5"/>
    <w:autoRedefine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3">
    <w:name w:val="附录一级无标题条"/>
    <w:basedOn w:val="affffff9"/>
    <w:next w:val="afffff7"/>
    <w:autoRedefine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4">
    <w:name w:val="个人答复风格"/>
    <w:autoRedefine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5">
    <w:name w:val="个人撰写风格"/>
    <w:autoRedefine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f6">
    <w:name w:val="脚注后续"/>
    <w:autoRedefine/>
    <w:qFormat/>
    <w:pPr>
      <w:ind w:leftChars="350" w:left="350"/>
      <w:jc w:val="both"/>
    </w:pPr>
    <w:rPr>
      <w:rFonts w:ascii="宋体"/>
      <w:sz w:val="18"/>
    </w:rPr>
  </w:style>
  <w:style w:type="paragraph" w:customStyle="1" w:styleId="afff4">
    <w:name w:val="列项——"/>
    <w:autoRedefine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7">
    <w:name w:val="列项·"/>
    <w:basedOn w:val="afffff7"/>
    <w:autoRedefine/>
    <w:qFormat/>
    <w:pPr>
      <w:tabs>
        <w:tab w:val="left" w:pos="840"/>
      </w:tabs>
    </w:pPr>
  </w:style>
  <w:style w:type="paragraph" w:customStyle="1" w:styleId="affffffff8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210">
    <w:name w:val="目录 21"/>
    <w:basedOn w:val="afff5"/>
    <w:next w:val="afff5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qFormat/>
    <w:pPr>
      <w:ind w:left="1260"/>
    </w:pPr>
  </w:style>
  <w:style w:type="paragraph" w:customStyle="1" w:styleId="81">
    <w:name w:val="目录 81"/>
    <w:basedOn w:val="71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9">
    <w:name w:val="其他标准称谓"/>
    <w:autoRedefine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a">
    <w:name w:val="其他发布部门"/>
    <w:basedOn w:val="afffffff4"/>
    <w:autoRedefine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autoRedefine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2">
    <w:name w:val="三级无标题条"/>
    <w:basedOn w:val="afff5"/>
    <w:autoRedefine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b">
    <w:name w:val="实施日期"/>
    <w:basedOn w:val="afffffff5"/>
    <w:autoRedefine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autoRedefine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c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fffd">
    <w:name w:val="无标题条"/>
    <w:next w:val="afffff7"/>
    <w:autoRedefine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autoRedefine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autoRedefine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e">
    <w:name w:val="注:后续"/>
    <w:autoRedefine/>
    <w:qFormat/>
    <w:pPr>
      <w:spacing w:line="300" w:lineRule="exact"/>
      <w:ind w:leftChars="400" w:left="600" w:hangingChars="200" w:hanging="200"/>
      <w:jc w:val="both"/>
    </w:pPr>
    <w:rPr>
      <w:rFonts w:ascii="宋体"/>
      <w:sz w:val="18"/>
    </w:rPr>
  </w:style>
  <w:style w:type="paragraph" w:customStyle="1" w:styleId="afffffffff">
    <w:name w:val="注×:后续"/>
    <w:basedOn w:val="affffffffe"/>
    <w:autoRedefine/>
    <w:qFormat/>
    <w:pPr>
      <w:ind w:leftChars="0" w:left="1406" w:firstLineChars="0" w:hanging="499"/>
    </w:pPr>
  </w:style>
  <w:style w:type="paragraph" w:customStyle="1" w:styleId="afffffffff0">
    <w:name w:val="标准文件_一级无标题"/>
    <w:basedOn w:val="affd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五级无标题"/>
    <w:basedOn w:val="afff1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文件_三级无标题"/>
    <w:basedOn w:val="afff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3">
    <w:name w:val="标准文件_二级无标题"/>
    <w:basedOn w:val="affe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4">
    <w:name w:val="标准_四级无标题"/>
    <w:basedOn w:val="afff0"/>
    <w:next w:val="afffff7"/>
    <w:autoRedefine/>
    <w:qFormat/>
    <w:rPr>
      <w:rFonts w:eastAsia="宋体"/>
    </w:rPr>
  </w:style>
  <w:style w:type="paragraph" w:customStyle="1" w:styleId="afffffffff5">
    <w:name w:val="标准文件_四级无标题"/>
    <w:basedOn w:val="afff0"/>
    <w:autoRedefine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7"/>
    <w:autoRedefine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7"/>
    <w:autoRedefine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6">
    <w:name w:val="标准文件_附录标题"/>
    <w:basedOn w:val="aff3"/>
    <w:autoRedefine/>
    <w:qFormat/>
    <w:pPr>
      <w:numPr>
        <w:numId w:val="0"/>
      </w:numPr>
      <w:spacing w:after="280"/>
      <w:outlineLvl w:val="9"/>
    </w:pPr>
  </w:style>
  <w:style w:type="paragraph" w:customStyle="1" w:styleId="afffffffff7">
    <w:name w:val="标准文件_二级项"/>
    <w:autoRedefine/>
    <w:qFormat/>
    <w:rPr>
      <w:rFonts w:ascii="宋体"/>
      <w:sz w:val="21"/>
    </w:rPr>
  </w:style>
  <w:style w:type="paragraph" w:customStyle="1" w:styleId="af3">
    <w:name w:val="标准文件_三级项"/>
    <w:basedOn w:val="afff5"/>
    <w:autoRedefine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7"/>
    <w:autoRedefine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autoRedefine/>
    <w:qFormat/>
    <w:pPr>
      <w:numPr>
        <w:numId w:val="13"/>
      </w:numPr>
      <w:jc w:val="both"/>
    </w:pPr>
    <w:rPr>
      <w:rFonts w:ascii="宋体"/>
      <w:sz w:val="21"/>
    </w:rPr>
  </w:style>
  <w:style w:type="paragraph" w:customStyle="1" w:styleId="afffffffff8">
    <w:name w:val="标准文件_索引字母"/>
    <w:next w:val="afffff7"/>
    <w:autoRedefine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9">
    <w:name w:val="标准文件_附录前"/>
    <w:next w:val="afffff7"/>
    <w:autoRedefine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a">
    <w:name w:val="标准文件_正文标准名称"/>
    <w:autoRedefine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b">
    <w:name w:val="标准文件_表格"/>
    <w:basedOn w:val="afffff7"/>
    <w:autoRedefine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7"/>
    <w:autoRedefine/>
    <w:qFormat/>
    <w:pPr>
      <w:widowControl w:val="0"/>
      <w:numPr>
        <w:numId w:val="2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5">
    <w:name w:val="标准文件_注×："/>
    <w:autoRedefine/>
    <w:qFormat/>
    <w:pPr>
      <w:widowControl w:val="0"/>
      <w:numPr>
        <w:numId w:val="2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c">
    <w:name w:val="标准文件_示例："/>
    <w:next w:val="afffffffffc"/>
    <w:autoRedefine/>
    <w:qFormat/>
    <w:pPr>
      <w:widowControl w:val="0"/>
      <w:numPr>
        <w:numId w:val="28"/>
      </w:numPr>
      <w:jc w:val="both"/>
    </w:pPr>
    <w:rPr>
      <w:rFonts w:ascii="宋体"/>
      <w:sz w:val="18"/>
      <w:szCs w:val="18"/>
    </w:rPr>
  </w:style>
  <w:style w:type="paragraph" w:customStyle="1" w:styleId="afffffffffc">
    <w:name w:val="标准文件_示例内容"/>
    <w:basedOn w:val="afffff7"/>
    <w:autoRedefine/>
    <w:qFormat/>
    <w:rPr>
      <w:sz w:val="18"/>
    </w:rPr>
  </w:style>
  <w:style w:type="paragraph" w:customStyle="1" w:styleId="afa">
    <w:name w:val="标准文件_示例×："/>
    <w:basedOn w:val="afff5"/>
    <w:next w:val="afffffffffc"/>
    <w:autoRedefine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7"/>
    <w:autoRedefine/>
    <w:qFormat/>
    <w:rPr>
      <w:rFonts w:ascii="宋体"/>
      <w:sz w:val="21"/>
    </w:rPr>
  </w:style>
  <w:style w:type="paragraph" w:customStyle="1" w:styleId="afffffffffd">
    <w:name w:val="标准文件_表格续"/>
    <w:basedOn w:val="afffff7"/>
    <w:next w:val="afffff7"/>
    <w:autoRedefine/>
    <w:qFormat/>
    <w:pPr>
      <w:jc w:val="center"/>
    </w:pPr>
    <w:rPr>
      <w:rFonts w:ascii="黑体" w:eastAsia="黑体" w:hAnsi="黑体"/>
    </w:rPr>
  </w:style>
  <w:style w:type="character" w:styleId="afffffffffe">
    <w:name w:val="Placeholder Text"/>
    <w:basedOn w:val="afff6"/>
    <w:autoRedefine/>
    <w:uiPriority w:val="99"/>
    <w:semiHidden/>
    <w:qFormat/>
    <w:rPr>
      <w:color w:val="808080"/>
    </w:rPr>
  </w:style>
  <w:style w:type="paragraph" w:customStyle="1" w:styleId="2">
    <w:name w:val="标准文件_二级项2"/>
    <w:basedOn w:val="afffff7"/>
    <w:autoRedefine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7"/>
    <w:autoRedefine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7"/>
    <w:autoRedefine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f">
    <w:name w:val="标准文件_提示"/>
    <w:basedOn w:val="afffff7"/>
    <w:next w:val="afffff7"/>
    <w:autoRedefine/>
    <w:qFormat/>
    <w:rPr>
      <w:rFonts w:ascii="黑体" w:eastAsia="黑体"/>
    </w:rPr>
  </w:style>
  <w:style w:type="character" w:customStyle="1" w:styleId="affffffffff0">
    <w:name w:val="标准文件_来源"/>
    <w:basedOn w:val="afff6"/>
    <w:autoRedefine/>
    <w:uiPriority w:val="1"/>
    <w:qFormat/>
    <w:rPr>
      <w:rFonts w:eastAsia="宋体"/>
      <w:sz w:val="21"/>
    </w:rPr>
  </w:style>
  <w:style w:type="paragraph" w:customStyle="1" w:styleId="affffffffff1">
    <w:name w:val="标准文件_图表说明"/>
    <w:autoRedefine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2">
    <w:name w:val="其他发布日期"/>
    <w:basedOn w:val="afffffff5"/>
    <w:autoRedefine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3">
    <w:name w:val="其他实施日期"/>
    <w:basedOn w:val="affffffffb"/>
    <w:autoRedefine/>
    <w:qFormat/>
    <w:pPr>
      <w:framePr w:w="3997" w:h="471" w:hRule="exact" w:vSpace="181" w:wrap="around" w:vAnchor="page" w:hAnchor="page" w:x="7089" w:y="14097"/>
    </w:pPr>
  </w:style>
  <w:style w:type="paragraph" w:customStyle="1" w:styleId="affffffffff4">
    <w:name w:val="标准文件_文件编号"/>
    <w:basedOn w:val="afffff7"/>
    <w:autoRedefine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5">
    <w:name w:val="标准文件_替换文件编号"/>
    <w:basedOn w:val="affffffffff4"/>
    <w:autoRedefine/>
    <w:qFormat/>
    <w:pPr>
      <w:framePr w:wrap="auto"/>
      <w:spacing w:before="57"/>
    </w:pPr>
    <w:rPr>
      <w:sz w:val="21"/>
    </w:rPr>
  </w:style>
  <w:style w:type="paragraph" w:customStyle="1" w:styleId="affffffffff6">
    <w:name w:val="标准文件_文件名称"/>
    <w:basedOn w:val="afffff7"/>
    <w:next w:val="afffff7"/>
    <w:autoRedefine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7"/>
    <w:next w:val="afffff7"/>
    <w:autoRedefine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7"/>
    <w:next w:val="afffff7"/>
    <w:autoRedefine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7"/>
    <w:next w:val="afffff7"/>
    <w:autoRedefine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7"/>
    <w:next w:val="afffff7"/>
    <w:autoRedefine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7"/>
    <w:next w:val="afffff7"/>
    <w:autoRedefine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7"/>
    <w:next w:val="afffff7"/>
    <w:autoRedefine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7"/>
    <w:next w:val="afffff7"/>
    <w:autoRedefine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7">
    <w:name w:val="标准文件_注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affffffffff8">
    <w:name w:val="标准文件_示例后"/>
    <w:basedOn w:val="afffff7"/>
    <w:autoRedefine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7"/>
    <w:link w:val="X1"/>
    <w:autoRedefine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autoRedefine/>
    <w:qFormat/>
    <w:rPr>
      <w:rFonts w:ascii="宋体" w:hAnsi="Times New Roman"/>
      <w:sz w:val="18"/>
    </w:rPr>
  </w:style>
  <w:style w:type="paragraph" w:customStyle="1" w:styleId="affffffffff9">
    <w:name w:val="标准文件_索引项"/>
    <w:basedOn w:val="afffff7"/>
    <w:next w:val="afffff7"/>
    <w:autoRedefine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a">
    <w:name w:val="标准文件_附录一级无标题"/>
    <w:basedOn w:val="aff4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二级无标题"/>
    <w:basedOn w:val="aff5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三级无标题"/>
    <w:basedOn w:val="aff6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附录四级无标题"/>
    <w:basedOn w:val="aff7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e">
    <w:name w:val="标准文件_附录五级无标题"/>
    <w:basedOn w:val="aff8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">
    <w:name w:val="标准文件_引言一级无标题"/>
    <w:basedOn w:val="a7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二级无标题"/>
    <w:basedOn w:val="a8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三级无标题"/>
    <w:basedOn w:val="a9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引言四级无标题"/>
    <w:basedOn w:val="aa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3">
    <w:name w:val="标准文件_引言五级无标题"/>
    <w:basedOn w:val="ab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4">
    <w:name w:val="标准文件_索引标题"/>
    <w:basedOn w:val="afffffe"/>
    <w:next w:val="afffff7"/>
    <w:autoRedefine/>
    <w:qFormat/>
    <w:rPr>
      <w:rFonts w:hAnsi="黑体"/>
    </w:rPr>
  </w:style>
  <w:style w:type="paragraph" w:customStyle="1" w:styleId="afffffffffff5">
    <w:name w:val="标准文件_脚注内容"/>
    <w:basedOn w:val="afffff7"/>
    <w:autoRedefine/>
    <w:qFormat/>
    <w:pPr>
      <w:ind w:leftChars="200" w:left="400" w:hangingChars="200" w:hanging="200"/>
    </w:pPr>
    <w:rPr>
      <w:sz w:val="15"/>
    </w:rPr>
  </w:style>
  <w:style w:type="paragraph" w:customStyle="1" w:styleId="afffffffffff6">
    <w:name w:val="标准文件_术语条一"/>
    <w:basedOn w:val="afffffffff0"/>
    <w:next w:val="afffff7"/>
    <w:autoRedefine/>
    <w:qFormat/>
  </w:style>
  <w:style w:type="paragraph" w:customStyle="1" w:styleId="afffffffffff7">
    <w:name w:val="标准文件_术语条二"/>
    <w:basedOn w:val="afffffffff3"/>
    <w:next w:val="afffff7"/>
    <w:autoRedefine/>
    <w:qFormat/>
  </w:style>
  <w:style w:type="paragraph" w:customStyle="1" w:styleId="afffffffffff8">
    <w:name w:val="标准文件_术语条三"/>
    <w:basedOn w:val="afffffffff2"/>
    <w:next w:val="afffff7"/>
    <w:autoRedefine/>
    <w:qFormat/>
  </w:style>
  <w:style w:type="paragraph" w:customStyle="1" w:styleId="afffffffffff9">
    <w:name w:val="标准文件_术语条四"/>
    <w:basedOn w:val="afffffffff5"/>
    <w:next w:val="afffff7"/>
    <w:autoRedefine/>
    <w:qFormat/>
  </w:style>
  <w:style w:type="paragraph" w:customStyle="1" w:styleId="afffffffffffa">
    <w:name w:val="标准文件_术语条五"/>
    <w:basedOn w:val="afffffffff1"/>
    <w:next w:val="afffff7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ffffffffffb">
    <w:name w:val="发布"/>
    <w:basedOn w:val="afff6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TableText">
    <w:name w:val="Table Text"/>
    <w:basedOn w:val="afff5"/>
    <w:autoRedefine/>
    <w:semiHidden/>
    <w:qFormat/>
    <w:rPr>
      <w:rFonts w:ascii="宋体" w:hAnsi="宋体" w:cs="宋体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c">
    <w:name w:val="终结线"/>
    <w:basedOn w:val="afff5"/>
    <w:autoRedefine/>
    <w:qFormat/>
    <w:pPr>
      <w:framePr w:hSpace="181" w:vSpace="181" w:wrap="around" w:vAnchor="text" w:hAnchor="margin" w:xAlign="center" w:y="285"/>
    </w:pPr>
  </w:style>
  <w:style w:type="paragraph" w:customStyle="1" w:styleId="afffffffffffd">
    <w:name w:val="附录标识"/>
    <w:basedOn w:val="afff5"/>
    <w:next w:val="afffffffffffe"/>
    <w:qFormat/>
    <w:pPr>
      <w:keepNext/>
      <w:widowControl/>
      <w:shd w:val="clear" w:color="FFFFFF" w:fill="FFFFFF"/>
      <w:spacing w:before="640" w:after="280"/>
      <w:ind w:left="3969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e">
    <w:name w:val="段"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fffffff">
    <w:name w:val="附录章标题"/>
    <w:next w:val="afffffffffffe"/>
    <w:qFormat/>
    <w:pPr>
      <w:wordWrap w:val="0"/>
      <w:overflowPunct w:val="0"/>
      <w:autoSpaceDE w:val="0"/>
      <w:spacing w:beforeLines="100" w:afterLines="100"/>
      <w:ind w:left="1134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ffffff0">
    <w:name w:val="参考文献"/>
    <w:basedOn w:val="afff5"/>
    <w:next w:val="afffffffffffe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f1">
    <w:name w:val="二级无"/>
    <w:basedOn w:val="affffffffffff2"/>
    <w:autoRedefine/>
    <w:qFormat/>
    <w:pPr>
      <w:ind w:left="1843"/>
    </w:pPr>
    <w:rPr>
      <w:rFonts w:ascii="宋体"/>
    </w:rPr>
  </w:style>
  <w:style w:type="paragraph" w:customStyle="1" w:styleId="affffffffffff2">
    <w:name w:val="二级条标题"/>
    <w:basedOn w:val="affffffffffff3"/>
    <w:next w:val="afffffffffffe"/>
    <w:autoRedefine/>
    <w:qFormat/>
    <w:pPr>
      <w:spacing w:before="50" w:after="50"/>
      <w:outlineLvl w:val="3"/>
    </w:pPr>
  </w:style>
  <w:style w:type="paragraph" w:customStyle="1" w:styleId="affffffffffff3">
    <w:name w:val="一级条标题"/>
    <w:basedOn w:val="afff5"/>
    <w:next w:val="afffffffffffe"/>
    <w:autoRedefine/>
    <w:qFormat/>
    <w:pPr>
      <w:widowControl/>
      <w:adjustRightInd/>
      <w:spacing w:beforeLines="50" w:afterLines="50" w:line="240" w:lineRule="auto"/>
      <w:ind w:left="1701"/>
      <w:jc w:val="left"/>
      <w:outlineLvl w:val="2"/>
    </w:pPr>
    <w:rPr>
      <w:rFonts w:ascii="黑体" w:eastAsia="黑体" w:hAnsi="Times New Roman"/>
      <w:kern w:val="0"/>
    </w:rPr>
  </w:style>
  <w:style w:type="character" w:customStyle="1" w:styleId="12">
    <w:name w:val="未处理的提及1"/>
    <w:basedOn w:val="afff6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TotalTime>118</TotalTime>
  <Pages>12</Pages>
  <Words>4254</Words>
  <Characters>5319</Characters>
  <Application>Microsoft Office Word</Application>
  <DocSecurity>0</DocSecurity>
  <Lines>886</Lines>
  <Paragraphs>797</Paragraphs>
  <ScaleCrop>false</ScaleCrop>
  <Company>PCMI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ZHH</dc:creator>
  <cp:lastModifiedBy>呆呆 罗</cp:lastModifiedBy>
  <cp:revision>13</cp:revision>
  <cp:lastPrinted>2026-04-16T08:28:00Z</cp:lastPrinted>
  <dcterms:created xsi:type="dcterms:W3CDTF">2026-04-14T01:04:00Z</dcterms:created>
  <dcterms:modified xsi:type="dcterms:W3CDTF">2026-04-16T09:05:00Z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2052-12.1.0.25225</vt:lpwstr>
  </property>
  <property fmtid="{D5CDD505-2E9C-101B-9397-08002B2CF9AE}" pid="15" name="ICV">
    <vt:lpwstr>37FC01A0625F4C8786115D420C3460EC_13</vt:lpwstr>
  </property>
  <property fmtid="{D5CDD505-2E9C-101B-9397-08002B2CF9AE}" pid="16" name="KSOTemplateDocerSaveRecord">
    <vt:lpwstr>eyJoZGlkIjoiMTY4OTVhMzE4OTk4YjFkOWQyZmQ2NGM4ODg1MjRjOGEiLCJ1c2VySWQiOiIxNzIwMDUxMzI4In0=</vt:lpwstr>
  </property>
</Properties>
</file>