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2FD16935"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3648A1" w:rsidRPr="003648A1">
        <w:rPr>
          <w:rFonts w:ascii="仿宋" w:eastAsia="仿宋" w:hAnsi="仿宋" w:cs="仿宋" w:hint="eastAsia"/>
          <w:b/>
          <w:bCs/>
          <w:sz w:val="32"/>
          <w:szCs w:val="32"/>
        </w:rPr>
        <w:t>建筑工程预应力混凝土结构施工质量控制规范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7AEEF01C"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3648A1">
        <w:rPr>
          <w:rFonts w:ascii="仿宋" w:eastAsia="仿宋" w:hAnsi="仿宋" w:cs="仿宋" w:hint="eastAsia"/>
          <w:szCs w:val="21"/>
        </w:rPr>
        <w:t>3</w:t>
      </w:r>
      <w:r>
        <w:rPr>
          <w:rFonts w:ascii="仿宋" w:eastAsia="仿宋" w:hAnsi="仿宋" w:cs="仿宋" w:hint="eastAsia"/>
          <w:szCs w:val="21"/>
        </w:rPr>
        <w:t>月，中国西部开发促进会发布《</w:t>
      </w:r>
      <w:r w:rsidR="003648A1" w:rsidRPr="003648A1">
        <w:rPr>
          <w:rFonts w:ascii="仿宋" w:eastAsia="仿宋" w:hAnsi="仿宋" w:cs="仿宋" w:hint="eastAsia"/>
          <w:szCs w:val="21"/>
        </w:rPr>
        <w:t>建筑工程预应力混凝土结构施工质量控制规范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1F6FC081" w:rsidR="00DD042A" w:rsidRDefault="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好、刚度大、节省材料、耐久性强等优势，成为现代建筑工程核心结构形式之一。为解决当前预应力施工中存在的工艺不统一、质量管控节点模糊、验收标准不一致等问题，本标准旨在明确建筑工程预应力混凝土结构从施工准备、材料设备、制作安装、张拉放张到灌浆封锚的全流程质量控制要求，统一关键工序技术指标与验收标准，保障结构安全与使用功能</w:t>
      </w:r>
      <w:r w:rsidR="00000000">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6307EE32" w:rsidR="00DD042A" w:rsidRDefault="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本标准的制定，填补了建筑工程预应力混凝土结构专项施工质量控制团体标准的空白，统一技术语言、规范施工流程、明确验收依据，为施工、监理、检测、监督等单位提供直接技术遵循；同时推动预应力施工技术标准化、精细化、智能化发展，提升建筑工程整体质量水平，保障建筑结构长期安全与耐久。</w:t>
      </w:r>
      <w:r w:rsidR="00000000">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91818F5" w14:textId="77777777" w:rsidR="00E644D6" w:rsidRPr="00E644D6" w:rsidRDefault="00E644D6" w:rsidP="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行业发展需求：大跨度公共建筑、高层住宅、装配式建筑广泛应用预应力技术，亟需专项标准匹配行业快速发展。</w:t>
      </w:r>
    </w:p>
    <w:p w14:paraId="4C82204E" w14:textId="77777777" w:rsidR="00E644D6" w:rsidRPr="00E644D6" w:rsidRDefault="00E644D6" w:rsidP="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质量管控需求：预应力张拉、灌浆等关键工序专业性强、风险高，现有标准通用性强，缺乏针对性细化要求。</w:t>
      </w:r>
    </w:p>
    <w:p w14:paraId="371E3E1B" w14:textId="77777777" w:rsidR="00E644D6" w:rsidRPr="00E644D6" w:rsidRDefault="00E644D6" w:rsidP="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市场规范需求：统一质量控制与验收标准，遏制低质施工，规范市场秩序，推动行业高质量发展。</w:t>
      </w:r>
    </w:p>
    <w:p w14:paraId="1448D036" w14:textId="2EA2E9A4" w:rsidR="00DD042A" w:rsidRDefault="00E644D6" w:rsidP="00E644D6">
      <w:pPr>
        <w:pStyle w:val="affc"/>
        <w:widowControl/>
        <w:spacing w:beforeAutospacing="0" w:afterAutospacing="0"/>
        <w:ind w:firstLineChars="200" w:firstLine="420"/>
        <w:jc w:val="both"/>
        <w:rPr>
          <w:rFonts w:ascii="仿宋" w:eastAsia="仿宋" w:hAnsi="仿宋" w:cs="仿宋" w:hint="eastAsia"/>
          <w:sz w:val="21"/>
          <w:szCs w:val="21"/>
        </w:rPr>
      </w:pPr>
      <w:r w:rsidRPr="00E644D6">
        <w:rPr>
          <w:rFonts w:ascii="仿宋" w:eastAsia="仿宋" w:hAnsi="仿宋" w:cs="仿宋" w:hint="eastAsia"/>
          <w:sz w:val="21"/>
          <w:szCs w:val="21"/>
        </w:rPr>
        <w:t>技术升级需求：适配智能张拉、数字化灌浆等新技术应用，引导行业技术迭代。</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377D9607"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ED76D9" w:rsidRPr="00ED76D9">
        <w:rPr>
          <w:rFonts w:ascii="仿宋" w:eastAsia="仿宋" w:hAnsi="仿宋" w:cs="仿宋" w:hint="eastAsia"/>
          <w:szCs w:val="21"/>
        </w:rPr>
        <w:t>浙江省建设工程质量检验站有限公司</w:t>
      </w:r>
      <w:r>
        <w:rPr>
          <w:rFonts w:ascii="仿宋" w:eastAsia="仿宋" w:hAnsi="仿宋" w:cs="仿宋" w:hint="eastAsia"/>
          <w:szCs w:val="21"/>
        </w:rPr>
        <w:t>提出，中国西部开发促进会归口。</w:t>
      </w:r>
    </w:p>
    <w:p w14:paraId="5614665B" w14:textId="1F4F38C8"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ED76D9" w:rsidRPr="00ED76D9">
        <w:rPr>
          <w:rFonts w:ascii="仿宋" w:eastAsia="仿宋" w:hAnsi="仿宋" w:cs="仿宋" w:hint="eastAsia"/>
          <w:szCs w:val="21"/>
        </w:rPr>
        <w:t>浙江省建设工程质量检验站有限公司</w:t>
      </w:r>
      <w:r w:rsidR="00ED76D9">
        <w:rPr>
          <w:rFonts w:ascii="仿宋" w:eastAsia="仿宋" w:hAnsi="仿宋" w:cs="仿宋" w:hint="eastAsia"/>
          <w:szCs w:val="21"/>
        </w:rPr>
        <w:t>、</w:t>
      </w:r>
      <w:r w:rsidR="00ED76D9" w:rsidRPr="00ED76D9">
        <w:rPr>
          <w:rFonts w:ascii="仿宋" w:eastAsia="仿宋" w:hAnsi="仿宋" w:cs="仿宋" w:hint="eastAsia"/>
          <w:szCs w:val="21"/>
        </w:rPr>
        <w:t>海盐县滨海工程检测有限公司</w:t>
      </w:r>
      <w:r w:rsidR="00ED76D9">
        <w:rPr>
          <w:rFonts w:ascii="仿宋" w:eastAsia="仿宋" w:hAnsi="仿宋" w:cs="仿宋" w:hint="eastAsia"/>
          <w:szCs w:val="21"/>
        </w:rPr>
        <w:t>、</w:t>
      </w:r>
      <w:r w:rsidR="00ED76D9" w:rsidRPr="00ED76D9">
        <w:rPr>
          <w:rFonts w:ascii="仿宋" w:eastAsia="仿宋" w:hAnsi="仿宋" w:cs="仿宋" w:hint="eastAsia"/>
          <w:szCs w:val="21"/>
        </w:rPr>
        <w:t>海盐县交通投资集团有限公司</w:t>
      </w:r>
      <w:r w:rsidR="00ED76D9">
        <w:rPr>
          <w:rFonts w:ascii="仿宋" w:eastAsia="仿宋" w:hAnsi="仿宋" w:cs="仿宋" w:hint="eastAsia"/>
          <w:szCs w:val="21"/>
        </w:rPr>
        <w:t>、</w:t>
      </w:r>
      <w:r w:rsidR="00ED76D9" w:rsidRPr="00ED76D9">
        <w:rPr>
          <w:rFonts w:ascii="仿宋" w:eastAsia="仿宋" w:hAnsi="仿宋" w:cs="仿宋" w:hint="eastAsia"/>
          <w:szCs w:val="21"/>
        </w:rPr>
        <w:t>浙江姜恒建设工程管理有限公司</w:t>
      </w:r>
      <w:r w:rsidR="00ED76D9">
        <w:rPr>
          <w:rFonts w:ascii="仿宋" w:eastAsia="仿宋" w:hAnsi="仿宋" w:cs="仿宋" w:hint="eastAsia"/>
          <w:szCs w:val="21"/>
        </w:rPr>
        <w:t>、</w:t>
      </w:r>
      <w:r w:rsidR="00ED76D9" w:rsidRPr="00ED76D9">
        <w:rPr>
          <w:rFonts w:ascii="仿宋" w:eastAsia="仿宋" w:hAnsi="仿宋" w:cs="仿宋" w:hint="eastAsia"/>
          <w:szCs w:val="21"/>
        </w:rPr>
        <w:t>浙江富水建设有限公司</w:t>
      </w:r>
      <w:r w:rsidR="00ED76D9">
        <w:rPr>
          <w:rFonts w:ascii="仿宋" w:eastAsia="仿宋" w:hAnsi="仿宋" w:cs="仿宋" w:hint="eastAsia"/>
          <w:szCs w:val="21"/>
        </w:rPr>
        <w:t>、</w:t>
      </w:r>
      <w:r w:rsidR="00ED76D9" w:rsidRPr="00ED76D9">
        <w:rPr>
          <w:rFonts w:ascii="仿宋" w:eastAsia="仿宋" w:hAnsi="仿宋" w:cs="仿宋" w:hint="eastAsia"/>
          <w:szCs w:val="21"/>
        </w:rPr>
        <w:t>绍兴康成装饰有限公司</w:t>
      </w:r>
      <w:r w:rsidR="00ED76D9">
        <w:rPr>
          <w:rFonts w:ascii="仿宋" w:eastAsia="仿宋" w:hAnsi="仿宋" w:cs="仿宋" w:hint="eastAsia"/>
          <w:szCs w:val="21"/>
        </w:rPr>
        <w:t>、</w:t>
      </w:r>
      <w:r w:rsidR="00ED76D9" w:rsidRPr="00ED76D9">
        <w:rPr>
          <w:rFonts w:ascii="仿宋" w:eastAsia="仿宋" w:hAnsi="仿宋" w:cs="仿宋" w:hint="eastAsia"/>
          <w:szCs w:val="21"/>
        </w:rPr>
        <w:t>浙江凯拓市政园林工程有限公司</w:t>
      </w:r>
      <w:r w:rsidR="00ED76D9">
        <w:rPr>
          <w:rFonts w:ascii="仿宋" w:eastAsia="仿宋" w:hAnsi="仿宋" w:cs="仿宋" w:hint="eastAsia"/>
          <w:szCs w:val="21"/>
        </w:rPr>
        <w:t>、</w:t>
      </w:r>
      <w:r w:rsidR="00ED76D9" w:rsidRPr="00ED76D9">
        <w:rPr>
          <w:rFonts w:ascii="仿宋" w:eastAsia="仿宋" w:hAnsi="仿宋" w:cs="仿宋" w:hint="eastAsia"/>
          <w:szCs w:val="21"/>
        </w:rPr>
        <w:t>广西乐业宏乐产业发展集团有限公司</w:t>
      </w:r>
      <w:r w:rsidR="00ED76D9">
        <w:rPr>
          <w:rFonts w:ascii="仿宋" w:eastAsia="仿宋" w:hAnsi="仿宋" w:cs="仿宋" w:hint="eastAsia"/>
          <w:szCs w:val="21"/>
        </w:rPr>
        <w:t>、</w:t>
      </w:r>
      <w:r w:rsidR="00ED76D9" w:rsidRPr="00ED76D9">
        <w:rPr>
          <w:rFonts w:ascii="仿宋" w:eastAsia="仿宋" w:hAnsi="仿宋" w:cs="仿宋" w:hint="eastAsia"/>
          <w:szCs w:val="21"/>
        </w:rPr>
        <w:t>洛阳石化工程设计有限公司</w:t>
      </w:r>
      <w:r w:rsidR="00ED76D9">
        <w:rPr>
          <w:rFonts w:ascii="仿宋" w:eastAsia="仿宋" w:hAnsi="仿宋" w:cs="仿宋" w:hint="eastAsia"/>
          <w:szCs w:val="21"/>
        </w:rPr>
        <w:t>、</w:t>
      </w:r>
      <w:r w:rsidR="00ED76D9" w:rsidRPr="00ED76D9">
        <w:rPr>
          <w:rFonts w:ascii="仿宋" w:eastAsia="仿宋" w:hAnsi="仿宋" w:cs="仿宋" w:hint="eastAsia"/>
          <w:szCs w:val="21"/>
        </w:rPr>
        <w:t>营特国际工程咨询集团有限公司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45EAFD30" w14:textId="77777777" w:rsidR="007D5EB4" w:rsidRDefault="00000000" w:rsidP="007D5EB4">
      <w:pPr>
        <w:pStyle w:val="affb"/>
        <w:rPr>
          <w:rFonts w:ascii="仿宋" w:eastAsia="仿宋" w:hAnsi="仿宋" w:cs="仿宋"/>
          <w:szCs w:val="21"/>
        </w:rPr>
      </w:pPr>
      <w:r>
        <w:rPr>
          <w:rFonts w:ascii="仿宋" w:eastAsia="仿宋" w:hAnsi="仿宋" w:cs="仿宋" w:hint="eastAsia"/>
          <w:szCs w:val="21"/>
        </w:rPr>
        <w:t>组建专项调研小组</w:t>
      </w:r>
      <w:r w:rsidR="007D5EB4" w:rsidRPr="007D5EB4">
        <w:rPr>
          <w:rFonts w:ascii="仿宋" w:eastAsia="仿宋" w:hAnsi="仿宋" w:cs="仿宋"/>
          <w:szCs w:val="21"/>
        </w:rPr>
        <w:t>赴全国多省市建筑工程现场调研，收集预应力混凝土结构施工痛点、质量通病、智能技术应用案例；</w:t>
      </w:r>
    </w:p>
    <w:p w14:paraId="10C6B3E8" w14:textId="77777777" w:rsidR="007D5EB4" w:rsidRDefault="007D5EB4" w:rsidP="007D5EB4">
      <w:pPr>
        <w:pStyle w:val="affb"/>
        <w:rPr>
          <w:rFonts w:ascii="仿宋" w:eastAsia="仿宋" w:hAnsi="仿宋" w:cs="仿宋"/>
          <w:szCs w:val="21"/>
        </w:rPr>
      </w:pPr>
      <w:r w:rsidRPr="007D5EB4">
        <w:rPr>
          <w:rFonts w:ascii="仿宋" w:eastAsia="仿宋" w:hAnsi="仿宋" w:cs="仿宋"/>
          <w:szCs w:val="21"/>
        </w:rPr>
        <w:t>系统梳理国内外相关标准与技术文献，分析先张法、后张法（有粘结、无粘结）施工核心技术要点；</w:t>
      </w:r>
    </w:p>
    <w:p w14:paraId="0205E1E5" w14:textId="62FFF77F" w:rsidR="00DD042A" w:rsidRDefault="007D5EB4" w:rsidP="007D5EB4">
      <w:pPr>
        <w:pStyle w:val="affb"/>
        <w:rPr>
          <w:rFonts w:ascii="仿宋" w:eastAsia="仿宋" w:hAnsi="仿宋" w:cs="仿宋" w:hint="eastAsia"/>
          <w:szCs w:val="21"/>
        </w:rPr>
      </w:pPr>
      <w:r w:rsidRPr="007D5EB4">
        <w:rPr>
          <w:rFonts w:ascii="仿宋" w:eastAsia="仿宋" w:hAnsi="仿宋" w:cs="仿宋"/>
          <w:szCs w:val="21"/>
        </w:rPr>
        <w:t>召开建筑结构、预应力施工、工程检测领域专家研讨会，明确标准编制核心框架与关键技术指标。</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4FB0F6A9"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ED76D9" w:rsidRPr="00ED76D9">
        <w:rPr>
          <w:rFonts w:ascii="仿宋" w:eastAsia="仿宋" w:hAnsi="仿宋" w:cs="仿宋" w:hint="eastAsia"/>
          <w:szCs w:val="21"/>
        </w:rPr>
        <w:t>建筑工程预应力混凝土结构施工质量控制规范</w:t>
      </w:r>
      <w:r>
        <w:rPr>
          <w:rFonts w:ascii="仿宋" w:eastAsia="仿宋" w:hAnsi="仿宋" w:cs="仿宋" w:hint="eastAsia"/>
          <w:szCs w:val="21"/>
        </w:rPr>
        <w:t>》团体标准编制工作；</w:t>
      </w:r>
    </w:p>
    <w:p w14:paraId="54F17021" w14:textId="7DE9C30C" w:rsidR="00DD042A" w:rsidRDefault="00000000">
      <w:pPr>
        <w:pStyle w:val="affb"/>
        <w:rPr>
          <w:rFonts w:ascii="仿宋" w:eastAsia="仿宋" w:hAnsi="仿宋" w:cs="仿宋" w:hint="eastAsia"/>
          <w:szCs w:val="21"/>
        </w:rPr>
      </w:pPr>
      <w:r>
        <w:rPr>
          <w:rFonts w:ascii="仿宋" w:eastAsia="仿宋" w:hAnsi="仿宋" w:cs="仿宋" w:hint="eastAsia"/>
          <w:szCs w:val="21"/>
        </w:rPr>
        <w:t>组建</w:t>
      </w:r>
      <w:r w:rsidR="007D5EB4" w:rsidRPr="007D5EB4">
        <w:rPr>
          <w:rFonts w:ascii="仿宋" w:eastAsia="仿宋" w:hAnsi="仿宋" w:cs="仿宋" w:hint="eastAsia"/>
          <w:szCs w:val="21"/>
        </w:rPr>
        <w:t>由建筑设计、施工企业、检测机构、科研院校等组成的标准起草工作组，</w:t>
      </w:r>
      <w:r>
        <w:rPr>
          <w:rFonts w:ascii="仿宋" w:eastAsia="仿宋" w:hAnsi="仿宋" w:cs="仿宋" w:hint="eastAsia"/>
          <w:szCs w:val="21"/>
        </w:rPr>
        <w:t>明确分工职责，制定“调研-起草-研讨-征求意见-定稿”的编制工作计划；</w:t>
      </w:r>
    </w:p>
    <w:p w14:paraId="5F7AB47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41903D61" w:rsidR="00DD042A" w:rsidRDefault="00000000">
      <w:pPr>
        <w:pStyle w:val="affb"/>
        <w:rPr>
          <w:rFonts w:ascii="仿宋" w:eastAsia="仿宋" w:hAnsi="仿宋" w:cs="仿宋" w:hint="eastAsia"/>
          <w:szCs w:val="21"/>
        </w:rPr>
      </w:pPr>
      <w:r>
        <w:rPr>
          <w:rFonts w:ascii="仿宋" w:eastAsia="仿宋" w:hAnsi="仿宋" w:cs="仿宋" w:hint="eastAsia"/>
          <w:szCs w:val="21"/>
        </w:rPr>
        <w:t>起草工作组结合调研数据与专家意见，</w:t>
      </w:r>
      <w:r w:rsidR="007D5EB4" w:rsidRPr="007D5EB4">
        <w:rPr>
          <w:rFonts w:ascii="仿宋" w:eastAsia="仿宋" w:hAnsi="仿宋" w:cs="仿宋"/>
          <w:szCs w:val="21"/>
        </w:rPr>
        <w:t>搭建标准整体框架，涵盖总则、施工准备、材料与设备、预应力筋制作安装、张拉放张、孔道灌浆封锚、质量验收、质量保证措施、安全环保等核心章节</w:t>
      </w:r>
      <w:r>
        <w:rPr>
          <w:rFonts w:ascii="仿宋" w:eastAsia="仿宋" w:hAnsi="仿宋" w:cs="仿宋" w:hint="eastAsia"/>
          <w:szCs w:val="21"/>
        </w:rPr>
        <w:t>；</w:t>
      </w:r>
    </w:p>
    <w:p w14:paraId="1BC6F67B" w14:textId="1DCE0362" w:rsidR="00DD042A" w:rsidRDefault="00000000">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第1部分：标准化文件的结构和起草规则》规定，细化各章节技术要求，</w:t>
      </w:r>
      <w:r w:rsidR="007D5EB4" w:rsidRPr="007D5EB4">
        <w:rPr>
          <w:rFonts w:ascii="仿宋" w:eastAsia="仿宋" w:hAnsi="仿宋" w:cs="仿宋"/>
          <w:szCs w:val="21"/>
        </w:rPr>
        <w:t>明确材料性能、张拉控制、伸长值偏差、灌浆密实度等关键参数</w:t>
      </w:r>
      <w:r>
        <w:rPr>
          <w:rFonts w:ascii="仿宋" w:eastAsia="仿宋" w:hAnsi="仿宋" w:cs="仿宋" w:hint="eastAsia"/>
          <w:szCs w:val="21"/>
        </w:rPr>
        <w:t>；</w:t>
      </w:r>
    </w:p>
    <w:p w14:paraId="19C09E25" w14:textId="2B603B5A" w:rsidR="00DD042A" w:rsidRDefault="00000000">
      <w:pPr>
        <w:pStyle w:val="affb"/>
        <w:rPr>
          <w:rFonts w:ascii="仿宋" w:eastAsia="仿宋" w:hAnsi="仿宋" w:cs="仿宋" w:hint="eastAsia"/>
          <w:szCs w:val="21"/>
        </w:rPr>
      </w:pPr>
      <w:r>
        <w:rPr>
          <w:rFonts w:ascii="仿宋" w:eastAsia="仿宋" w:hAnsi="仿宋" w:cs="仿宋" w:hint="eastAsia"/>
          <w:szCs w:val="21"/>
        </w:rPr>
        <w:t>完成标准草案初稿，组织内部研讨会，</w:t>
      </w:r>
      <w:r w:rsidR="007623A4" w:rsidRPr="007623A4">
        <w:rPr>
          <w:rFonts w:ascii="仿宋" w:eastAsia="仿宋" w:hAnsi="仿宋" w:cs="仿宋"/>
          <w:szCs w:val="21"/>
        </w:rPr>
        <w:t>优化施工工艺流程、质量验收节点等核心内容</w:t>
      </w:r>
      <w:r>
        <w:rPr>
          <w:rFonts w:ascii="仿宋" w:eastAsia="仿宋" w:hAnsi="仿宋" w:cs="仿宋" w:hint="eastAsia"/>
          <w:szCs w:val="21"/>
        </w:rPr>
        <w:t>，形成工作组讨论稿。</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55DFC3D0" w14:textId="77777777"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为全面验证本标准技术内容的科学性、可行性与适用性，编制组选取高层住宅、大跨度公共建筑、装配式建筑三类典型工程场景，针对先张法、后张法（有粘结、无粘结）两种主流预应力施工工艺开展多组试验验证。试验覆盖预应力筋、锚具、灌浆材料、张拉设备、施工工艺、结构受力等全链条关键环节，重点验证内容如下：</w:t>
      </w:r>
    </w:p>
    <w:p w14:paraId="0467ED44" w14:textId="77777777"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材料性能可靠性：预应力筋抗拉强度、屈服强度、伸长率，锚具硬度、静载锚固性能，灌浆水泥浆水胶比、流动度、泌水率、强度，混凝土强度及氯离子、碱含量指标。</w:t>
      </w:r>
    </w:p>
    <w:p w14:paraId="2205EFFE" w14:textId="77777777"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施工工艺适配性：预应力筋制作安装精度、预留孔道定位偏差、张拉控制应力与伸长值偏差、放张工艺合理性、孔道灌浆密实度、封锚防腐效果。</w:t>
      </w:r>
    </w:p>
    <w:p w14:paraId="58D4B625" w14:textId="77777777"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结构安全稳定性：构件抗裂性能、承载力、变形控制，张拉与放张过程结构应力分布、无裂缝产生、无异常变形。</w:t>
      </w:r>
    </w:p>
    <w:p w14:paraId="7C9213B0" w14:textId="735C7F3B" w:rsidR="00DD042A"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质量验收符合性：关键工序验收指标、检验批与分项工程验收判定、质量缺陷处理效果。</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286DF100" w14:textId="4BF920C5"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材料性能：预应力筋、锚具、灌浆材料、混凝土等关键材料进场复检合格率100%，性能指标均满足设计及GB/T 5224、GB/T 14370、GB 175等标准要求；无粘结预应力筋护套完整，无破损、划伤问题。</w:t>
      </w:r>
    </w:p>
    <w:p w14:paraId="1CC34307" w14:textId="35AC6869"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lastRenderedPageBreak/>
        <w:t>施工工艺：预应力筋下料长度、安装位置偏差符合规范要求，预留孔道中心线及标高偏差≤5mm；张拉实行应力与伸长值双控，实际伸长值与理论伸长值偏差控制在±6%以内，锚固后钢绞线回缩值≤5mm、钢筋≤2mm；灌浆在张拉后48h内完成，水泥浆强度≥30MPa，孔道灌浆饱满密实、无空洞，封锚混凝土外观完好、防腐到位。</w:t>
      </w:r>
    </w:p>
    <w:p w14:paraId="09EF1599" w14:textId="37B5DFC5" w:rsidR="008F0E02" w:rsidRPr="008F0E02"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结构安全：混凝土强度达到设计强度75%及以上方可张拉、放张，构件无裂缝、无变形、无滑移；结构承载力、抗裂性、刚度均满足设计要求，长期受力性能稳定。</w:t>
      </w:r>
    </w:p>
    <w:p w14:paraId="7B28D5A7" w14:textId="29A22F17" w:rsidR="00DD042A" w:rsidRDefault="008F0E02" w:rsidP="008F0E02">
      <w:pPr>
        <w:pStyle w:val="affb"/>
        <w:rPr>
          <w:rFonts w:ascii="仿宋" w:eastAsia="仿宋" w:hAnsi="仿宋" w:cs="仿宋" w:hint="eastAsia"/>
          <w:szCs w:val="21"/>
        </w:rPr>
      </w:pPr>
      <w:r w:rsidRPr="008F0E02">
        <w:rPr>
          <w:rFonts w:ascii="仿宋" w:eastAsia="仿宋" w:hAnsi="仿宋" w:cs="仿宋" w:hint="eastAsia"/>
          <w:szCs w:val="21"/>
        </w:rPr>
        <w:t>质量验收：检验批主控项目全部合格，一般项目合格率≥80%，工序验收一次通过率较传统施工提升20%以上，质量通病发生率显著降低。</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5D8CA270" w:rsidR="00DD042A" w:rsidRDefault="006827F7">
      <w:pPr>
        <w:pStyle w:val="affb"/>
        <w:rPr>
          <w:rFonts w:ascii="仿宋" w:eastAsia="仿宋" w:hAnsi="仿宋" w:cs="仿宋" w:hint="eastAsia"/>
          <w:b/>
          <w:bCs/>
          <w:szCs w:val="21"/>
        </w:rPr>
      </w:pPr>
      <w:r w:rsidRPr="006827F7">
        <w:rPr>
          <w:rFonts w:ascii="仿宋" w:eastAsia="仿宋" w:hAnsi="仿宋" w:cs="仿宋" w:hint="eastAsia"/>
          <w:szCs w:val="21"/>
        </w:rPr>
        <w:t>试验验证结果充分表明，本标准规定的施工流程、技术参数、质量控制、验收标准科学合理、可操作性强，完全适配建筑工程现浇及装配式预应力混凝土结构施工需求。标准能够有效解决预应力施工中张拉失控、灌浆不密实、封锚防腐不到位、验收标准不统一等常见质量问题，显著提升结构安全性、耐久性与可靠性，可在全国建筑工程领域推广应用。</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58165296"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工艺成熟可靠：标准基于国内大量工程实践总结提炼，先张法、后张法施工工艺均为行业成熟技术，操作流程清晰、工序衔接顺畅，无需特殊设备与复杂技术，适配各类施工企业现有装备与人员水平。</w:t>
      </w:r>
    </w:p>
    <w:p w14:paraId="6B6B28AB" w14:textId="6BD05E29"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标准衔接顺畅：全面符合GB 50204、GB 50666、GB 50107等国家现行规范，与设计、施工、监理、检测等环节无缝对接，无技术冲突与执行障碍。</w:t>
      </w:r>
    </w:p>
    <w:p w14:paraId="090422B5"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新技术兼容：纳入智能张拉、数字化灌浆、孔道密实度检测等先进技术，引导行业技术升级，同时保留传统工艺适用条款，兼顾不同企业技术能力。</w:t>
      </w:r>
    </w:p>
    <w:p w14:paraId="5F517164" w14:textId="7EB43385" w:rsidR="00DD042A"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质量可控性强：明确关键工序控制点、验收指标与判定标准，实行全过程闭环管理，有效降低人为操作误差，质量稳定性大幅提升。</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6DE5ABA9" w14:textId="7AC342B0"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造价成本优化：标准化施工减少材料浪费、返工损耗，预应力材料利用率提升3%~5%；施工流程简化，人工、机械投入降低8%~12%，单栋建筑预应力分项工程成本降低5%~10%。</w:t>
      </w:r>
    </w:p>
    <w:p w14:paraId="1EF77692" w14:textId="2FE25160"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工期效益显著：施工工序标准化、关键工序高效化，整体施工周期缩短10%~15%，加快项目竣工交付速度，降低资金占用与管理成本。</w:t>
      </w:r>
    </w:p>
    <w:p w14:paraId="168C8267" w14:textId="7FFA9451"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运维成本降低：结构质量提升、耐久性增强，后期裂缝修补、锚具防腐、构件加固等维护费用减少40%以上，结构使用寿命延长至50年以上，全生命周期成本显著下降。</w:t>
      </w:r>
    </w:p>
    <w:p w14:paraId="62B01750" w14:textId="27736836" w:rsidR="00DD042A"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综合效益突出：一次性投入标准化实施成本低，长期质量与运维收益高，经济效益优于传统粗放式施工模式。</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5A210089" w14:textId="4D7290EF" w:rsidR="00DD042A" w:rsidRDefault="00000000">
      <w:pPr>
        <w:pStyle w:val="affb"/>
        <w:rPr>
          <w:rFonts w:ascii="仿宋" w:eastAsia="仿宋" w:hAnsi="仿宋" w:cs="仿宋" w:hint="eastAsia"/>
          <w:szCs w:val="21"/>
        </w:rPr>
      </w:pPr>
      <w:r>
        <w:rPr>
          <w:rFonts w:ascii="仿宋" w:eastAsia="仿宋" w:hAnsi="仿宋" w:cs="仿宋" w:hint="eastAsia"/>
          <w:szCs w:val="21"/>
        </w:rPr>
        <w:t>工程层面：</w:t>
      </w:r>
      <w:r w:rsidR="006827F7" w:rsidRPr="006827F7">
        <w:rPr>
          <w:rFonts w:ascii="仿宋" w:eastAsia="仿宋" w:hAnsi="仿宋" w:cs="仿宋"/>
          <w:szCs w:val="21"/>
        </w:rPr>
        <w:t>减少返工、维修、加固费用，降低材料与人工损耗，单个预应力工程可节约直接成本数十万元；缩短工期加快资金回笼，提升项目投资回报率</w:t>
      </w:r>
      <w:r w:rsidR="008F0E02" w:rsidRPr="008F0E02">
        <w:rPr>
          <w:rFonts w:ascii="仿宋" w:eastAsia="仿宋" w:hAnsi="仿宋" w:cs="仿宋"/>
          <w:szCs w:val="21"/>
        </w:rPr>
        <w:t>；</w:t>
      </w:r>
    </w:p>
    <w:p w14:paraId="001A1801" w14:textId="7B3A9FC4" w:rsidR="008F0E02" w:rsidRDefault="00000000">
      <w:pPr>
        <w:pStyle w:val="affb"/>
        <w:rPr>
          <w:rFonts w:ascii="仿宋" w:eastAsia="仿宋" w:hAnsi="仿宋" w:cs="仿宋"/>
          <w:szCs w:val="21"/>
        </w:rPr>
      </w:pPr>
      <w:r>
        <w:rPr>
          <w:rFonts w:ascii="仿宋" w:eastAsia="仿宋" w:hAnsi="仿宋" w:cs="仿宋" w:hint="eastAsia"/>
          <w:szCs w:val="21"/>
        </w:rPr>
        <w:t>产业层面：</w:t>
      </w:r>
      <w:r w:rsidR="006827F7" w:rsidRPr="006827F7">
        <w:rPr>
          <w:rFonts w:ascii="仿宋" w:eastAsia="仿宋" w:hAnsi="仿宋" w:cs="仿宋" w:hint="eastAsia"/>
          <w:szCs w:val="21"/>
        </w:rPr>
        <w:t>规范预应力材料、张拉设备、灌浆系统等产业链市场，推动优质产品与技术普及，带动相关产业年产值提升，形成规模化、标准化产业格局</w:t>
      </w:r>
      <w:r w:rsidR="008F0E02" w:rsidRPr="008F0E02">
        <w:rPr>
          <w:rFonts w:ascii="仿宋" w:eastAsia="仿宋" w:hAnsi="仿宋" w:cs="仿宋"/>
          <w:szCs w:val="21"/>
        </w:rPr>
        <w:t>；</w:t>
      </w:r>
    </w:p>
    <w:p w14:paraId="76AD3C0C" w14:textId="63283422" w:rsidR="00DD042A" w:rsidRDefault="00000000">
      <w:pPr>
        <w:pStyle w:val="affb"/>
        <w:rPr>
          <w:rFonts w:ascii="仿宋" w:eastAsia="仿宋" w:hAnsi="仿宋" w:cs="仿宋" w:hint="eastAsia"/>
          <w:szCs w:val="21"/>
        </w:rPr>
      </w:pPr>
      <w:r>
        <w:rPr>
          <w:rFonts w:ascii="仿宋" w:eastAsia="仿宋" w:hAnsi="仿宋" w:cs="仿宋" w:hint="eastAsia"/>
          <w:szCs w:val="21"/>
        </w:rPr>
        <w:t>运维层面：</w:t>
      </w:r>
      <w:r w:rsidR="006827F7" w:rsidRPr="006827F7">
        <w:rPr>
          <w:rFonts w:ascii="仿宋" w:eastAsia="仿宋" w:hAnsi="仿宋" w:cs="仿宋"/>
          <w:szCs w:val="21"/>
        </w:rPr>
        <w:t>结构安全性与耐久性提升，降低建筑全生命周期使用成本，减少业主后期维修投入，提升建筑资产价值。</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14B891CF"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保障结构安全：严格控制预应力施工质量，避免因张拉、灌浆、封锚缺陷引发的结构安全隐患，保障公共建筑与住宅建筑使用安全，保护人民群众生命财产安全。</w:t>
      </w:r>
    </w:p>
    <w:p w14:paraId="07BE65AE"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规范行业秩序：统一施工质量控制与验收标准，解决各地执行尺度不一、质量参差不齐问题，遏制低价低质恶性竞争，推动建筑行业健康有序发展。</w:t>
      </w:r>
    </w:p>
    <w:p w14:paraId="2E4F6F85"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lastRenderedPageBreak/>
        <w:t>提升工程品质：助力高品质建筑、绿色建筑、装配式建筑发展，提升我国建筑工程整体质量水平，增强行业国际竞争力。</w:t>
      </w:r>
    </w:p>
    <w:p w14:paraId="731C5A8B" w14:textId="38761AB5" w:rsidR="00DD042A"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推动技术进步：推广标准化、智能化预应力施工技术，培养专业技术人员队伍，提升行业整体技术能力与管理水平。</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2A415863" w14:textId="296F0FC9"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低碳节能降耗：减少施工返工与材料浪费，降低水泥、钢材、砂石等建材消耗，减少生产加工环节碳排放；标准化施工降低能源消耗，助力建筑业“双碳”目标实现。</w:t>
      </w:r>
    </w:p>
    <w:p w14:paraId="27E8A6C2" w14:textId="77777777" w:rsidR="006827F7" w:rsidRPr="006827F7"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绿色施工减排：规范施工扬尘、噪声、废水、废弃物管控，减少施工现场环境污染；材料密闭存放、废水沉淀处理、废弃物集中清运，提升施工现场环保水平。</w:t>
      </w:r>
    </w:p>
    <w:p w14:paraId="62991666" w14:textId="23521D52" w:rsidR="00DD042A" w:rsidRDefault="006827F7" w:rsidP="006827F7">
      <w:pPr>
        <w:pStyle w:val="affb"/>
        <w:rPr>
          <w:rFonts w:ascii="仿宋" w:eastAsia="仿宋" w:hAnsi="仿宋" w:cs="仿宋" w:hint="eastAsia"/>
          <w:szCs w:val="21"/>
        </w:rPr>
      </w:pPr>
      <w:r w:rsidRPr="006827F7">
        <w:rPr>
          <w:rFonts w:ascii="仿宋" w:eastAsia="仿宋" w:hAnsi="仿宋" w:cs="仿宋" w:hint="eastAsia"/>
          <w:szCs w:val="21"/>
        </w:rPr>
        <w:t>延长结构寿命：高质量预应力结构耐久性更强，减少建筑拆除、重建频率，降低建筑垃圾产生，节约土地与资源，推动绿色低碳建筑发展。</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77777777"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（一）总则</w:t>
      </w:r>
    </w:p>
    <w:p w14:paraId="7F3E04B9" w14:textId="3CC1A98B" w:rsidR="00DD042A" w:rsidRDefault="008F0E02">
      <w:pPr>
        <w:pStyle w:val="affffffff"/>
        <w:adjustRightInd w:val="0"/>
        <w:snapToGrid w:val="0"/>
        <w:ind w:firstLine="420"/>
        <w:rPr>
          <w:rFonts w:ascii="仿宋" w:eastAsia="仿宋" w:hAnsi="仿宋" w:cs="仿宋" w:hint="eastAsia"/>
          <w:szCs w:val="21"/>
        </w:rPr>
      </w:pPr>
      <w:r w:rsidRPr="008F0E02">
        <w:rPr>
          <w:rFonts w:ascii="仿宋" w:eastAsia="仿宋" w:hAnsi="仿宋" w:cs="仿宋" w:hint="eastAsia"/>
          <w:szCs w:val="21"/>
        </w:rPr>
        <w:t>明确标准适用范围为建筑工程现浇、装配式预应力混凝土结构及构件安装的先张法、后张法（有粘结、无粘结）施工质量控制与验收；确立安全可靠、技术先进、过程可控、绿色环保的基本原则。</w:t>
      </w:r>
    </w:p>
    <w:p w14:paraId="421071DE" w14:textId="419E7A11"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8F0E02" w:rsidRPr="008F0E02">
        <w:rPr>
          <w:rFonts w:ascii="仿宋" w:eastAsia="仿宋" w:hAnsi="仿宋" w:cs="仿宋"/>
          <w:b/>
          <w:bCs/>
          <w:szCs w:val="21"/>
        </w:rPr>
        <w:t>施工准备质量控制</w:t>
      </w:r>
    </w:p>
    <w:p w14:paraId="64A47A41" w14:textId="134EBABF" w:rsidR="00DD042A" w:rsidRDefault="008F0E02">
      <w:pPr>
        <w:pStyle w:val="affffffff"/>
        <w:adjustRightInd w:val="0"/>
        <w:snapToGrid w:val="0"/>
        <w:ind w:firstLine="420"/>
        <w:rPr>
          <w:rFonts w:ascii="仿宋" w:eastAsia="仿宋" w:hAnsi="仿宋" w:cs="仿宋" w:hint="eastAsia"/>
          <w:szCs w:val="21"/>
        </w:rPr>
      </w:pPr>
      <w:r w:rsidRPr="008F0E02">
        <w:rPr>
          <w:rFonts w:ascii="仿宋" w:eastAsia="仿宋" w:hAnsi="仿宋" w:cs="仿宋"/>
          <w:szCs w:val="21"/>
        </w:rPr>
        <w:t>涵盖技术准备、现场准备、人员准备、资料准备四大模块。技术准备要求完成图纸会审、专项方案编制审批、技术交底；现场准备要求规范作业场地、张拉防护、台座与孔道定位；人员准备要求作业人员培训考核、持证上岗；资料准备要求完善施工图纸、检验报告、验收表格等。</w:t>
      </w:r>
    </w:p>
    <w:p w14:paraId="3B094647" w14:textId="1CB9B387"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8F0E02" w:rsidRPr="008F0E02">
        <w:rPr>
          <w:rFonts w:ascii="仿宋" w:eastAsia="仿宋" w:hAnsi="仿宋" w:cs="仿宋"/>
          <w:b/>
          <w:bCs/>
          <w:szCs w:val="21"/>
        </w:rPr>
        <w:t>材料与设备质量控制</w:t>
      </w:r>
    </w:p>
    <w:p w14:paraId="46A956D2" w14:textId="05F8DA9C" w:rsidR="00DD042A" w:rsidRDefault="008F0E02">
      <w:pPr>
        <w:pStyle w:val="affffffff"/>
        <w:adjustRightInd w:val="0"/>
        <w:snapToGrid w:val="0"/>
        <w:ind w:firstLine="420"/>
        <w:rPr>
          <w:rFonts w:ascii="仿宋" w:eastAsia="仿宋" w:hAnsi="仿宋" w:cs="仿宋" w:hint="eastAsia"/>
          <w:szCs w:val="21"/>
        </w:rPr>
      </w:pPr>
      <w:r w:rsidRPr="008F0E02">
        <w:rPr>
          <w:rFonts w:ascii="仿宋" w:eastAsia="仿宋" w:hAnsi="仿宋" w:cs="仿宋"/>
          <w:szCs w:val="21"/>
        </w:rPr>
        <w:t>明确预应力筋、锚具夹具、灌浆材料、混凝土材料、施工设备的进场检验、储存使用、性能指标要求。预应力筋需检验抗拉强度等指标，锚具需做硬度与静载锚固试验，张拉设备需定期配套校验，确保材料与设备合格可用。</w:t>
      </w:r>
    </w:p>
    <w:p w14:paraId="6214AE04" w14:textId="094B7040"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8F0E02" w:rsidRPr="008F0E02">
        <w:rPr>
          <w:rFonts w:ascii="仿宋" w:eastAsia="仿宋" w:hAnsi="仿宋" w:cs="仿宋"/>
          <w:b/>
          <w:bCs/>
          <w:szCs w:val="21"/>
        </w:rPr>
        <w:t>预应力筋制作与安装质量控制</w:t>
      </w:r>
    </w:p>
    <w:p w14:paraId="3DE1758D" w14:textId="35271AC7" w:rsidR="00DD042A" w:rsidRDefault="008F0E02">
      <w:pPr>
        <w:pStyle w:val="affffffff"/>
        <w:adjustRightInd w:val="0"/>
        <w:snapToGrid w:val="0"/>
        <w:ind w:firstLine="420"/>
        <w:rPr>
          <w:rFonts w:ascii="仿宋" w:eastAsia="仿宋" w:hAnsi="仿宋" w:cs="仿宋" w:hint="eastAsia"/>
          <w:szCs w:val="21"/>
        </w:rPr>
      </w:pPr>
      <w:r w:rsidRPr="008F0E02">
        <w:rPr>
          <w:rFonts w:ascii="仿宋" w:eastAsia="仿宋" w:hAnsi="仿宋" w:cs="仿宋"/>
          <w:szCs w:val="21"/>
        </w:rPr>
        <w:t>规定先张法与后张法预应力筋制作、安装工艺。预应力筋采用砂轮锯切割，严禁气割电焊；安装需保证顺直、位置准确，预留孔道通畅、定位牢固；无粘结预应力筋护套完整无破损，冲突时优先保证预应力筋位置。</w:t>
      </w:r>
    </w:p>
    <w:p w14:paraId="42D76358" w14:textId="05EC3FDC"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8F0E02" w:rsidRPr="008F0E02">
        <w:rPr>
          <w:rFonts w:ascii="仿宋" w:eastAsia="仿宋" w:hAnsi="仿宋" w:cs="仿宋"/>
          <w:b/>
          <w:bCs/>
          <w:szCs w:val="21"/>
        </w:rPr>
        <w:t>张拉与放张质量控制</w:t>
      </w:r>
    </w:p>
    <w:p w14:paraId="7EB4746C" w14:textId="4920F8CE" w:rsidR="00DD042A" w:rsidRDefault="008F0E02">
      <w:pPr>
        <w:pStyle w:val="affffffff"/>
        <w:adjustRightInd w:val="0"/>
        <w:snapToGrid w:val="0"/>
        <w:ind w:firstLine="420"/>
        <w:rPr>
          <w:rFonts w:ascii="仿宋" w:eastAsia="仿宋" w:hAnsi="仿宋" w:cs="仿宋" w:hint="eastAsia"/>
          <w:szCs w:val="21"/>
        </w:rPr>
      </w:pPr>
      <w:r w:rsidRPr="008F0E02">
        <w:rPr>
          <w:rFonts w:ascii="仿宋" w:eastAsia="仿宋" w:hAnsi="仿宋" w:cs="仿宋"/>
          <w:szCs w:val="21"/>
        </w:rPr>
        <w:t>明确张拉放张的混凝土强度条件、工艺要求、双控标准。张拉需分级进行、对称同步，实行张拉力与伸长值双控，偏差控制在±6%以内；放张需缓慢逐级进行，防止构件开裂；锚固后回缩值符合规范要求。</w:t>
      </w:r>
    </w:p>
    <w:p w14:paraId="338C761C" w14:textId="678FB3D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8F0E02" w:rsidRPr="008F0E02">
        <w:rPr>
          <w:rFonts w:ascii="仿宋" w:eastAsia="仿宋" w:hAnsi="仿宋" w:cs="仿宋"/>
          <w:b/>
          <w:bCs/>
          <w:szCs w:val="21"/>
        </w:rPr>
        <w:t>孔道灌浆及封锚质量控制</w:t>
      </w:r>
    </w:p>
    <w:p w14:paraId="129304D7" w14:textId="5218601C" w:rsidR="00DD042A" w:rsidRDefault="008F0E02">
      <w:pPr>
        <w:pStyle w:val="affffffff"/>
        <w:adjustRightInd w:val="0"/>
        <w:snapToGrid w:val="0"/>
        <w:ind w:firstLine="420"/>
        <w:rPr>
          <w:rFonts w:ascii="仿宋" w:eastAsia="仿宋" w:hAnsi="仿宋" w:cs="仿宋"/>
          <w:szCs w:val="21"/>
        </w:rPr>
      </w:pPr>
      <w:r w:rsidRPr="008F0E02">
        <w:rPr>
          <w:rFonts w:ascii="仿宋" w:eastAsia="仿宋" w:hAnsi="仿宋" w:cs="仿宋" w:hint="eastAsia"/>
          <w:szCs w:val="21"/>
        </w:rPr>
        <w:t>规定张拉后及时灌浆，水泥浆水胶比、流动度、泌水率达标，灌浆饱满密实；封锚前做好端部防腐，采用无收缩混凝土，确保封锚密实、防腐到位，保障预应力筋耐久性。</w:t>
      </w:r>
    </w:p>
    <w:p w14:paraId="68FF615A" w14:textId="3710797A" w:rsidR="008F0E02" w:rsidRDefault="008F0E02" w:rsidP="008F0E02">
      <w:pPr>
        <w:pStyle w:val="affffffff"/>
        <w:adjustRightInd w:val="0"/>
        <w:snapToGrid w:val="0"/>
        <w:ind w:firstLine="422"/>
        <w:rPr>
          <w:rFonts w:ascii="仿宋" w:eastAsia="仿宋" w:hAnsi="仿宋" w:cs="仿宋"/>
          <w:b/>
          <w:bCs/>
          <w:szCs w:val="21"/>
        </w:rPr>
      </w:pPr>
      <w:r w:rsidRPr="008F0E02">
        <w:rPr>
          <w:rFonts w:ascii="仿宋" w:eastAsia="仿宋" w:hAnsi="仿宋" w:cs="仿宋"/>
          <w:b/>
          <w:bCs/>
          <w:szCs w:val="21"/>
        </w:rPr>
        <w:t>（七）质量检验与验收</w:t>
      </w:r>
    </w:p>
    <w:p w14:paraId="2CD06EE7" w14:textId="37FEC427" w:rsidR="008F0E02" w:rsidRDefault="008F0E02" w:rsidP="008F0E02">
      <w:pPr>
        <w:pStyle w:val="affffffff"/>
        <w:adjustRightInd w:val="0"/>
        <w:snapToGrid w:val="0"/>
        <w:ind w:firstLine="420"/>
        <w:rPr>
          <w:rFonts w:ascii="仿宋" w:eastAsia="仿宋" w:hAnsi="仿宋" w:cs="仿宋"/>
          <w:szCs w:val="21"/>
        </w:rPr>
      </w:pPr>
      <w:r w:rsidRPr="008F0E02">
        <w:rPr>
          <w:rFonts w:ascii="仿宋" w:eastAsia="仿宋" w:hAnsi="仿宋" w:cs="仿宋" w:hint="eastAsia"/>
          <w:szCs w:val="21"/>
        </w:rPr>
        <w:t>划分检验批、分项工程验收层级，明确主控项目与一般项目合格标准。主控项目包括材料合格、强度达标、张拉与灌浆质量合格；一般项目管控外观与尺寸偏差；质量缺陷按要求整改并留存记录。</w:t>
      </w:r>
    </w:p>
    <w:p w14:paraId="328F7C0B" w14:textId="4023E10C" w:rsidR="008F0E02" w:rsidRPr="008F0E02" w:rsidRDefault="008F0E02" w:rsidP="008F0E02">
      <w:pPr>
        <w:pStyle w:val="affffffff"/>
        <w:adjustRightInd w:val="0"/>
        <w:snapToGrid w:val="0"/>
        <w:ind w:firstLine="422"/>
        <w:rPr>
          <w:rFonts w:ascii="仿宋" w:eastAsia="仿宋" w:hAnsi="仿宋" w:cs="仿宋"/>
          <w:szCs w:val="21"/>
        </w:rPr>
      </w:pPr>
      <w:r w:rsidRPr="008F0E02">
        <w:rPr>
          <w:rFonts w:ascii="仿宋" w:eastAsia="仿宋" w:hAnsi="仿宋" w:cs="仿宋" w:hint="eastAsia"/>
          <w:b/>
          <w:bCs/>
          <w:szCs w:val="21"/>
        </w:rPr>
        <w:t>（</w:t>
      </w:r>
      <w:r w:rsidRPr="008F0E02">
        <w:rPr>
          <w:rFonts w:ascii="仿宋" w:eastAsia="仿宋" w:hAnsi="仿宋" w:cs="仿宋"/>
          <w:b/>
          <w:bCs/>
          <w:szCs w:val="21"/>
        </w:rPr>
        <w:t>八）质量保证措施</w:t>
      </w:r>
    </w:p>
    <w:p w14:paraId="45968E3C" w14:textId="77777777" w:rsidR="008F0E02" w:rsidRPr="008F0E02" w:rsidRDefault="008F0E02" w:rsidP="008F0E02">
      <w:pPr>
        <w:pStyle w:val="affffffff"/>
        <w:adjustRightInd w:val="0"/>
        <w:snapToGrid w:val="0"/>
        <w:ind w:firstLine="420"/>
        <w:rPr>
          <w:rFonts w:ascii="仿宋" w:eastAsia="仿宋" w:hAnsi="仿宋" w:cs="仿宋"/>
          <w:szCs w:val="21"/>
        </w:rPr>
      </w:pPr>
      <w:r w:rsidRPr="008F0E02">
        <w:rPr>
          <w:rFonts w:ascii="仿宋" w:eastAsia="仿宋" w:hAnsi="仿宋" w:cs="仿宋"/>
          <w:szCs w:val="21"/>
        </w:rPr>
        <w:t>建立质量管理体系，落实三级检查、联合巡检制度；强化技术交底、样板引路、材料溯源、设备校验、工序管控、人员培训、资料追溯、成品保护全流程保障，实行质量奖惩与考核。</w:t>
      </w:r>
    </w:p>
    <w:p w14:paraId="3BDB5E47" w14:textId="77777777" w:rsidR="008F0E02" w:rsidRPr="008F0E02" w:rsidRDefault="008F0E02" w:rsidP="008F0E02">
      <w:pPr>
        <w:pStyle w:val="affffffff"/>
        <w:adjustRightInd w:val="0"/>
        <w:snapToGrid w:val="0"/>
        <w:ind w:firstLine="422"/>
        <w:rPr>
          <w:rFonts w:ascii="仿宋" w:eastAsia="仿宋" w:hAnsi="仿宋" w:cs="仿宋"/>
          <w:szCs w:val="21"/>
        </w:rPr>
      </w:pPr>
      <w:r w:rsidRPr="008F0E02">
        <w:rPr>
          <w:rFonts w:ascii="仿宋" w:eastAsia="仿宋" w:hAnsi="仿宋" w:cs="仿宋"/>
          <w:b/>
          <w:bCs/>
          <w:szCs w:val="21"/>
        </w:rPr>
        <w:t>（九）安全与环境保护、运行与维护</w:t>
      </w:r>
    </w:p>
    <w:p w14:paraId="69BC9265" w14:textId="77777777" w:rsidR="008F0E02" w:rsidRPr="008F0E02" w:rsidRDefault="008F0E02" w:rsidP="008F0E02">
      <w:pPr>
        <w:pStyle w:val="affffffff"/>
        <w:adjustRightInd w:val="0"/>
        <w:snapToGrid w:val="0"/>
        <w:ind w:firstLine="420"/>
        <w:rPr>
          <w:rFonts w:ascii="仿宋" w:eastAsia="仿宋" w:hAnsi="仿宋" w:cs="仿宋"/>
          <w:szCs w:val="21"/>
        </w:rPr>
      </w:pPr>
      <w:r w:rsidRPr="008F0E02">
        <w:rPr>
          <w:rFonts w:ascii="仿宋" w:eastAsia="仿宋" w:hAnsi="仿宋" w:cs="仿宋"/>
          <w:szCs w:val="21"/>
        </w:rPr>
        <w:lastRenderedPageBreak/>
        <w:t>规范张拉作业、机械用电、高空交叉作业安全要求，设置防护设施与警示标志；控制扬尘、噪声、废水排放，做好废弃物处理；制定应急预案，定期演练；明确成品保护与后期维护要求，保障结构长期安全使用。</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657EBF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ED76D9">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4D16" w14:textId="77777777" w:rsidR="00F33195" w:rsidRDefault="00F33195">
      <w:r>
        <w:separator/>
      </w:r>
    </w:p>
  </w:endnote>
  <w:endnote w:type="continuationSeparator" w:id="0">
    <w:p w14:paraId="65891D31" w14:textId="77777777" w:rsidR="00F33195" w:rsidRDefault="00F3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B2C2" w14:textId="77777777" w:rsidR="00F33195" w:rsidRDefault="00F33195">
      <w:r>
        <w:separator/>
      </w:r>
    </w:p>
  </w:footnote>
  <w:footnote w:type="continuationSeparator" w:id="0">
    <w:p w14:paraId="2F252132" w14:textId="77777777" w:rsidR="00F33195" w:rsidRDefault="00F3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76FE5"/>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8A1"/>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5F5914"/>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27F7"/>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23A4"/>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D5EB4"/>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0E02"/>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57CBF"/>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0F0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0DE7"/>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44D6"/>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6D9"/>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319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96223">
      <w:marLeft w:val="0"/>
      <w:marRight w:val="0"/>
      <w:marTop w:val="0"/>
      <w:marBottom w:val="0"/>
      <w:divBdr>
        <w:top w:val="none" w:sz="0" w:space="0" w:color="auto"/>
        <w:left w:val="none" w:sz="0" w:space="0" w:color="auto"/>
        <w:bottom w:val="none" w:sz="0" w:space="0" w:color="auto"/>
        <w:right w:val="none" w:sz="0" w:space="0" w:color="auto"/>
      </w:divBdr>
    </w:div>
    <w:div w:id="262152899">
      <w:marLeft w:val="0"/>
      <w:marRight w:val="0"/>
      <w:marTop w:val="0"/>
      <w:marBottom w:val="0"/>
      <w:divBdr>
        <w:top w:val="none" w:sz="0" w:space="0" w:color="auto"/>
        <w:left w:val="none" w:sz="0" w:space="0" w:color="auto"/>
        <w:bottom w:val="none" w:sz="0" w:space="0" w:color="auto"/>
        <w:right w:val="none" w:sz="0" w:space="0" w:color="auto"/>
      </w:divBdr>
    </w:div>
    <w:div w:id="1045449699">
      <w:marLeft w:val="0"/>
      <w:marRight w:val="0"/>
      <w:marTop w:val="0"/>
      <w:marBottom w:val="0"/>
      <w:divBdr>
        <w:top w:val="none" w:sz="0" w:space="0" w:color="auto"/>
        <w:left w:val="none" w:sz="0" w:space="0" w:color="auto"/>
        <w:bottom w:val="none" w:sz="0" w:space="0" w:color="auto"/>
        <w:right w:val="none" w:sz="0" w:space="0" w:color="auto"/>
      </w:divBdr>
    </w:div>
    <w:div w:id="1049034788">
      <w:marLeft w:val="0"/>
      <w:marRight w:val="0"/>
      <w:marTop w:val="0"/>
      <w:marBottom w:val="0"/>
      <w:divBdr>
        <w:top w:val="none" w:sz="0" w:space="0" w:color="auto"/>
        <w:left w:val="none" w:sz="0" w:space="0" w:color="auto"/>
        <w:bottom w:val="none" w:sz="0" w:space="0" w:color="auto"/>
        <w:right w:val="none" w:sz="0" w:space="0" w:color="auto"/>
      </w:divBdr>
    </w:div>
    <w:div w:id="1493132582">
      <w:marLeft w:val="0"/>
      <w:marRight w:val="0"/>
      <w:marTop w:val="0"/>
      <w:marBottom w:val="0"/>
      <w:divBdr>
        <w:top w:val="none" w:sz="0" w:space="0" w:color="auto"/>
        <w:left w:val="none" w:sz="0" w:space="0" w:color="auto"/>
        <w:bottom w:val="none" w:sz="0" w:space="0" w:color="auto"/>
        <w:right w:val="none" w:sz="0" w:space="0" w:color="auto"/>
      </w:divBdr>
    </w:div>
    <w:div w:id="1579703765">
      <w:marLeft w:val="0"/>
      <w:marRight w:val="0"/>
      <w:marTop w:val="0"/>
      <w:marBottom w:val="0"/>
      <w:divBdr>
        <w:top w:val="none" w:sz="0" w:space="0" w:color="auto"/>
        <w:left w:val="none" w:sz="0" w:space="0" w:color="auto"/>
        <w:bottom w:val="none" w:sz="0" w:space="0" w:color="auto"/>
        <w:right w:val="none" w:sz="0" w:space="0" w:color="auto"/>
      </w:divBdr>
    </w:div>
    <w:div w:id="1806772102">
      <w:marLeft w:val="0"/>
      <w:marRight w:val="0"/>
      <w:marTop w:val="0"/>
      <w:marBottom w:val="0"/>
      <w:divBdr>
        <w:top w:val="none" w:sz="0" w:space="0" w:color="auto"/>
        <w:left w:val="none" w:sz="0" w:space="0" w:color="auto"/>
        <w:bottom w:val="none" w:sz="0" w:space="0" w:color="auto"/>
        <w:right w:val="none" w:sz="0" w:space="0" w:color="auto"/>
      </w:divBdr>
    </w:div>
    <w:div w:id="1961303877">
      <w:marLeft w:val="0"/>
      <w:marRight w:val="0"/>
      <w:marTop w:val="0"/>
      <w:marBottom w:val="0"/>
      <w:divBdr>
        <w:top w:val="none" w:sz="0" w:space="0" w:color="auto"/>
        <w:left w:val="none" w:sz="0" w:space="0" w:color="auto"/>
        <w:bottom w:val="none" w:sz="0" w:space="0" w:color="auto"/>
        <w:right w:val="none" w:sz="0" w:space="0" w:color="auto"/>
      </w:divBdr>
    </w:div>
    <w:div w:id="1979456759">
      <w:marLeft w:val="0"/>
      <w:marRight w:val="0"/>
      <w:marTop w:val="0"/>
      <w:marBottom w:val="0"/>
      <w:divBdr>
        <w:top w:val="none" w:sz="0" w:space="0" w:color="auto"/>
        <w:left w:val="none" w:sz="0" w:space="0" w:color="auto"/>
        <w:bottom w:val="none" w:sz="0" w:space="0" w:color="auto"/>
        <w:right w:val="none" w:sz="0" w:space="0" w:color="auto"/>
      </w:divBdr>
    </w:div>
    <w:div w:id="207750919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0</TotalTime>
  <Pages>5</Pages>
  <Words>2561</Words>
  <Characters>2716</Characters>
  <Application>Microsoft Office Word</Application>
  <DocSecurity>0</DocSecurity>
  <Lines>113</Lines>
  <Paragraphs>150</Paragraphs>
  <ScaleCrop>false</ScaleCrop>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