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09995999"/>
      <w:bookmarkStart w:id="1" w:name="_Toc298938635"/>
      <w:bookmarkStart w:id="2" w:name="_Toc304825008"/>
      <w:bookmarkStart w:id="3" w:name="_Toc298937322"/>
      <w:bookmarkStart w:id="4" w:name="_Toc298937609"/>
      <w:bookmarkStart w:id="5" w:name="_Toc304825081"/>
      <w:bookmarkStart w:id="6" w:name="_Toc309997040"/>
      <w:bookmarkStart w:id="7" w:name="_Toc298923383"/>
      <w:bookmarkStart w:id="8" w:name="_Toc298937419"/>
      <w:bookmarkStart w:id="9" w:name="_Toc499110426"/>
      <w:bookmarkStart w:id="10" w:name="_Toc298938783"/>
      <w:bookmarkStart w:id="11" w:name="_Toc298936801"/>
      <w:bookmarkStart w:id="12" w:name="_Toc298937188"/>
      <w:bookmarkStart w:id="13" w:name="_Toc309993180"/>
      <w:bookmarkStart w:id="14" w:name="_Toc6138"/>
      <w:bookmarkStart w:id="15" w:name="_Toc304402664"/>
      <w:bookmarkStart w:id="16" w:name="_Toc37234703"/>
      <w:bookmarkStart w:id="17" w:name="_Toc309994551"/>
      <w:bookmarkStart w:id="18" w:name="_Toc298937100"/>
      <w:bookmarkStart w:id="19" w:name="_Toc309995472"/>
      <w:bookmarkStart w:id="20" w:name="_Toc298937201"/>
      <w:bookmarkStart w:id="21" w:name="_Toc310002637"/>
      <w:bookmarkStart w:id="22" w:name="_Toc298936924"/>
      <w:bookmarkStart w:id="23" w:name="_Toc298937357"/>
      <w:bookmarkStart w:id="24" w:name="_Toc298937276"/>
      <w:bookmarkStart w:id="25" w:name="_Toc309995390"/>
      <w:bookmarkStart w:id="26" w:name="_Toc298937152"/>
      <w:bookmarkStart w:id="27" w:name="_Toc298937462"/>
      <w:bookmarkStart w:id="28" w:name="_Toc304824969"/>
      <w:bookmarkStart w:id="29" w:name="_Toc298937167"/>
      <w:bookmarkStart w:id="30" w:name="_Toc304828066"/>
      <w:bookmarkStart w:id="31" w:name="_Toc309995578"/>
    </w:p>
    <w:p w14:paraId="705BFDC1">
      <w:pPr>
        <w:pStyle w:val="143"/>
        <w:numPr>
          <w:ilvl w:val="0"/>
          <w:numId w:val="0"/>
        </w:numPr>
        <w:spacing w:before="312" w:after="31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建筑电气系统功率因数优化技术规范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》团体标准编制说明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一</w:t>
      </w:r>
      <w:r>
        <w:rPr>
          <w:rFonts w:hint="eastAsia" w:ascii="仿宋" w:hAnsi="仿宋" w:eastAsia="仿宋" w:cs="仿宋"/>
          <w:b/>
          <w:bCs/>
          <w:szCs w:val="21"/>
        </w:rPr>
        <w:t>、任务来源</w:t>
      </w:r>
    </w:p>
    <w:p w14:paraId="2BD45F79">
      <w:pPr>
        <w:widowControl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szCs w:val="21"/>
        </w:rPr>
        <w:t>202</w:t>
      </w:r>
      <w:r>
        <w:rPr>
          <w:rFonts w:hint="eastAsia" w:ascii="仿宋" w:hAnsi="仿宋" w:eastAsia="仿宋" w:cs="仿宋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Cs w:val="21"/>
        </w:rPr>
        <w:t>月，中国西部开发促进会发布《</w:t>
      </w:r>
      <w:r>
        <w:rPr>
          <w:rFonts w:hint="eastAsia" w:ascii="仿宋" w:hAnsi="仿宋" w:eastAsia="仿宋" w:cs="仿宋"/>
          <w:szCs w:val="21"/>
          <w:lang w:eastAsia="zh-CN"/>
        </w:rPr>
        <w:t>建筑电气系统功率因数优化技术规范</w:t>
      </w:r>
      <w:r>
        <w:rPr>
          <w:rFonts w:hint="eastAsia" w:ascii="仿宋" w:hAnsi="仿宋" w:eastAsia="仿宋" w:cs="仿宋"/>
          <w:szCs w:val="21"/>
        </w:rPr>
        <w:t>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二</w:t>
      </w:r>
      <w:r>
        <w:rPr>
          <w:rFonts w:hint="eastAsia" w:ascii="仿宋" w:hAnsi="仿宋" w:eastAsia="仿宋" w:cs="仿宋"/>
          <w:b/>
          <w:bCs/>
          <w:szCs w:val="21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bookmarkStart w:id="32" w:name="_Toc298937549"/>
      <w:bookmarkEnd w:id="32"/>
      <w:bookmarkStart w:id="33" w:name="BT1"/>
      <w:bookmarkEnd w:id="33"/>
      <w:r>
        <w:rPr>
          <w:rFonts w:hint="eastAsia" w:ascii="仿宋" w:hAnsi="仿宋" w:eastAsia="仿宋" w:cs="仿宋"/>
          <w:b/>
          <w:bCs/>
          <w:color w:val="000000"/>
          <w:szCs w:val="21"/>
        </w:rPr>
        <w:t>1.目的</w:t>
      </w:r>
    </w:p>
    <w:p w14:paraId="02ED0CC6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统一建筑电气系统功率因数优化基本规定、负荷分析、补偿计算、设备选型、系统设计、施工安装、调试验收、检测评价、运行维护全流程技术要求；规范不同建筑类型、负荷特性、电压等级下的差异化补偿方案，提高补偿效果一致性、运行稳定性与数据可比性；补充动态补偿、谐波抑制、混合补偿等贴近工程实际的技术内容，提升系统能效与电能质量；为建筑电气设计、施工、检测、运维、监管及绿色节能评价提供统一、可落地、可核查的技术依据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38381B68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2.意义</w:t>
      </w:r>
    </w:p>
    <w:p w14:paraId="1C3D9695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程的制定与实施有利于规范建筑电气功率因数优化市场，解决方案不一、设计粗放、施工不规范、效果无法量化等问题；推广智能无功补偿、谐波兼容、动态投切、三级混合补偿等先进低碳技术，显著降低变压器损耗与线路损耗；建立统一的优化效果评价与节能核算方法，为节能补贴、绿色金融、CCER 项目提供技术支撑；降低建筑用电成本、保障供电安全、改善室内用电环境，助力城乡建设领域碳达峰碳中和目标实现。</w:t>
      </w:r>
    </w:p>
    <w:p w14:paraId="1A6555C0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3.必要性</w:t>
      </w:r>
    </w:p>
    <w:p w14:paraId="2A9DC960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我国既有与新建建筑规模巨大，建筑电气系统能耗占建筑总能耗比例高，变频器、LED、充电桩、UPS 等非线性负荷大量应用，导致自然功率因数偏低、无功损耗大、谐波污染突出、力率电费罚款频发，大量建筑存在补偿不合理、谐振风险高、设备故障率高、运维缺失等突出问题。</w:t>
      </w:r>
    </w:p>
    <w:p w14:paraId="3D7EEB5F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目前行业缺少覆盖全生命周期、分场景、可操作的建筑电气系统功率因数优化专项技术规范，现有标准多偏重新建配电设计或单一设备要求，未系统覆盖负荷诊断、容量精准计算、混合补偿、谐波兼容、调试评价、低碳运维等关键环节，导致设计施工各行其是、效果参差不齐。随着绿色建筑、超低能耗建筑、老旧小区改造与电网电能质量治理持续推进，行业对标准化、可量化、可核查的功率因数优化技术规范需求极为迫切。</w:t>
      </w:r>
    </w:p>
    <w:p w14:paraId="3FE7694B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制定本标准可填补国内专项标准空白，完善建筑电气节能与电能质量标准体系，对推动建筑领域节能降碳、保障用电安全具有重要现实意义。</w:t>
      </w:r>
    </w:p>
    <w:p w14:paraId="62348F23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三、起草单位和主要工作成员及其所作工作</w:t>
      </w:r>
    </w:p>
    <w:p w14:paraId="12D61796">
      <w:pPr>
        <w:pStyle w:val="30"/>
        <w:ind w:firstLine="0" w:firstLineChars="0"/>
        <w:rPr>
          <w:rFonts w:eastAsia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1.起草单位</w:t>
      </w:r>
    </w:p>
    <w:p w14:paraId="33722D0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本文件由中国西部开发促进会提出并归口。</w:t>
      </w:r>
    </w:p>
    <w:p w14:paraId="3F8B68C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本文件由潍坊学院、华南理工大学建筑设计研究院有限公司、中国葛洲坝集团机电建设有限公司、青岛万科房地产有限公司、中国铁路哈尔滨局集团有限公司、博先建设集团有限公司等</w:t>
      </w:r>
      <w:r>
        <w:rPr>
          <w:rFonts w:hint="eastAsia" w:ascii="仿宋" w:hAnsi="仿宋" w:eastAsia="仿宋" w:cs="仿宋"/>
          <w:szCs w:val="21"/>
          <w:lang w:bidi="zh-CN"/>
        </w:rPr>
        <w:t>共同</w:t>
      </w:r>
      <w:r>
        <w:rPr>
          <w:rFonts w:hint="eastAsia" w:ascii="仿宋" w:hAnsi="仿宋" w:eastAsia="仿宋" w:cs="仿宋"/>
          <w:szCs w:val="21"/>
        </w:rPr>
        <w:t>起草。</w:t>
      </w:r>
    </w:p>
    <w:p w14:paraId="6C2D1883">
      <w:pPr>
        <w:pStyle w:val="30"/>
        <w:ind w:firstLine="0" w:firstLineChars="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2.主要工作成员及其所做工作</w:t>
      </w:r>
    </w:p>
    <w:p w14:paraId="4F06396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本文件主要工作及工作职责见表1。</w:t>
      </w:r>
    </w:p>
    <w:p w14:paraId="0BB1C4A3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</w:p>
    <w:p w14:paraId="6CA2A8E8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表1 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潍坊学院、华南理工大学建筑设计研究院有限公司、中国葛洲坝集团机电建设有限公司、青岛万科房地产有限公司、中国铁路哈尔滨局集团有限公司、博先建设集团有限公司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等</w:t>
            </w:r>
          </w:p>
        </w:tc>
        <w:tc>
          <w:tcPr>
            <w:tcW w:w="5342" w:type="dxa"/>
          </w:tcPr>
          <w:p w14:paraId="50D897F4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项目主编单位，负责标准编制统筹规划、技术方案确定、条文起草、试验验证组织、标准内容审核与整体协调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提供产品应用数据与工程实践经验，提供检测验证数据。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四、标准的编制原则</w:t>
      </w:r>
    </w:p>
    <w:p w14:paraId="05199C8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五、标准编制过程</w:t>
      </w:r>
    </w:p>
    <w:p w14:paraId="6D1CE6A6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5.1 标准调研</w:t>
      </w:r>
    </w:p>
    <w:p w14:paraId="0205E1E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编制组系统梳理国内外建筑电气节能、功率因数治理、无功补偿、电能质量等相关标准与技术资料，调研住宅、办公、商业、医院、交通枢纽等典型建筑运行数据，梳理行业痛点、技术缺口与实施难点，形成调研分析报告。</w:t>
      </w:r>
    </w:p>
    <w:p w14:paraId="04940C1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5.2. 标准立项</w:t>
      </w:r>
    </w:p>
    <w:p w14:paraId="5F7AB47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基于调研成果，明确标准编制范围、核心技术内容、分级指标、评价方法与预期目标，完成立项申请、可行性论证及支撑材料编制，经中国西部开发促进会审核通过后正式立项</w:t>
      </w:r>
      <w:r>
        <w:rPr>
          <w:rFonts w:hint="eastAsia" w:ascii="仿宋" w:hAnsi="仿宋" w:eastAsia="仿宋" w:cs="仿宋"/>
          <w:szCs w:val="21"/>
        </w:rPr>
        <w:t>。</w:t>
      </w:r>
    </w:p>
    <w:p w14:paraId="72A91C8C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5.3 形成标准草案</w:t>
      </w:r>
    </w:p>
    <w:p w14:paraId="19C09E2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组建标准起草工作组，按照 GB/T 1.1—2020搭建标准框架，细化技术内容，结合既有建筑暖通改造实践完成草案初稿，经内部多轮研讨修改，形成标准草案。</w:t>
      </w:r>
    </w:p>
    <w:p w14:paraId="539B968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5.4 征求意见阶段</w:t>
      </w:r>
    </w:p>
    <w:p w14:paraId="475FFDA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起草组将标准征求意见稿发送至建筑设计、电气施工、监理咨询、检测机构、科研院所、供电及运维单位广泛征求意见，对反馈意见逐条梳理、分析、论证与处理，修改完善标准文本。</w:t>
      </w:r>
    </w:p>
    <w:p w14:paraId="2DBA691A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5.5 标准送审</w:t>
      </w:r>
    </w:p>
    <w:p w14:paraId="217C915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根据征求意见处理结果进一步完善标准内容，完成编制说明、意见汇总处理表等全套送审资料，报送团体标准审查委员会组织专家审查，根据审查意见修改完善后形成送审稿。</w:t>
      </w:r>
    </w:p>
    <w:p w14:paraId="6BA8A9F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5.6标准报批</w:t>
      </w:r>
    </w:p>
    <w:p w14:paraId="4633099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完善送审稿相关材料，按规定流程报送团体标准管理机构，经审核确认符合发布要求后，办理报批手续，确定标准发布编号、实施日期并正式发布。</w:t>
      </w:r>
    </w:p>
    <w:p w14:paraId="0431BCCE">
      <w:pPr>
        <w:pStyle w:val="30"/>
        <w:ind w:firstLine="0" w:firstLineChars="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08167EA7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 试验验证分析、综述报告</w:t>
      </w:r>
    </w:p>
    <w:p w14:paraId="3A88512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本标准技术内容依据现行国家标准与工程实测验证，覆盖负荷统计、补偿容量计算、集中 / 分组 / 就地/动态补偿、谐波抑制、投切控制、调试检测、运行评价等核心项目。通过对住宅、写字楼、商业综合体、医院、交通建筑等多类型建筑电气系统进行实测比对，验证数据充分。</w:t>
      </w:r>
    </w:p>
    <w:p w14:paraId="16F3AA0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验证表明：本规范规定的功率因数指标、补偿方式、容量计算、设备选型、施工调试、评价方法科学合理，系统运行稳定、节能效果显著、可操作性强，能够有效提升功率因数、降低损耗、改善电能质量，可为建筑电气节能优化提供可靠支撑。</w:t>
      </w:r>
    </w:p>
    <w:p w14:paraId="18AA6B2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 技术经济论证</w:t>
      </w:r>
    </w:p>
    <w:p w14:paraId="27EEBE1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技术上：构建 “设计 — 施工 — 调试 — 运维 — 改造” 全流程技术体系，采用分级指标、混合补偿、谐波兼容、动态调控等措施，解决功率因数偏低、补偿不合理、谐波干扰、损耗偏高等行业突出问题，提升建筑电气系统能效与安全水平。</w:t>
      </w:r>
    </w:p>
    <w:p w14:paraId="1381DED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经济上：统一技术门槛，减少不合理投资与重复改造，降低变压器损耗、线路损耗与力率电费，延长电气设备使用寿命，综合经济效益显著。</w:t>
      </w:r>
    </w:p>
    <w:p w14:paraId="5B6E846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 预期的经济效益</w:t>
      </w:r>
    </w:p>
    <w:p w14:paraId="0DE9E9F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实施后将产生显著经济效益：通过提升功率因数降低变压器与线路损耗，减少建筑用电成本；避免功率因数不达标导致的电费罚款与供电考核风险；减少电容器烧毁、谐波谐振、设备发热等故障，降低维修更换成本；提高电气系统承载能力，减少增容改造投入；推动节能型电气设备与高效补偿技术应用，促进建筑电气行业提质增效。</w:t>
      </w:r>
    </w:p>
    <w:p w14:paraId="7B8E6D30">
      <w:pPr>
        <w:pStyle w:val="30"/>
        <w:numPr>
          <w:ilvl w:val="0"/>
          <w:numId w:val="15"/>
        </w:num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社会效益和生态效益</w:t>
      </w:r>
    </w:p>
    <w:p w14:paraId="4C78368D">
      <w:pPr>
        <w:pStyle w:val="30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社会效益：本标准可有效提升建筑电气系统运行效率与供电安全性，降低设备过热、短路、火灾等安全隐患，保障建筑用电安全与公众生活秩序；统一功率因数优化技术要求，为绿色建筑评价、节能验收、电网电能质量治理、节能补贴、绿色金融、CCER 项目提供统一技术依据，规范设计、施工、运维市场秩序，提升建筑电气行业整体技术水平；推动建筑节能降碳技术普及，助力国家 “双碳” 目标落地，促进城乡建设领域安全高质量发展。</w:t>
      </w:r>
    </w:p>
    <w:p w14:paraId="4DDA3634">
      <w:pPr>
        <w:pStyle w:val="30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生态效益：本标准可显著降低建筑变压器损耗与线路损耗，减少电力系统一次能源消耗与二氧化碳、氮氧化物、烟尘等污染物排放；推广高效节能、低谐波、长寿命的电气设备与补偿装置，减少资源消耗与废弃物产生；通过优化运行降低设备温升与故障频率，延长系统与设备使用寿命，减少更新换代带来的资源浪费与建筑垃圾；推动建筑电气系统低碳化、高效化运行，助力生态环境保护与绿色可持续发展。</w:t>
      </w:r>
    </w:p>
    <w:p w14:paraId="10A20A3F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七、与国际、国外同类标准技术内容的对比情况。</w:t>
      </w:r>
    </w:p>
    <w:p w14:paraId="7A4EF88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</w:t>
      </w:r>
    </w:p>
    <w:p w14:paraId="718EB447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无。本文件自主制定。</w:t>
      </w:r>
    </w:p>
    <w:p w14:paraId="73EEA8A3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九、标准主要内容</w:t>
      </w:r>
    </w:p>
    <w:p w14:paraId="0588CED2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本文件共 11 章 + 规范性附录 A，主要内容包括：</w:t>
      </w:r>
    </w:p>
    <w:p w14:paraId="5D258391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1.范围：明确适用于各类建筑电气系统功率因数优化设计、施工、调试、运行、检测及改造。</w:t>
      </w:r>
    </w:p>
    <w:p w14:paraId="380EE3E9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2.规范性引用文件：引用正文明确使用的 GB/T 12326、GB/T 14549、GB/T 15543、GB 50016、GB 50171、GB 50303 等现行国家规范。</w:t>
      </w:r>
    </w:p>
    <w:p w14:paraId="1D027AB3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3.术语和定义：共 13 项核心术语，均给出英文名称。</w:t>
      </w:r>
    </w:p>
    <w:p w14:paraId="7B7E4D05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4.基本规定：明确总体原则、功率因数指标、电能质量约束、补偿方式选用原则。</w:t>
      </w:r>
    </w:p>
    <w:p w14:paraId="19807255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5.负荷特性分析与补偿容量计算：规定负荷分类、自然功率因数、计算公式、容量分配。</w:t>
      </w:r>
    </w:p>
    <w:p w14:paraId="3A0154F3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6.补偿装置选型与配置：明确电容器、电抗器、控制器、投切开关、保护配置要求。</w:t>
      </w:r>
    </w:p>
    <w:p w14:paraId="484F20DC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7.系统设计技术要求：规定设计流程、集中 / 分组 / 就地 / 动态补偿及谐波抑制、监控设计。</w:t>
      </w:r>
    </w:p>
    <w:p w14:paraId="72F139C3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8.施工与安装要求：明确设备安装、布线接线、接地、防火与安全要求。</w:t>
      </w:r>
    </w:p>
    <w:p w14:paraId="092ED8AB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9.调试与检测验收：规定调试条件、项目、方法与竣工验收要求。</w:t>
      </w:r>
    </w:p>
    <w:p w14:paraId="76E4A3C8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10.检测与评价方法：明确检测条件、项目、评价等级与报告要求。</w:t>
      </w:r>
    </w:p>
    <w:p w14:paraId="49DA24DB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11.运行与维护管理：明确运行监测、日常维护、故障处理、管理制度。</w:t>
      </w:r>
    </w:p>
    <w:p w14:paraId="4F729A66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附录 A（资料性）：建筑电气功率因数优化与无功补偿技术参数表。</w:t>
      </w:r>
      <w:bookmarkStart w:id="34" w:name="_GoBack"/>
      <w:bookmarkEnd w:id="34"/>
    </w:p>
    <w:p w14:paraId="4B662DE8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</w:p>
    <w:p w14:paraId="2545AB1A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十、与有关的现行法律、法规和强制性国家标准及相关标准协调配套情况</w:t>
      </w:r>
    </w:p>
    <w:p w14:paraId="3C228C48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十一、重大分歧意见的处理经过和依据</w:t>
      </w:r>
    </w:p>
    <w:p w14:paraId="106E5E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十二、标准作为强制性或推荐性标准的建议</w:t>
      </w:r>
    </w:p>
    <w:p w14:paraId="24C07FB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十三、贯彻标准的要求和措施建议，包括（组织措施、技术措施、过渡办法）</w:t>
      </w:r>
    </w:p>
    <w:p w14:paraId="29A31206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十四、废止现有有关标准的建议</w:t>
      </w:r>
    </w:p>
    <w:p w14:paraId="1C5211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58A38841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</w:p>
    <w:p w14:paraId="180512C4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团体标准工作组</w:t>
      </w:r>
    </w:p>
    <w:p w14:paraId="57A29966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202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Cs w:val="21"/>
        </w:rPr>
        <w:t>年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Cs w:val="21"/>
        </w:rPr>
        <w:t>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822ABC4"/>
    <w:multiLevelType w:val="singleLevel"/>
    <w:tmpl w:val="3822ABC4"/>
    <w:lvl w:ilvl="0" w:tentative="0">
      <w:start w:val="4"/>
      <w:numFmt w:val="decimal"/>
      <w:suff w:val="space"/>
      <w:lvlText w:val="%1."/>
      <w:lvlJc w:val="left"/>
    </w:lvl>
  </w:abstractNum>
  <w:abstractNum w:abstractNumId="5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6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7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9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1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2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4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4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13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3D82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548F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175DB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697E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1A95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B3D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69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3E6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5985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2FA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48E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08EC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77619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2CD9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78E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D74C4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92F1D"/>
    <w:rsid w:val="026E651E"/>
    <w:rsid w:val="02AA6CEC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211877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0FF63984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7B42CFB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AF5494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DF20AEF"/>
    <w:rsid w:val="2E257B1B"/>
    <w:rsid w:val="2E677AE4"/>
    <w:rsid w:val="2F4635EA"/>
    <w:rsid w:val="2FD87AD3"/>
    <w:rsid w:val="304414F3"/>
    <w:rsid w:val="30CA5BDB"/>
    <w:rsid w:val="30E86825"/>
    <w:rsid w:val="30FA337A"/>
    <w:rsid w:val="311961A0"/>
    <w:rsid w:val="326655EE"/>
    <w:rsid w:val="327B69E7"/>
    <w:rsid w:val="33624199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3D7F59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EA1DFB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7B5851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3828C7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4FA55F5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2E01C3"/>
    <w:rsid w:val="7C413482"/>
    <w:rsid w:val="7C6605B8"/>
    <w:rsid w:val="7CD90CCA"/>
    <w:rsid w:val="7D453845"/>
    <w:rsid w:val="7D754A9C"/>
    <w:rsid w:val="7DE44C08"/>
    <w:rsid w:val="7E082795"/>
    <w:rsid w:val="7F0451F0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cs="宋体"/>
      <w:szCs w:val="21"/>
      <w:lang w:eastAsia="en-US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4</Pages>
  <Words>3178</Words>
  <Characters>3287</Characters>
  <Lines>67</Lines>
  <Paragraphs>74</Paragraphs>
  <TotalTime>72</TotalTime>
  <ScaleCrop>false</ScaleCrop>
  <LinksUpToDate>false</LinksUpToDate>
  <CharactersWithSpaces>3340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2026-04-16T03:25:47Z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1E24272E60574D9AB0FF78A5581F6AA7_13</vt:lpwstr>
  </property>
  <property fmtid="{D5CDD505-2E9C-101B-9397-08002B2CF9AE}" pid="4" name="KSOTemplateDocerSaveRecord">
    <vt:lpwstr>eyJoZGlkIjoiMTY4OTVhMzE4OTk4YjFkOWQyZmQ2NGM4ODg1MjRjOGEiLCJ1c2VySWQiOiIxNzIwMDUxMzI4In0=</vt:lpwstr>
  </property>
</Properties>
</file>