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rPr>
          <w:rFonts w:hint="eastAsia" w:ascii="仿宋" w:hAnsi="仿宋" w:eastAsia="仿宋" w:cs="仿宋"/>
          <w:b/>
          <w:bCs/>
          <w:sz w:val="32"/>
          <w:szCs w:val="32"/>
        </w:rPr>
      </w:pPr>
      <w:bookmarkStart w:id="34" w:name="_GoBack"/>
      <w:bookmarkStart w:id="0" w:name="_Toc298923383"/>
      <w:bookmarkStart w:id="1" w:name="_Toc298936801"/>
      <w:bookmarkStart w:id="2" w:name="_Toc304402664"/>
      <w:bookmarkStart w:id="3" w:name="_Toc298937201"/>
      <w:bookmarkStart w:id="4" w:name="_Toc298937188"/>
      <w:bookmarkStart w:id="5" w:name="_Toc309995390"/>
      <w:bookmarkStart w:id="6" w:name="_Toc309993180"/>
      <w:bookmarkStart w:id="7" w:name="_Toc37234703"/>
      <w:bookmarkStart w:id="8" w:name="_Toc309995472"/>
      <w:bookmarkStart w:id="9" w:name="_Toc309994551"/>
      <w:bookmarkStart w:id="10" w:name="_Toc304828066"/>
      <w:bookmarkStart w:id="11" w:name="_Toc309997040"/>
      <w:bookmarkStart w:id="12" w:name="_Toc298936924"/>
      <w:bookmarkStart w:id="13" w:name="_Toc298937100"/>
      <w:bookmarkStart w:id="14" w:name="_Toc310002637"/>
      <w:bookmarkStart w:id="15" w:name="_Toc298938783"/>
      <w:bookmarkStart w:id="16" w:name="_Toc298937152"/>
      <w:bookmarkStart w:id="17" w:name="_Toc309995578"/>
      <w:bookmarkStart w:id="18" w:name="_Toc298937357"/>
      <w:bookmarkStart w:id="19" w:name="_Toc6138"/>
      <w:bookmarkStart w:id="20" w:name="_Toc298937276"/>
      <w:bookmarkStart w:id="21" w:name="_Toc304825008"/>
      <w:bookmarkStart w:id="22" w:name="_Toc298938635"/>
      <w:bookmarkStart w:id="23" w:name="_Toc298937167"/>
      <w:bookmarkStart w:id="24" w:name="_Toc499110426"/>
      <w:bookmarkStart w:id="25" w:name="_Toc309995999"/>
      <w:bookmarkStart w:id="26" w:name="_Toc304824969"/>
      <w:bookmarkStart w:id="27" w:name="_Toc298937419"/>
      <w:bookmarkStart w:id="28" w:name="_Toc304825081"/>
      <w:bookmarkStart w:id="29" w:name="_Toc298937322"/>
      <w:bookmarkStart w:id="30" w:name="_Toc298937462"/>
      <w:bookmarkStart w:id="31" w:name="_Toc298937609"/>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既有建筑暖通系统低碳改造技术规程</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4</w:t>
      </w:r>
      <w:r>
        <w:rPr>
          <w:rFonts w:hint="eastAsia" w:ascii="仿宋" w:hAnsi="仿宋" w:eastAsia="仿宋" w:cs="仿宋"/>
          <w:szCs w:val="21"/>
        </w:rPr>
        <w:t>月，中国西部开发促进会发布《</w:t>
      </w:r>
      <w:r>
        <w:rPr>
          <w:rFonts w:hint="eastAsia" w:ascii="仿宋" w:hAnsi="仿宋" w:eastAsia="仿宋" w:cs="仿宋"/>
          <w:szCs w:val="21"/>
          <w:lang w:eastAsia="zh-CN"/>
        </w:rPr>
        <w:t>既有建筑暖通系统低碳改造技术规程</w:t>
      </w:r>
      <w:r>
        <w:rPr>
          <w:rFonts w:hint="eastAsia" w:ascii="仿宋" w:hAnsi="仿宋" w:eastAsia="仿宋" w:cs="仿宋"/>
          <w:szCs w:val="21"/>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firstLine="0" w:firstLineChars="0"/>
        <w:rPr>
          <w:rFonts w:hint="eastAsia" w:ascii="仿宋" w:hAnsi="仿宋" w:eastAsia="仿宋" w:cs="仿宋"/>
          <w:b/>
          <w:bCs/>
          <w:color w:val="000000"/>
          <w:szCs w:val="21"/>
        </w:rPr>
      </w:pPr>
      <w:bookmarkStart w:id="32" w:name="BT1"/>
      <w:bookmarkEnd w:id="32"/>
      <w:bookmarkStart w:id="33" w:name="_Toc298937549"/>
      <w:bookmarkEnd w:id="33"/>
      <w:r>
        <w:rPr>
          <w:rFonts w:hint="eastAsia" w:ascii="仿宋" w:hAnsi="仿宋" w:eastAsia="仿宋" w:cs="仿宋"/>
          <w:b/>
          <w:bCs/>
          <w:color w:val="000000"/>
          <w:szCs w:val="21"/>
        </w:rPr>
        <w:t>1.目的</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规程旨在规范既有建筑采暖、通风、空调系统低碳改造的全流程技术要求，统一现状诊断、改造设计、设备选型、施工安装、调试运行、验收评价、运维优化及碳减排核算等关键环节技术准则，为既有建筑暖通系统低碳化升级提供科学、统一、可落地、可核查的技术依据，保障改造工程质量、提升系统能效、降低运行能耗与碳排放，推动建筑领域绿色低碳高质量发展。</w:t>
      </w:r>
    </w:p>
    <w:p w14:paraId="38381B68">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1C3D969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规程的制定与实施，有利于规范既有建筑暖通改造市场，解决当前改造方案不一、设计水平参差不齐、施工质量难以保障、减排效果无法量化等问题；有利于推广高效热泵、变频输配、全热回收、智能控制、可再生能源耦合等先进低碳技术，显著提升暖通系统能效；有利于建立统一的碳减排核算方法，为节能补贴、绿色金融、CCER 项目提供技术支撑；有利于降低建筑能耗与运营成本，保障室内环境品质，助力城乡建设领域碳达峰碳中和目标实现。</w:t>
      </w:r>
    </w:p>
    <w:p w14:paraId="1A6555C0">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1CE65286">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我国既有建筑面积巨大，暖通系统能耗占建筑总能耗 40% 以上，大量老旧系统存在设备能效低、输配失衡、末端调节能力差、无智能控制、无热回收等问题，是建筑降碳重点领域。</w:t>
      </w:r>
    </w:p>
    <w:p w14:paraId="20F6CD6A">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目前行业内缺少专门针对既有建筑暖通系统低碳改造的专项技术规程，现有标准多偏重新建建筑节能设计或单一设备能效要求，缺乏对低碳诊断、系统优化、可再生能源耦合、碳减排核算、智能低碳运维等全流程统一要求，导致改造方案不规范、减排效果不可比、工程质量参差不齐。随着双碳政策、绿色建筑、老旧小区改造持续推进，行业对标准化、可量化、可核查的低碳改造规程需求极为迫切。</w:t>
      </w:r>
    </w:p>
    <w:p w14:paraId="3FE7694B">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制定本标准可填补国内专项标准空白，完善建筑低碳标准体系，规范设计、施工、验收、运维全过程，对推动建筑领域节能降碳具有重要现实意义。</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ind w:firstLine="0" w:firstLineChars="0"/>
        <w:rPr>
          <w:rFonts w:eastAsia="仿宋"/>
          <w:szCs w:val="21"/>
        </w:rPr>
      </w:pPr>
      <w:r>
        <w:rPr>
          <w:rFonts w:hint="eastAsia" w:ascii="仿宋" w:hAnsi="仿宋" w:eastAsia="仿宋" w:cs="仿宋"/>
          <w:b/>
          <w:bCs/>
          <w:color w:val="000000"/>
          <w:szCs w:val="21"/>
        </w:rPr>
        <w:t>1.起草单位</w:t>
      </w:r>
    </w:p>
    <w:p w14:paraId="33722D0E">
      <w:pPr>
        <w:pStyle w:val="30"/>
        <w:rPr>
          <w:rFonts w:hint="eastAsia" w:ascii="仿宋" w:hAnsi="仿宋" w:eastAsia="仿宋" w:cs="仿宋"/>
          <w:szCs w:val="21"/>
        </w:rPr>
      </w:pPr>
      <w:r>
        <w:rPr>
          <w:rFonts w:hint="eastAsia" w:ascii="仿宋" w:hAnsi="仿宋" w:eastAsia="仿宋" w:cs="仿宋"/>
          <w:szCs w:val="21"/>
        </w:rPr>
        <w:t>本文件由中国西部开发促进会提出并归口。</w:t>
      </w:r>
    </w:p>
    <w:p w14:paraId="3F8B68C3">
      <w:pPr>
        <w:pStyle w:val="30"/>
        <w:rPr>
          <w:rFonts w:hint="eastAsia" w:ascii="仿宋" w:hAnsi="仿宋" w:eastAsia="仿宋" w:cs="仿宋"/>
          <w:szCs w:val="21"/>
        </w:rPr>
      </w:pPr>
      <w:r>
        <w:rPr>
          <w:rFonts w:hint="eastAsia" w:ascii="仿宋" w:hAnsi="仿宋" w:eastAsia="仿宋" w:cs="仿宋"/>
          <w:szCs w:val="21"/>
        </w:rPr>
        <w:t>本文件由江苏启安建设集团有限公司、武汉兴灵通热能科技有限公司、浙江荣阳工程评估咨询有限公司、武汉众安智诚消防工程有限公司、杭州依科空气净化科技有限公司深圳市和鸿达机电安装有限公司、北京燃气能源发展有限公司、佳木斯市国土空间规划研究院、郑州大学、里隽(厦门)建筑设计有限公司、洛阳生态环境投资发展有限公司、万嘉清水（厦门）环境技术集团有限公司、赛莱斯实业（杭州）有限公司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ind w:firstLine="0" w:firstLineChars="0"/>
        <w:rPr>
          <w:rFonts w:hint="eastAsia" w:ascii="仿宋" w:hAnsi="仿宋" w:eastAsia="仿宋" w:cs="仿宋"/>
          <w:b/>
          <w:bCs/>
          <w:szCs w:val="21"/>
        </w:rPr>
      </w:pPr>
      <w:r>
        <w:rPr>
          <w:rFonts w:hint="eastAsia" w:ascii="仿宋" w:hAnsi="仿宋" w:eastAsia="仿宋" w:cs="仿宋"/>
          <w:b/>
          <w:bCs/>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5342" w:type="dxa"/>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ind w:firstLine="0" w:firstLineChars="0"/>
              <w:rPr>
                <w:rFonts w:hint="eastAsia" w:ascii="仿宋" w:hAnsi="仿宋" w:eastAsia="宋体" w:cs="仿宋"/>
                <w:szCs w:val="21"/>
                <w:highlight w:val="yellow"/>
                <w:lang w:val="en-US" w:eastAsia="zh-CN"/>
              </w:rPr>
            </w:pPr>
            <w:r>
              <w:rPr>
                <w:rFonts w:hint="eastAsia" w:ascii="仿宋" w:hAnsi="仿宋" w:eastAsia="仿宋" w:cs="仿宋"/>
                <w:szCs w:val="21"/>
              </w:rPr>
              <w:t>江苏启安建设集团有限公司、武汉兴灵通热能科技有限公司、浙江荣阳工程评估咨询有限公司、武汉众安智诚消防工程有限公司、杭州依科空气净化科技有限公司深圳市和鸿达机电安装有限公司、北京燃气能源发展有限公司、佳木斯市国土空间规划研究院、郑州大学、里隽(厦门)建筑设计有限公司、洛阳生态环境投资发展有限公司、万嘉清水（厦门）环境技术集团有限公司、赛莱斯实业（杭州）有限公司等</w:t>
            </w:r>
          </w:p>
        </w:tc>
        <w:tc>
          <w:tcPr>
            <w:tcW w:w="5342" w:type="dxa"/>
          </w:tcPr>
          <w:p w14:paraId="50D897F4">
            <w:pPr>
              <w:pStyle w:val="30"/>
              <w:ind w:firstLine="0" w:firstLineChars="0"/>
              <w:rPr>
                <w:rFonts w:hint="eastAsia" w:ascii="仿宋" w:hAnsi="仿宋" w:eastAsia="仿宋" w:cs="仿宋"/>
                <w:szCs w:val="21"/>
              </w:rPr>
            </w:pPr>
            <w:r>
              <w:rPr>
                <w:rFonts w:hint="eastAsia" w:ascii="仿宋" w:hAnsi="仿宋" w:eastAsia="仿宋" w:cs="仿宋"/>
                <w:szCs w:val="21"/>
              </w:rPr>
              <w:t>项目主编单位，负责标准编制统筹规划、技术方案确定、条文起草、试验验证组织、标准内容审核与整体协调</w:t>
            </w:r>
            <w:r>
              <w:rPr>
                <w:rFonts w:hint="eastAsia" w:ascii="仿宋" w:hAnsi="仿宋" w:eastAsia="仿宋" w:cs="仿宋"/>
                <w:szCs w:val="21"/>
                <w:lang w:eastAsia="zh-CN"/>
              </w:rPr>
              <w:t>，</w:t>
            </w:r>
            <w:r>
              <w:rPr>
                <w:rFonts w:hint="eastAsia" w:ascii="仿宋" w:hAnsi="仿宋" w:eastAsia="仿宋" w:cs="仿宋"/>
                <w:szCs w:val="21"/>
              </w:rPr>
              <w:t>提供产品应用数据与工程实践经验，提供检测验证数据。</w:t>
            </w:r>
          </w:p>
        </w:tc>
      </w:tr>
    </w:tbl>
    <w:p w14:paraId="1AC4246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rPr>
          <w:rFonts w:hint="eastAsia" w:ascii="仿宋" w:hAnsi="仿宋" w:eastAsia="仿宋" w:cs="仿宋"/>
          <w:szCs w:val="21"/>
        </w:rPr>
      </w:pPr>
      <w:r>
        <w:rPr>
          <w:rFonts w:hint="eastAsia" w:ascii="仿宋" w:hAnsi="仿宋" w:eastAsia="仿宋" w:cs="仿宋"/>
          <w:szCs w:val="21"/>
        </w:rPr>
        <w:t>5.1 标准调研</w:t>
      </w:r>
    </w:p>
    <w:p w14:paraId="0205E1E5">
      <w:pPr>
        <w:pStyle w:val="30"/>
        <w:rPr>
          <w:rFonts w:hint="eastAsia" w:ascii="仿宋" w:hAnsi="仿宋" w:eastAsia="仿宋" w:cs="仿宋"/>
          <w:szCs w:val="21"/>
        </w:rPr>
      </w:pPr>
      <w:r>
        <w:rPr>
          <w:rFonts w:hint="eastAsia" w:ascii="仿宋" w:hAnsi="仿宋" w:eastAsia="仿宋" w:cs="仿宋"/>
          <w:szCs w:val="21"/>
        </w:rPr>
        <w:t>编制组系统梳理国内外既有建筑暖通改造现状、典型案例、政策要求、标准缺口，梳理相关国家 / 行业标准，形成调研报告形成调研分析报告。</w:t>
      </w:r>
    </w:p>
    <w:p w14:paraId="04940C14">
      <w:pPr>
        <w:pStyle w:val="30"/>
        <w:rPr>
          <w:rFonts w:hint="eastAsia" w:ascii="仿宋" w:hAnsi="仿宋" w:eastAsia="仿宋" w:cs="仿宋"/>
          <w:szCs w:val="21"/>
        </w:rPr>
      </w:pPr>
      <w:r>
        <w:rPr>
          <w:rFonts w:hint="eastAsia" w:ascii="仿宋" w:hAnsi="仿宋" w:eastAsia="仿宋" w:cs="仿宋"/>
          <w:szCs w:val="21"/>
        </w:rPr>
        <w:t>5.2. 标准立项</w:t>
      </w:r>
    </w:p>
    <w:p w14:paraId="5F7AB474">
      <w:pPr>
        <w:pStyle w:val="30"/>
        <w:rPr>
          <w:rFonts w:hint="eastAsia" w:ascii="仿宋" w:hAnsi="仿宋" w:eastAsia="仿宋" w:cs="仿宋"/>
          <w:szCs w:val="21"/>
        </w:rPr>
      </w:pPr>
      <w:r>
        <w:rPr>
          <w:rFonts w:hint="eastAsia" w:ascii="仿宋" w:hAnsi="仿宋" w:eastAsia="仿宋" w:cs="仿宋"/>
          <w:szCs w:val="21"/>
        </w:rPr>
        <w:t>基于调研成果，明确标准编制范围、核心技术内容、适用场景与预期目标，提交立项申请及支撑材料，经中国西部开发促进会审核通过后正式立项。</w:t>
      </w:r>
    </w:p>
    <w:p w14:paraId="72A91C8C">
      <w:pPr>
        <w:pStyle w:val="30"/>
        <w:rPr>
          <w:rFonts w:hint="eastAsia" w:ascii="仿宋" w:hAnsi="仿宋" w:eastAsia="仿宋" w:cs="仿宋"/>
          <w:szCs w:val="21"/>
        </w:rPr>
      </w:pPr>
      <w:r>
        <w:rPr>
          <w:rFonts w:hint="eastAsia" w:ascii="仿宋" w:hAnsi="仿宋" w:eastAsia="仿宋" w:cs="仿宋"/>
          <w:szCs w:val="21"/>
        </w:rPr>
        <w:t>5.3 形成标准草案</w:t>
      </w:r>
    </w:p>
    <w:p w14:paraId="19C09E25">
      <w:pPr>
        <w:pStyle w:val="30"/>
        <w:rPr>
          <w:rFonts w:hint="eastAsia" w:ascii="仿宋" w:hAnsi="仿宋" w:eastAsia="仿宋" w:cs="仿宋"/>
          <w:szCs w:val="21"/>
        </w:rPr>
      </w:pPr>
      <w:r>
        <w:rPr>
          <w:rFonts w:hint="eastAsia" w:ascii="仿宋" w:hAnsi="仿宋" w:eastAsia="仿宋" w:cs="仿宋"/>
          <w:szCs w:val="21"/>
        </w:rPr>
        <w:t>组建标准起草工作组，按照 GB/T 1.1—2020、GB/T 20001.6—2017 搭建标准框架，细化技术内容，结合既有建筑暖通改造实践完成草案初稿，经内部多轮研讨修改，形成标准草案。</w:t>
      </w:r>
    </w:p>
    <w:p w14:paraId="539B9685">
      <w:pPr>
        <w:pStyle w:val="30"/>
        <w:rPr>
          <w:rFonts w:hint="eastAsia" w:ascii="仿宋" w:hAnsi="仿宋" w:eastAsia="仿宋" w:cs="仿宋"/>
          <w:szCs w:val="21"/>
        </w:rPr>
      </w:pPr>
      <w:r>
        <w:rPr>
          <w:rFonts w:hint="eastAsia" w:ascii="仿宋" w:hAnsi="仿宋" w:eastAsia="仿宋" w:cs="仿宋"/>
          <w:szCs w:val="21"/>
        </w:rPr>
        <w:t>5.4 征求意见阶段</w:t>
      </w:r>
    </w:p>
    <w:p w14:paraId="475FFDA1">
      <w:pPr>
        <w:pStyle w:val="30"/>
        <w:rPr>
          <w:rFonts w:hint="eastAsia" w:ascii="仿宋" w:hAnsi="仿宋" w:eastAsia="仿宋" w:cs="仿宋"/>
          <w:szCs w:val="21"/>
        </w:rPr>
      </w:pPr>
      <w:r>
        <w:rPr>
          <w:rFonts w:hint="eastAsia" w:ascii="仿宋" w:hAnsi="仿宋" w:eastAsia="仿宋" w:cs="仿宋"/>
          <w:szCs w:val="21"/>
        </w:rPr>
        <w:t>起草组将标准征求意见稿发送至建设、施工、监理、设计、检测、科研院所等单位广泛征求意见，对反馈意见逐条梳理、分析、论证与处理，修改完善标准文本。</w:t>
      </w:r>
    </w:p>
    <w:p w14:paraId="2DBA691A">
      <w:pPr>
        <w:pStyle w:val="30"/>
        <w:rPr>
          <w:rFonts w:hint="eastAsia" w:ascii="仿宋" w:hAnsi="仿宋" w:eastAsia="仿宋" w:cs="仿宋"/>
          <w:szCs w:val="21"/>
        </w:rPr>
      </w:pPr>
      <w:r>
        <w:rPr>
          <w:rFonts w:hint="eastAsia" w:ascii="仿宋" w:hAnsi="仿宋" w:eastAsia="仿宋" w:cs="仿宋"/>
          <w:szCs w:val="21"/>
        </w:rPr>
        <w:t>5.5 标准送审</w:t>
      </w:r>
    </w:p>
    <w:p w14:paraId="217C9150">
      <w:pPr>
        <w:pStyle w:val="30"/>
        <w:rPr>
          <w:rFonts w:hint="eastAsia" w:ascii="仿宋" w:hAnsi="仿宋" w:eastAsia="仿宋" w:cs="仿宋"/>
          <w:szCs w:val="21"/>
        </w:rPr>
      </w:pPr>
      <w:r>
        <w:rPr>
          <w:rFonts w:hint="eastAsia" w:ascii="仿宋" w:hAnsi="仿宋" w:eastAsia="仿宋" w:cs="仿宋"/>
          <w:szCs w:val="21"/>
        </w:rPr>
        <w:t>根据征求意见处理结果进一步完善标准内容，完成编制说明、意见汇总处理表等全套送审资料，报送团体标准审查委员会组织专家审查，根据审查意见修改完善后形成送审稿。</w:t>
      </w:r>
    </w:p>
    <w:p w14:paraId="6BA8A9F2">
      <w:pPr>
        <w:pStyle w:val="30"/>
        <w:rPr>
          <w:rFonts w:hint="eastAsia" w:ascii="仿宋" w:hAnsi="仿宋" w:eastAsia="仿宋" w:cs="仿宋"/>
          <w:szCs w:val="21"/>
        </w:rPr>
      </w:pPr>
      <w:r>
        <w:rPr>
          <w:rFonts w:hint="eastAsia" w:ascii="仿宋" w:hAnsi="仿宋" w:eastAsia="仿宋" w:cs="仿宋"/>
          <w:szCs w:val="21"/>
        </w:rPr>
        <w:t>5.6标准报批</w:t>
      </w:r>
    </w:p>
    <w:p w14:paraId="46330998">
      <w:pPr>
        <w:pStyle w:val="30"/>
        <w:rPr>
          <w:rFonts w:hint="eastAsia" w:ascii="仿宋" w:hAnsi="仿宋" w:eastAsia="仿宋" w:cs="仿宋"/>
          <w:szCs w:val="21"/>
        </w:rPr>
      </w:pPr>
      <w:r>
        <w:rPr>
          <w:rFonts w:hint="eastAsia" w:ascii="仿宋" w:hAnsi="仿宋" w:eastAsia="仿宋" w:cs="仿宋"/>
          <w:szCs w:val="21"/>
        </w:rPr>
        <w:t>完善送审稿相关材料，按规定流程报送团体标准管理机构，经审核确认符合发布要求后，办理报批手续，确定标准发布编号、实施日期并正式发布。</w:t>
      </w:r>
    </w:p>
    <w:p w14:paraId="0431BCCE">
      <w:pPr>
        <w:pStyle w:val="30"/>
        <w:ind w:firstLine="0" w:firstLineChars="0"/>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08167EA7">
      <w:pPr>
        <w:pStyle w:val="30"/>
        <w:rPr>
          <w:rFonts w:hint="eastAsia" w:ascii="仿宋" w:hAnsi="仿宋" w:eastAsia="仿宋" w:cs="仿宋"/>
          <w:szCs w:val="21"/>
        </w:rPr>
      </w:pPr>
      <w:r>
        <w:rPr>
          <w:rFonts w:hint="eastAsia" w:ascii="仿宋" w:hAnsi="仿宋" w:eastAsia="仿宋" w:cs="仿宋"/>
          <w:szCs w:val="21"/>
        </w:rPr>
        <w:t>1. 试验验证分析、综述报告</w:t>
      </w:r>
    </w:p>
    <w:p w14:paraId="0A74627A">
      <w:pPr>
        <w:pStyle w:val="30"/>
        <w:rPr>
          <w:rFonts w:hint="eastAsia" w:ascii="仿宋" w:hAnsi="仿宋" w:eastAsia="仿宋" w:cs="仿宋"/>
          <w:szCs w:val="21"/>
        </w:rPr>
      </w:pPr>
      <w:r>
        <w:rPr>
          <w:rFonts w:hint="eastAsia" w:ascii="仿宋" w:hAnsi="仿宋" w:eastAsia="仿宋" w:cs="仿宋"/>
          <w:szCs w:val="21"/>
        </w:rPr>
        <w:t>本标准技术内容经过大量既有建筑暖通系统低碳改造工程实测与专项验证，覆盖现状诊断、负荷优化、冷热源替换、输配系统平衡、新风热回收、末端改造、智能控制、能效监测、碳减排核算等核心要点。依据 GB 50019、GB 50189、GB 50736、GB/T 51366 等开展实测比对，结合国内既有建筑暖通低碳改造项目数据进行验证。</w:t>
      </w:r>
    </w:p>
    <w:p w14:paraId="16F3AA0D">
      <w:pPr>
        <w:pStyle w:val="30"/>
        <w:rPr>
          <w:rFonts w:hint="eastAsia" w:ascii="仿宋" w:hAnsi="仿宋" w:eastAsia="仿宋" w:cs="仿宋"/>
          <w:szCs w:val="21"/>
        </w:rPr>
      </w:pPr>
      <w:r>
        <w:rPr>
          <w:rFonts w:hint="eastAsia" w:ascii="仿宋" w:hAnsi="仿宋" w:eastAsia="仿宋" w:cs="仿宋"/>
          <w:szCs w:val="21"/>
        </w:rPr>
        <w:t>验证结果表明：本标准规定的低碳改造流程、能效指标、设备选型、施工工艺、调试方法、验收要求、碳减排核算方法科学合理、成熟可靠，可显著提升暖通系统能效、降低能耗与碳排放，保障改造工程质量与运行效果，为标准条文提供了充分、可信的数据支撑。</w:t>
      </w:r>
    </w:p>
    <w:p w14:paraId="18AA6B22">
      <w:pPr>
        <w:pStyle w:val="30"/>
        <w:rPr>
          <w:rFonts w:hint="eastAsia" w:ascii="仿宋" w:hAnsi="仿宋" w:eastAsia="仿宋" w:cs="仿宋"/>
          <w:szCs w:val="21"/>
        </w:rPr>
      </w:pPr>
      <w:r>
        <w:rPr>
          <w:rFonts w:hint="eastAsia" w:ascii="仿宋" w:hAnsi="仿宋" w:eastAsia="仿宋" w:cs="仿宋"/>
          <w:szCs w:val="21"/>
        </w:rPr>
        <w:t>2. 技术经济论证</w:t>
      </w:r>
    </w:p>
    <w:p w14:paraId="07C13645">
      <w:pPr>
        <w:pStyle w:val="30"/>
        <w:rPr>
          <w:rFonts w:hint="eastAsia" w:ascii="仿宋" w:hAnsi="仿宋" w:eastAsia="仿宋" w:cs="仿宋"/>
          <w:szCs w:val="21"/>
        </w:rPr>
      </w:pPr>
      <w:r>
        <w:rPr>
          <w:rFonts w:hint="eastAsia" w:ascii="仿宋" w:hAnsi="仿宋" w:eastAsia="仿宋" w:cs="仿宋"/>
          <w:szCs w:val="21"/>
        </w:rPr>
        <w:t>技术上，本标准构建评估 — 设计 — 施工 — 调试 — 验收 — 运维 — 核算全过程闭环低碳改造体系，统一现状诊断、负荷优化、设备选型、系统匹配、智能控制、碳减排核算技术路径，系统性解决能效偏低、输配失衡、调节能力差、无热回收、无智能控制、减排无法量化等突出问题，与现行国家、行业标准兼容，推动既有建筑暖通改造向高效化、低碳化、数字化、智能化升级。</w:t>
      </w:r>
    </w:p>
    <w:p w14:paraId="1381DED2">
      <w:pPr>
        <w:pStyle w:val="30"/>
        <w:rPr>
          <w:rFonts w:hint="eastAsia" w:ascii="仿宋" w:hAnsi="仿宋" w:eastAsia="仿宋" w:cs="仿宋"/>
          <w:szCs w:val="21"/>
        </w:rPr>
      </w:pPr>
      <w:r>
        <w:rPr>
          <w:rFonts w:hint="eastAsia" w:ascii="仿宋" w:hAnsi="仿宋" w:eastAsia="仿宋" w:cs="仿宋"/>
          <w:szCs w:val="21"/>
        </w:rPr>
        <w:t>经济上，标准实施可大幅减少重复改造、能耗浪费、故障停机、维修更换费用，缩短改造工期、降低材料损耗、提高一次验收合格率，延长设备与系统使用寿命，综合经济效益显著。</w:t>
      </w:r>
    </w:p>
    <w:p w14:paraId="5B6E8463">
      <w:pPr>
        <w:pStyle w:val="30"/>
        <w:rPr>
          <w:rFonts w:hint="eastAsia" w:ascii="仿宋" w:hAnsi="仿宋" w:eastAsia="仿宋" w:cs="仿宋"/>
          <w:szCs w:val="21"/>
        </w:rPr>
      </w:pPr>
      <w:r>
        <w:rPr>
          <w:rFonts w:hint="eastAsia" w:ascii="仿宋" w:hAnsi="仿宋" w:eastAsia="仿宋" w:cs="仿宋"/>
          <w:szCs w:val="21"/>
        </w:rPr>
        <w:t>3. 预期的经济效益</w:t>
      </w:r>
    </w:p>
    <w:p w14:paraId="0DE9E9FD">
      <w:pPr>
        <w:pStyle w:val="30"/>
        <w:rPr>
          <w:rFonts w:hint="eastAsia" w:ascii="仿宋" w:hAnsi="仿宋" w:eastAsia="仿宋" w:cs="仿宋"/>
          <w:szCs w:val="21"/>
        </w:rPr>
      </w:pPr>
      <w:r>
        <w:rPr>
          <w:rFonts w:hint="eastAsia" w:ascii="仿宋" w:hAnsi="仿宋" w:eastAsia="仿宋" w:cs="仿宋"/>
          <w:szCs w:val="21"/>
        </w:rPr>
        <w:t>本标准实施后将产生显著经济效益：一是降低能耗费用与运行成本，节能率可达 20%~40%，直接减少电费、气费、热力费支出；二是提高改造施工效率与一次验收合格率，缩短工期、减少返工与整改成本；三是减少设备故障、延长使用寿命，降低后期维修、更换、隐患处理成本，降低建筑全生命周期成本；四是统一技术门槛与改造标准，提升企业技术竞争力与品牌效益，在既有建筑改造领域推广后可实现显著提质增效。</w:t>
      </w:r>
    </w:p>
    <w:p w14:paraId="7B8E6D30">
      <w:pPr>
        <w:pStyle w:val="30"/>
        <w:numPr>
          <w:ilvl w:val="0"/>
          <w:numId w:val="15"/>
        </w:numPr>
        <w:rPr>
          <w:rFonts w:hint="eastAsia" w:ascii="仿宋" w:hAnsi="仿宋" w:eastAsia="仿宋" w:cs="仿宋"/>
          <w:szCs w:val="21"/>
        </w:rPr>
      </w:pPr>
      <w:r>
        <w:rPr>
          <w:rFonts w:hint="eastAsia" w:ascii="仿宋" w:hAnsi="仿宋" w:eastAsia="仿宋" w:cs="仿宋"/>
          <w:szCs w:val="21"/>
        </w:rPr>
        <w:t>社会效益和生态效益</w:t>
      </w:r>
    </w:p>
    <w:p w14:paraId="52B3D2BD">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社会效益：本标准可有效提升既有建筑室内热舒适与空气质量，保障建筑使用功能与安全运行；推动建筑领域节能降碳技术普及，助力国家 “双碳” 目标落地；统一改造标准与验收要求，规范市场秩序，提升行业整体技术水平；为节能补贴、绿色金融、CCER 项目提供统一技术依据，支撑建筑低碳转型政策实施。</w:t>
      </w:r>
    </w:p>
    <w:p w14:paraId="4DDA3634">
      <w:pPr>
        <w:pStyle w:val="30"/>
        <w:numPr>
          <w:ilvl w:val="0"/>
          <w:numId w:val="0"/>
        </w:numPr>
        <w:ind w:firstLine="420" w:firstLineChars="200"/>
        <w:rPr>
          <w:rFonts w:hint="eastAsia" w:ascii="仿宋" w:hAnsi="仿宋" w:eastAsia="仿宋" w:cs="仿宋"/>
          <w:szCs w:val="21"/>
        </w:rPr>
      </w:pPr>
      <w:r>
        <w:rPr>
          <w:rFonts w:hint="eastAsia" w:ascii="仿宋" w:hAnsi="仿宋" w:eastAsia="仿宋" w:cs="仿宋"/>
          <w:szCs w:val="21"/>
        </w:rPr>
        <w:t>生态效益：本标准可显著降低建筑暖通系统电力、天然气、热力消耗，相应减少化石能源使用与二氧化碳、氮氧化物等污染物排放；推广高效低碳设备与环保材料，减少制冷剂泄漏、VOC 排放与施工污染；减少设备更新换代与资源消耗，降低建筑垃圾产生，助力绿色低碳与可持续发展。</w:t>
      </w:r>
    </w:p>
    <w:p w14:paraId="10A20A3F">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ind w:firstLine="0" w:firstLineChars="0"/>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2439C40D">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1、范围：适用于既有民用与工业建筑暖通系统低碳改造。</w:t>
      </w:r>
    </w:p>
    <w:p w14:paraId="2A4BB8C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2、规范性引用文件：引用 GB 50019、GB 50189、GB 50243、GB 50736、GB/T 51366 等。</w:t>
      </w:r>
    </w:p>
    <w:p w14:paraId="46E5FD1B">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3、术语和定义：明确既有建筑、暖通系统、低碳改造、碳减排、基准系统、高效热源、输配系统、末端装置、智能控制系统等。</w:t>
      </w:r>
    </w:p>
    <w:p w14:paraId="26F95679">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4、基本规定：明确改造原则、目标、系统范围、安全与低碳要求。</w:t>
      </w:r>
    </w:p>
    <w:p w14:paraId="7FFB6A3E">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5、改造评估与可行性分析：现状调查、检测、低碳目标、指标、可行性分析。</w:t>
      </w:r>
    </w:p>
    <w:p w14:paraId="5DCD4665">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6、低碳技术路线与选型：热源、输配、末端、控制、可再生能源技术要求。</w:t>
      </w:r>
    </w:p>
    <w:p w14:paraId="47D05D0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7、系统设计：负荷计算、冷热源、输配、末端、控制、余热回收设计。</w:t>
      </w:r>
    </w:p>
    <w:p w14:paraId="5FC38C5B">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8、施工安装：拆除、设备安装、管路、保温、电气、安全绿色施工。</w:t>
      </w:r>
    </w:p>
    <w:p w14:paraId="1D76300F">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9、调试与试运行：单机、分系统、水力 / 风量平衡、联动、能效测试、调试报告。</w:t>
      </w:r>
    </w:p>
    <w:p w14:paraId="4F729A66">
      <w:pPr>
        <w:pStyle w:val="30"/>
        <w:rPr>
          <w:rFonts w:hint="eastAsia" w:ascii="仿宋" w:hAnsi="仿宋" w:eastAsia="仿宋" w:cs="仿宋"/>
          <w:szCs w:val="21"/>
          <w:lang w:val="en-US" w:eastAsia="zh-CN"/>
        </w:rPr>
      </w:pPr>
      <w:r>
        <w:rPr>
          <w:rFonts w:hint="eastAsia" w:ascii="仿宋" w:hAnsi="仿宋" w:eastAsia="仿宋" w:cs="仿宋"/>
          <w:szCs w:val="21"/>
          <w:lang w:val="en-US" w:eastAsia="zh-CN"/>
        </w:rPr>
        <w:t>10、验收、评价与运维管理：验收内容、低碳效果验收、资料、运行、维保、持续优化。</w:t>
      </w:r>
    </w:p>
    <w:p w14:paraId="4B662DE8">
      <w:pPr>
        <w:pStyle w:val="30"/>
        <w:rPr>
          <w:rFonts w:hint="eastAsia" w:ascii="仿宋" w:hAnsi="仿宋" w:eastAsia="仿宋" w:cs="仿宋"/>
          <w:szCs w:val="21"/>
          <w:lang w:val="en-US" w:eastAsia="zh-CN"/>
        </w:rPr>
      </w:pPr>
    </w:p>
    <w:p w14:paraId="2545AB1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十、与有关的现行法律、法规和强制性国家标准及相关标准协调配套情况</w:t>
      </w:r>
    </w:p>
    <w:p w14:paraId="3C228C48">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本文件的制定过程等符合现行法律、法规和强制性国家标准的规定。</w:t>
      </w:r>
    </w:p>
    <w:p w14:paraId="433D6DCC">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numPr>
          <w:ilvl w:val="1"/>
          <w:numId w:val="0"/>
        </w:numPr>
        <w:spacing w:before="156" w:after="156"/>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bookmarkEnd w:id="34"/>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822ABC4"/>
    <w:multiLevelType w:val="singleLevel"/>
    <w:tmpl w:val="3822ABC4"/>
    <w:lvl w:ilvl="0" w:tentative="0">
      <w:start w:val="4"/>
      <w:numFmt w:val="decimal"/>
      <w:suff w:val="space"/>
      <w:lvlText w:val="%1."/>
      <w:lvlJc w:val="left"/>
    </w:lvl>
  </w:abstractNum>
  <w:abstractNum w:abstractNumId="5">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9">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1"/>
  </w:num>
  <w:num w:numId="3">
    <w:abstractNumId w:val="12"/>
  </w:num>
  <w:num w:numId="4">
    <w:abstractNumId w:val="14"/>
  </w:num>
  <w:num w:numId="5">
    <w:abstractNumId w:val="2"/>
  </w:num>
  <w:num w:numId="6">
    <w:abstractNumId w:val="10"/>
  </w:num>
  <w:num w:numId="7">
    <w:abstractNumId w:val="0"/>
  </w:num>
  <w:num w:numId="8">
    <w:abstractNumId w:val="3"/>
  </w:num>
  <w:num w:numId="9">
    <w:abstractNumId w:val="6"/>
  </w:num>
  <w:num w:numId="10">
    <w:abstractNumId w:val="13"/>
  </w:num>
  <w:num w:numId="11">
    <w:abstractNumId w:val="8"/>
  </w:num>
  <w:num w:numId="12">
    <w:abstractNumId w:val="1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92F1D"/>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0FF63984"/>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7B42CFB"/>
    <w:rsid w:val="196E7664"/>
    <w:rsid w:val="19D4303C"/>
    <w:rsid w:val="1A6A4539"/>
    <w:rsid w:val="1B063DBD"/>
    <w:rsid w:val="1B740D26"/>
    <w:rsid w:val="1C994529"/>
    <w:rsid w:val="1D297145"/>
    <w:rsid w:val="1E3C2C0B"/>
    <w:rsid w:val="1E3F091B"/>
    <w:rsid w:val="1E434ACA"/>
    <w:rsid w:val="1EAF5494"/>
    <w:rsid w:val="1EB81FDE"/>
    <w:rsid w:val="1EF32FF2"/>
    <w:rsid w:val="1F0E0306"/>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DF20AEF"/>
    <w:rsid w:val="2E257B1B"/>
    <w:rsid w:val="2E677AE4"/>
    <w:rsid w:val="2F4635EA"/>
    <w:rsid w:val="2FD87AD3"/>
    <w:rsid w:val="30CA5BDB"/>
    <w:rsid w:val="30E86825"/>
    <w:rsid w:val="311961A0"/>
    <w:rsid w:val="326655EE"/>
    <w:rsid w:val="327B69E7"/>
    <w:rsid w:val="33624199"/>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3D7F59"/>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EA1DFB"/>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564DE8"/>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3828C7"/>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FA55F5"/>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0451F0"/>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3517</Words>
  <Characters>3638</Characters>
  <Lines>67</Lines>
  <Paragraphs>74</Paragraphs>
  <TotalTime>6</TotalTime>
  <ScaleCrop>false</ScaleCrop>
  <LinksUpToDate>false</LinksUpToDate>
  <CharactersWithSpaces>3690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2026-04-16T03:12:28Z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375E08C8EE1445738DC963281E534616_13</vt:lpwstr>
  </property>
  <property fmtid="{D5CDD505-2E9C-101B-9397-08002B2CF9AE}" pid="4" name="KSOTemplateDocerSaveRecord">
    <vt:lpwstr>eyJoZGlkIjoiMTY4OTVhMzE4OTk4YjFkOWQyZmQ2NGM4ODg1MjRjOGEiLCJ1c2VySWQiOiIxNzIwMDUxMzI4In0=</vt:lpwstr>
  </property>
</Properties>
</file>