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rPr>
          <w:rFonts w:hint="eastAsia" w:ascii="仿宋" w:hAnsi="仿宋" w:eastAsia="仿宋" w:cs="仿宋"/>
          <w:b/>
          <w:bCs/>
          <w:sz w:val="32"/>
          <w:szCs w:val="32"/>
        </w:rPr>
      </w:pPr>
      <w:bookmarkStart w:id="0" w:name="_Toc298937609"/>
      <w:bookmarkStart w:id="1" w:name="_Toc309995999"/>
      <w:bookmarkStart w:id="2" w:name="_Toc309997040"/>
      <w:bookmarkStart w:id="3" w:name="_Toc37234703"/>
      <w:bookmarkStart w:id="4" w:name="_Toc304825081"/>
      <w:bookmarkStart w:id="5" w:name="_Toc309994551"/>
      <w:bookmarkStart w:id="6" w:name="_Toc298937100"/>
      <w:bookmarkStart w:id="7" w:name="_Toc309995472"/>
      <w:bookmarkStart w:id="8" w:name="_Toc304825008"/>
      <w:bookmarkStart w:id="9" w:name="_Toc298937322"/>
      <w:bookmarkStart w:id="10" w:name="_Toc298923383"/>
      <w:bookmarkStart w:id="11" w:name="_Toc298937188"/>
      <w:bookmarkStart w:id="12" w:name="_Toc6138"/>
      <w:bookmarkStart w:id="13" w:name="_Toc298938783"/>
      <w:bookmarkStart w:id="14" w:name="_Toc309995390"/>
      <w:bookmarkStart w:id="15" w:name="_Toc298937462"/>
      <w:bookmarkStart w:id="16" w:name="_Toc304828066"/>
      <w:bookmarkStart w:id="17" w:name="_Toc298938635"/>
      <w:bookmarkStart w:id="18" w:name="_Toc298937419"/>
      <w:bookmarkStart w:id="19" w:name="_Toc304402664"/>
      <w:bookmarkStart w:id="20" w:name="_Toc298936924"/>
      <w:bookmarkStart w:id="21" w:name="_Toc298937201"/>
      <w:bookmarkStart w:id="22" w:name="_Toc499110426"/>
      <w:bookmarkStart w:id="23" w:name="_Toc298936801"/>
      <w:bookmarkStart w:id="24" w:name="_Toc298937152"/>
      <w:bookmarkStart w:id="25" w:name="_Toc309995578"/>
      <w:bookmarkStart w:id="26" w:name="_Toc304824969"/>
      <w:bookmarkStart w:id="27" w:name="_Toc310002637"/>
      <w:bookmarkStart w:id="28" w:name="_Toc298937357"/>
      <w:bookmarkStart w:id="29" w:name="_Toc309993180"/>
      <w:bookmarkStart w:id="30" w:name="_Toc298937276"/>
      <w:bookmarkStart w:id="31" w:name="_Toc298937167"/>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智能建筑电气系统电能质量监测技术规范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4</w:t>
      </w:r>
      <w:r>
        <w:rPr>
          <w:rFonts w:hint="eastAsia" w:ascii="仿宋" w:hAnsi="仿宋" w:eastAsia="仿宋" w:cs="仿宋"/>
          <w:szCs w:val="21"/>
        </w:rPr>
        <w:t>月，中国西部开发促进会发布《</w:t>
      </w:r>
      <w:r>
        <w:rPr>
          <w:rFonts w:hint="eastAsia" w:ascii="仿宋" w:hAnsi="仿宋" w:eastAsia="仿宋" w:cs="仿宋"/>
          <w:szCs w:val="21"/>
          <w:lang w:eastAsia="zh-CN"/>
        </w:rPr>
        <w:t>智能建筑电气系统电能质量监测技术规范</w:t>
      </w:r>
      <w:r>
        <w:rPr>
          <w:rFonts w:hint="eastAsia" w:ascii="仿宋" w:hAnsi="仿宋" w:eastAsia="仿宋" w:cs="仿宋"/>
          <w:szCs w:val="21"/>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firstLine="0" w:firstLineChars="0"/>
        <w:rPr>
          <w:rFonts w:hint="eastAsia" w:ascii="仿宋" w:hAnsi="仿宋" w:eastAsia="仿宋" w:cs="仿宋"/>
          <w:b/>
          <w:bCs/>
          <w:color w:val="000000"/>
          <w:szCs w:val="21"/>
        </w:rPr>
      </w:pPr>
      <w:bookmarkStart w:id="32" w:name="_Toc298937549"/>
      <w:bookmarkEnd w:id="32"/>
      <w:bookmarkStart w:id="33" w:name="BT1"/>
      <w:bookmarkEnd w:id="33"/>
      <w:r>
        <w:rPr>
          <w:rFonts w:hint="eastAsia" w:ascii="仿宋" w:hAnsi="仿宋" w:eastAsia="仿宋" w:cs="仿宋"/>
          <w:b/>
          <w:bCs/>
          <w:color w:val="000000"/>
          <w:szCs w:val="21"/>
        </w:rPr>
        <w:t>1.目的</w:t>
      </w:r>
    </w:p>
    <w:p w14:paraId="02ED0CC6">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lang w:val="en-US" w:eastAsia="zh-CN"/>
        </w:rPr>
        <w:t>本标准编写旨在规范智能建筑电气系统电能质量监测的全流程技术要求，明确监测指标与限值、监测点位布局、监测设备选型与安装、数据采集与传输、数据分析与处理、监测系统运行与维护、监测结果应用与评价等关键环节的统一技术准则，为智能建筑电气系统的监测设计、施工、调试、运行维护及检测评价提供科学依据，提升智能建筑电能质量管控水平，保障供配电系统安全高效运行，推动智能建筑向绿色、低碳、智能化方向发展</w:t>
      </w:r>
      <w:r>
        <w:rPr>
          <w:rFonts w:hint="eastAsia" w:ascii="仿宋" w:hAnsi="仿宋" w:eastAsia="仿宋" w:cs="仿宋"/>
          <w:sz w:val="21"/>
          <w:szCs w:val="21"/>
        </w:rPr>
        <w:t>。</w:t>
      </w:r>
    </w:p>
    <w:p w14:paraId="38381B68">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1C3D969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的制定与实施，有助于提升智能建筑电气系统电能质量监测的规范化水平，实现从“通用监测”到“智能建筑专属监测”的标准覆盖，完善智能建筑电气系统设计、施工、运维全生命周期的标准化体系；有利于统一监测指标、设备选型、数据采集、分析预警等技术要求，提高监测数据的有效性和指导性；可为行业提供统一技术遵循，填补智能建筑电能质量监测领域的标准空白，为智能建筑高质量发展提供技术支撑。</w:t>
      </w:r>
    </w:p>
    <w:p w14:paraId="1A6555C0">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3FE7694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lang w:val="en-US" w:eastAsia="zh-CN"/>
        </w:rPr>
        <w:t>智能建筑电气系统呈现出负荷类型复杂、非线性设备密集、分布式能源接入多、智能化调控要求高等特征，导致电压偏差、谐波畸变、三相不平衡、电压波动与闪变等电能质量问题频发。现有电能质量监测标准多为通用电网监测要求，未结合智能建筑的负荷特征、监测点位布局、智能化数据采集与分析需求制定专项要求，存在监测点位选择不科学、设备选型标准不统一、数据采集频率与精度适配性差、监测数据与智能化系统融合不足等问题，导致监测数据缺乏有效性、分析结果缺乏指导性，难以满足智能建筑电气系统精细化、智能化运维需求。制定本标准可填补行业标准空白，推动智能建筑电能质量监测的标准化、智能化发展</w:t>
      </w:r>
      <w:r>
        <w:rPr>
          <w:rFonts w:hint="eastAsia" w:ascii="仿宋" w:hAnsi="仿宋" w:eastAsia="仿宋" w:cs="仿宋"/>
          <w:sz w:val="21"/>
          <w:szCs w:val="21"/>
        </w:rPr>
        <w:t>。</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ind w:firstLine="0" w:firstLineChars="0"/>
        <w:rPr>
          <w:rFonts w:eastAsia="仿宋"/>
          <w:szCs w:val="21"/>
        </w:rPr>
      </w:pPr>
      <w:r>
        <w:rPr>
          <w:rFonts w:hint="eastAsia" w:ascii="仿宋" w:hAnsi="仿宋" w:eastAsia="仿宋" w:cs="仿宋"/>
          <w:b/>
          <w:bCs/>
          <w:color w:val="000000"/>
          <w:szCs w:val="21"/>
        </w:rPr>
        <w:t>1.起草单位</w:t>
      </w:r>
    </w:p>
    <w:p w14:paraId="33722D0E">
      <w:pPr>
        <w:pStyle w:val="30"/>
        <w:rPr>
          <w:rFonts w:hint="eastAsia" w:ascii="仿宋" w:hAnsi="仿宋" w:eastAsia="仿宋" w:cs="仿宋"/>
          <w:szCs w:val="21"/>
        </w:rPr>
      </w:pPr>
      <w:r>
        <w:rPr>
          <w:rFonts w:hint="eastAsia" w:ascii="仿宋" w:hAnsi="仿宋" w:eastAsia="仿宋" w:cs="仿宋"/>
          <w:szCs w:val="21"/>
        </w:rPr>
        <w:t>本文件由中国西部开发促进会提出并归口。</w:t>
      </w:r>
    </w:p>
    <w:p w14:paraId="3F8B68C3">
      <w:pPr>
        <w:pStyle w:val="30"/>
        <w:rPr>
          <w:rFonts w:hint="eastAsia" w:ascii="仿宋" w:hAnsi="仿宋" w:eastAsia="仿宋" w:cs="仿宋"/>
          <w:szCs w:val="21"/>
        </w:rPr>
      </w:pPr>
      <w:r>
        <w:rPr>
          <w:rFonts w:hint="eastAsia" w:ascii="仿宋" w:hAnsi="仿宋" w:eastAsia="仿宋" w:cs="仿宋"/>
          <w:szCs w:val="21"/>
        </w:rPr>
        <w:t>本文件由邵阳职业技术学院、深圳市建安（集团）股份有限公司、海盐南原电力工程有限责任公司、广东应援消防安全技术服务有限公司、宁波市市政设施中心（宁波市公用事业指导中心）、杭州甬辰置业有限公司、江苏常源电力建设监理有限公司等共同起草。</w:t>
      </w:r>
    </w:p>
    <w:p w14:paraId="6C2D1883">
      <w:pPr>
        <w:pStyle w:val="30"/>
        <w:ind w:firstLine="0" w:firstLineChars="0"/>
        <w:rPr>
          <w:rFonts w:hint="eastAsia" w:ascii="仿宋" w:hAnsi="仿宋" w:eastAsia="仿宋" w:cs="仿宋"/>
          <w:b/>
          <w:bCs/>
          <w:szCs w:val="21"/>
        </w:rPr>
      </w:pPr>
      <w:r>
        <w:rPr>
          <w:rFonts w:hint="eastAsia" w:ascii="仿宋" w:hAnsi="仿宋" w:eastAsia="仿宋" w:cs="仿宋"/>
          <w:b/>
          <w:bCs/>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5342" w:type="dxa"/>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ind w:firstLine="0" w:firstLineChars="0"/>
              <w:rPr>
                <w:rFonts w:hint="eastAsia" w:ascii="仿宋" w:hAnsi="仿宋" w:eastAsia="仿宋" w:cs="仿宋"/>
                <w:szCs w:val="21"/>
                <w:lang w:val="en-US" w:eastAsia="zh-CN"/>
              </w:rPr>
            </w:pPr>
            <w:r>
              <w:rPr>
                <w:rFonts w:hint="eastAsia" w:ascii="仿宋" w:hAnsi="仿宋" w:eastAsia="仿宋" w:cs="仿宋"/>
                <w:szCs w:val="21"/>
              </w:rPr>
              <w:t>邵阳职业技术学院、深圳市建安（集团）股份有限公司、海盐南原电力工程有限责任公司、广东应援消防安全技术服务有限公司、宁波市市政设施中心（宁波市公用事业指导中心）、杭州甬辰置业有限公司、江苏常源电力建设监理有限公司等</w:t>
            </w:r>
          </w:p>
        </w:tc>
        <w:tc>
          <w:tcPr>
            <w:tcW w:w="5342" w:type="dxa"/>
          </w:tcPr>
          <w:p w14:paraId="50D897F4">
            <w:pPr>
              <w:pStyle w:val="30"/>
              <w:ind w:firstLine="0" w:firstLineChars="0"/>
              <w:rPr>
                <w:rFonts w:hint="eastAsia" w:ascii="仿宋" w:hAnsi="仿宋" w:eastAsia="仿宋" w:cs="仿宋"/>
                <w:szCs w:val="21"/>
              </w:rPr>
            </w:pPr>
            <w:r>
              <w:rPr>
                <w:rFonts w:hint="eastAsia" w:ascii="仿宋" w:hAnsi="仿宋" w:eastAsia="仿宋" w:cs="仿宋"/>
                <w:szCs w:val="21"/>
              </w:rPr>
              <w:t>项目主编单位，负责标准编制统筹规划、技术方案确定、条文起草、试验验证组织、标准内容审核与整体协调</w:t>
            </w:r>
            <w:r>
              <w:rPr>
                <w:rFonts w:hint="eastAsia" w:ascii="仿宋" w:hAnsi="仿宋" w:eastAsia="仿宋" w:cs="仿宋"/>
                <w:szCs w:val="21"/>
                <w:lang w:eastAsia="zh-CN"/>
              </w:rPr>
              <w:t>，</w:t>
            </w:r>
            <w:r>
              <w:rPr>
                <w:rFonts w:hint="eastAsia" w:ascii="仿宋" w:hAnsi="仿宋" w:eastAsia="仿宋" w:cs="仿宋"/>
                <w:szCs w:val="21"/>
              </w:rPr>
              <w:t>提供应用数据与工程实践经验，提供检测验证数据。</w:t>
            </w:r>
          </w:p>
        </w:tc>
      </w:tr>
    </w:tbl>
    <w:p w14:paraId="1AC4246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五、标准编制过程</w:t>
      </w:r>
    </w:p>
    <w:p w14:paraId="6D1CE6A6">
      <w:pPr>
        <w:pStyle w:val="30"/>
        <w:rPr>
          <w:rFonts w:hint="eastAsia" w:ascii="仿宋" w:hAnsi="仿宋" w:eastAsia="仿宋" w:cs="仿宋"/>
          <w:szCs w:val="21"/>
        </w:rPr>
      </w:pPr>
      <w:r>
        <w:rPr>
          <w:rFonts w:hint="eastAsia" w:ascii="仿宋" w:hAnsi="仿宋" w:eastAsia="仿宋" w:cs="仿宋"/>
          <w:szCs w:val="21"/>
        </w:rPr>
        <w:t>5.1 标准调研</w:t>
      </w:r>
    </w:p>
    <w:p w14:paraId="0205E1E5">
      <w:pPr>
        <w:pStyle w:val="30"/>
        <w:rPr>
          <w:rFonts w:hint="eastAsia" w:ascii="仿宋" w:hAnsi="仿宋" w:eastAsia="仿宋" w:cs="仿宋"/>
          <w:szCs w:val="21"/>
        </w:rPr>
      </w:pPr>
      <w:r>
        <w:rPr>
          <w:rFonts w:hint="eastAsia" w:ascii="仿宋" w:hAnsi="仿宋" w:eastAsia="仿宋" w:cs="仿宋"/>
          <w:szCs w:val="21"/>
        </w:rPr>
        <w:t>编制组系统梳理了国内外电能质量监测、智能建筑电气、建筑智能化等相关国家、行业及团体标准，调研了商业综合体、数据中心、智慧园区、智能住宅等各类智能建筑电气系统的电能质量监测现状、技术痛点、运维需求，收集了典型监测案例、设备性能数据、监测系统运行报告等资料，形成调研分析报告。</w:t>
      </w:r>
    </w:p>
    <w:p w14:paraId="04940C14">
      <w:pPr>
        <w:pStyle w:val="30"/>
        <w:rPr>
          <w:rFonts w:hint="eastAsia" w:ascii="仿宋" w:hAnsi="仿宋" w:eastAsia="仿宋" w:cs="仿宋"/>
          <w:szCs w:val="21"/>
        </w:rPr>
      </w:pPr>
      <w:r>
        <w:rPr>
          <w:rFonts w:hint="eastAsia" w:ascii="仿宋" w:hAnsi="仿宋" w:eastAsia="仿宋" w:cs="仿宋"/>
          <w:szCs w:val="21"/>
        </w:rPr>
        <w:t>5.2. 标准立项</w:t>
      </w:r>
    </w:p>
    <w:p w14:paraId="5F7AB474">
      <w:pPr>
        <w:pStyle w:val="30"/>
        <w:rPr>
          <w:rFonts w:hint="eastAsia" w:ascii="仿宋" w:hAnsi="仿宋" w:eastAsia="仿宋" w:cs="仿宋"/>
          <w:szCs w:val="21"/>
        </w:rPr>
      </w:pPr>
      <w:r>
        <w:rPr>
          <w:rFonts w:hint="eastAsia" w:ascii="仿宋" w:hAnsi="仿宋" w:eastAsia="仿宋" w:cs="仿宋"/>
          <w:szCs w:val="21"/>
        </w:rPr>
        <w:t>基于调研成果，明确标准编制范围、核心技术内容、适用场景与预期目标，提交立项申请及支撑材料，经中国西部开发促进会审核通过后正式立项。</w:t>
      </w:r>
    </w:p>
    <w:p w14:paraId="72A91C8C">
      <w:pPr>
        <w:pStyle w:val="30"/>
        <w:rPr>
          <w:rFonts w:hint="eastAsia" w:ascii="仿宋" w:hAnsi="仿宋" w:eastAsia="仿宋" w:cs="仿宋"/>
          <w:szCs w:val="21"/>
        </w:rPr>
      </w:pPr>
      <w:r>
        <w:rPr>
          <w:rFonts w:hint="eastAsia" w:ascii="仿宋" w:hAnsi="仿宋" w:eastAsia="仿宋" w:cs="仿宋"/>
          <w:szCs w:val="21"/>
        </w:rPr>
        <w:t>5.3 形成标准草案</w:t>
      </w:r>
    </w:p>
    <w:p w14:paraId="19C09E25">
      <w:pPr>
        <w:pStyle w:val="30"/>
        <w:rPr>
          <w:rFonts w:hint="eastAsia" w:ascii="仿宋" w:hAnsi="仿宋" w:eastAsia="仿宋" w:cs="仿宋"/>
          <w:szCs w:val="21"/>
        </w:rPr>
      </w:pPr>
      <w:r>
        <w:rPr>
          <w:rFonts w:hint="eastAsia" w:ascii="仿宋" w:hAnsi="仿宋" w:eastAsia="仿宋" w:cs="仿宋"/>
          <w:szCs w:val="21"/>
        </w:rPr>
        <w:t>组建标准起草工作组，按照GB/T 1.1—2020搭建标准框架，细化术语定义、基本要求、监测指标与限值、监测点位布局、监测设备选型与安装、数据采集与传输、数据分析与处理、监测系统运行与维护、监测结果应用与评价等技术内容，结合行业实践完成草案初稿，经内部多轮研讨修改，形成标准草案。</w:t>
      </w:r>
    </w:p>
    <w:p w14:paraId="539B9685">
      <w:pPr>
        <w:pStyle w:val="30"/>
        <w:rPr>
          <w:rFonts w:hint="eastAsia" w:ascii="仿宋" w:hAnsi="仿宋" w:eastAsia="仿宋" w:cs="仿宋"/>
          <w:szCs w:val="21"/>
        </w:rPr>
      </w:pPr>
      <w:r>
        <w:rPr>
          <w:rFonts w:hint="eastAsia" w:ascii="仿宋" w:hAnsi="仿宋" w:eastAsia="仿宋" w:cs="仿宋"/>
          <w:szCs w:val="21"/>
        </w:rPr>
        <w:t>5.4 征求意见阶段</w:t>
      </w:r>
    </w:p>
    <w:p w14:paraId="475FFDA1">
      <w:pPr>
        <w:pStyle w:val="30"/>
        <w:rPr>
          <w:rFonts w:hint="eastAsia" w:ascii="仿宋" w:hAnsi="仿宋" w:eastAsia="仿宋" w:cs="仿宋"/>
          <w:szCs w:val="21"/>
        </w:rPr>
      </w:pPr>
      <w:r>
        <w:rPr>
          <w:rFonts w:hint="eastAsia" w:ascii="仿宋" w:hAnsi="仿宋" w:eastAsia="仿宋" w:cs="仿宋"/>
          <w:szCs w:val="21"/>
        </w:rPr>
        <w:t>通过行业协会、线上平台等渠道向建筑设计单位、智能化工程企业、电气设备生产企业、智能建筑运营方、电能质量检测机构等相关单位及专家征求意见，汇总反馈建议，</w:t>
      </w:r>
      <w:r>
        <w:rPr>
          <w:rFonts w:hint="eastAsia" w:ascii="仿宋" w:hAnsi="仿宋" w:eastAsia="仿宋" w:cs="仿宋"/>
          <w:szCs w:val="21"/>
          <w:lang w:val="en-US" w:eastAsia="zh-CN"/>
        </w:rPr>
        <w:t>并</w:t>
      </w:r>
      <w:r>
        <w:rPr>
          <w:rFonts w:hint="eastAsia" w:ascii="仿宋" w:hAnsi="仿宋" w:eastAsia="仿宋" w:cs="仿宋"/>
          <w:szCs w:val="21"/>
        </w:rPr>
        <w:t>对反馈意见逐条梳理、分析、论证与处理，修改完善标准文本。</w:t>
      </w:r>
    </w:p>
    <w:p w14:paraId="2DBA691A">
      <w:pPr>
        <w:pStyle w:val="30"/>
        <w:rPr>
          <w:rFonts w:hint="eastAsia" w:ascii="仿宋" w:hAnsi="仿宋" w:eastAsia="仿宋" w:cs="仿宋"/>
          <w:szCs w:val="21"/>
        </w:rPr>
      </w:pPr>
      <w:r>
        <w:rPr>
          <w:rFonts w:hint="eastAsia" w:ascii="仿宋" w:hAnsi="仿宋" w:eastAsia="仿宋" w:cs="仿宋"/>
          <w:szCs w:val="21"/>
        </w:rPr>
        <w:t>5.5 标准送审</w:t>
      </w:r>
    </w:p>
    <w:p w14:paraId="217C9150">
      <w:pPr>
        <w:pStyle w:val="30"/>
        <w:rPr>
          <w:rFonts w:hint="eastAsia" w:ascii="仿宋" w:hAnsi="仿宋" w:eastAsia="仿宋" w:cs="仿宋"/>
          <w:szCs w:val="21"/>
        </w:rPr>
      </w:pPr>
      <w:r>
        <w:rPr>
          <w:rFonts w:hint="eastAsia" w:ascii="仿宋" w:hAnsi="仿宋" w:eastAsia="仿宋" w:cs="仿宋"/>
          <w:szCs w:val="21"/>
        </w:rPr>
        <w:t>根据征求意见处理结果进一步完善标准内容，完成编制说明、意见汇总处理表等全套送审资料，报送团体标准审查委员会组织专家审查，根据审查意见修改完善后形成送审稿。</w:t>
      </w:r>
    </w:p>
    <w:p w14:paraId="6BA8A9F2">
      <w:pPr>
        <w:pStyle w:val="30"/>
        <w:rPr>
          <w:rFonts w:hint="eastAsia" w:ascii="仿宋" w:hAnsi="仿宋" w:eastAsia="仿宋" w:cs="仿宋"/>
          <w:szCs w:val="21"/>
        </w:rPr>
      </w:pPr>
      <w:r>
        <w:rPr>
          <w:rFonts w:hint="eastAsia" w:ascii="仿宋" w:hAnsi="仿宋" w:eastAsia="仿宋" w:cs="仿宋"/>
          <w:szCs w:val="21"/>
        </w:rPr>
        <w:t>5.6标准报批</w:t>
      </w:r>
    </w:p>
    <w:p w14:paraId="46330998">
      <w:pPr>
        <w:pStyle w:val="30"/>
        <w:rPr>
          <w:rFonts w:hint="eastAsia" w:ascii="仿宋" w:hAnsi="仿宋" w:eastAsia="仿宋" w:cs="仿宋"/>
          <w:szCs w:val="21"/>
        </w:rPr>
      </w:pPr>
      <w:r>
        <w:rPr>
          <w:rFonts w:hint="eastAsia" w:ascii="仿宋" w:hAnsi="仿宋" w:eastAsia="仿宋" w:cs="仿宋"/>
          <w:szCs w:val="21"/>
        </w:rPr>
        <w:t>完善送审稿相关材料，按规定流程报送团体标准管理机构，经审核确认符合发布要求后，办理报批手续，确定标准发布编号、实施日期并正式发布。</w:t>
      </w:r>
    </w:p>
    <w:p w14:paraId="0431BCCE">
      <w:pPr>
        <w:pStyle w:val="30"/>
        <w:ind w:firstLine="0" w:firstLineChars="0"/>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08167EA7">
      <w:pPr>
        <w:pStyle w:val="30"/>
        <w:rPr>
          <w:rFonts w:hint="eastAsia" w:ascii="仿宋" w:hAnsi="仿宋" w:eastAsia="仿宋" w:cs="仿宋"/>
          <w:szCs w:val="21"/>
        </w:rPr>
      </w:pPr>
      <w:r>
        <w:rPr>
          <w:rFonts w:hint="eastAsia" w:ascii="仿宋" w:hAnsi="仿宋" w:eastAsia="仿宋" w:cs="仿宋"/>
          <w:szCs w:val="21"/>
        </w:rPr>
        <w:t>1. 试验验证分析、综述报告</w:t>
      </w:r>
    </w:p>
    <w:p w14:paraId="7731FA12">
      <w:pPr>
        <w:pStyle w:val="30"/>
        <w:rPr>
          <w:rFonts w:hint="eastAsia" w:ascii="仿宋" w:hAnsi="仿宋" w:eastAsia="仿宋" w:cs="仿宋"/>
          <w:szCs w:val="21"/>
        </w:rPr>
      </w:pPr>
      <w:r>
        <w:rPr>
          <w:rFonts w:hint="eastAsia" w:ascii="仿宋" w:hAnsi="仿宋" w:eastAsia="仿宋" w:cs="仿宋"/>
          <w:szCs w:val="21"/>
        </w:rPr>
        <w:t>本标准技术内容经过大量工程试点验证，覆盖电压偏差、谐波畸变、三相不平衡、电压波动与闪变等核心监测指标，以及互感器选型、监测终端安装、数据采集传输、分析预警等关键技术环节。</w:t>
      </w:r>
    </w:p>
    <w:p w14:paraId="16F3AA0D">
      <w:pPr>
        <w:pStyle w:val="30"/>
        <w:rPr>
          <w:rFonts w:hint="eastAsia" w:ascii="仿宋" w:hAnsi="仿宋" w:eastAsia="仿宋" w:cs="仿宋"/>
          <w:szCs w:val="21"/>
        </w:rPr>
      </w:pPr>
      <w:r>
        <w:rPr>
          <w:rFonts w:hint="eastAsia" w:ascii="仿宋" w:hAnsi="仿宋" w:eastAsia="仿宋" w:cs="仿宋"/>
          <w:szCs w:val="21"/>
        </w:rPr>
        <w:t>验证结果表明：本标准规定的监测指标与限值科学合理，监测点位布局方法能够全面反映电能质量状况，设备选型与安装要求可保障监测数据的准确性和可靠性，数据采集与传输方案满足智能化运维需求，监测结果可有效指导电能质量治理和能效提升，为标准条文提供了充分、可信的数据支撑。</w:t>
      </w:r>
    </w:p>
    <w:p w14:paraId="18AA6B22">
      <w:pPr>
        <w:pStyle w:val="30"/>
        <w:rPr>
          <w:rFonts w:hint="eastAsia" w:ascii="仿宋" w:hAnsi="仿宋" w:eastAsia="仿宋" w:cs="仿宋"/>
          <w:szCs w:val="21"/>
        </w:rPr>
      </w:pPr>
      <w:r>
        <w:rPr>
          <w:rFonts w:hint="eastAsia" w:ascii="仿宋" w:hAnsi="仿宋" w:eastAsia="仿宋" w:cs="仿宋"/>
          <w:szCs w:val="21"/>
        </w:rPr>
        <w:t>2. 技术经济论证</w:t>
      </w:r>
    </w:p>
    <w:p w14:paraId="368B5137">
      <w:pPr>
        <w:pStyle w:val="30"/>
        <w:rPr>
          <w:rFonts w:hint="eastAsia" w:ascii="仿宋" w:hAnsi="仿宋" w:eastAsia="仿宋" w:cs="仿宋"/>
          <w:szCs w:val="21"/>
        </w:rPr>
      </w:pPr>
      <w:r>
        <w:rPr>
          <w:rFonts w:hint="eastAsia" w:ascii="仿宋" w:hAnsi="仿宋" w:eastAsia="仿宋" w:cs="仿宋"/>
          <w:szCs w:val="21"/>
        </w:rPr>
        <w:t>技术上，本标准构建了覆盖“指标—布点—选型—采集—分析—运维—应用”全流程的智能建筑电能质量监测技术体系，整合了高精度传感、高频数据采集、智能化分析预警等先进技术，系统性解决智能建筑电能质量监测中的技术难题，与现行国家标准兼容，推动智能建筑电气系统监测技术规范化、智能化发展。</w:t>
      </w:r>
    </w:p>
    <w:p w14:paraId="1381DED2">
      <w:pPr>
        <w:pStyle w:val="30"/>
        <w:rPr>
          <w:rFonts w:hint="eastAsia" w:ascii="仿宋" w:hAnsi="仿宋" w:eastAsia="仿宋" w:cs="仿宋"/>
          <w:szCs w:val="21"/>
        </w:rPr>
      </w:pPr>
      <w:r>
        <w:rPr>
          <w:rFonts w:hint="eastAsia" w:ascii="仿宋" w:hAnsi="仿宋" w:eastAsia="仿宋" w:cs="仿宋"/>
          <w:szCs w:val="21"/>
        </w:rPr>
        <w:t>经济上，标准实施可大幅减少因电能质量问题导致的设备故障、停机损失、维修更换成本，延长设备使用寿命，降低能耗，综合经济效益显著。</w:t>
      </w:r>
    </w:p>
    <w:p w14:paraId="5B6E8463">
      <w:pPr>
        <w:pStyle w:val="30"/>
        <w:rPr>
          <w:rFonts w:hint="eastAsia" w:ascii="仿宋" w:hAnsi="仿宋" w:eastAsia="仿宋" w:cs="仿宋"/>
          <w:szCs w:val="21"/>
        </w:rPr>
      </w:pPr>
      <w:r>
        <w:rPr>
          <w:rFonts w:hint="eastAsia" w:ascii="仿宋" w:hAnsi="仿宋" w:eastAsia="仿宋" w:cs="仿宋"/>
          <w:szCs w:val="21"/>
        </w:rPr>
        <w:t>3. 预期的经济效益</w:t>
      </w:r>
    </w:p>
    <w:p w14:paraId="0DE9E9FD">
      <w:pPr>
        <w:pStyle w:val="30"/>
        <w:rPr>
          <w:rFonts w:hint="eastAsia" w:ascii="仿宋" w:hAnsi="仿宋" w:eastAsia="仿宋" w:cs="仿宋"/>
          <w:szCs w:val="21"/>
        </w:rPr>
      </w:pPr>
      <w:r>
        <w:rPr>
          <w:rFonts w:hint="eastAsia" w:ascii="仿宋" w:hAnsi="仿宋" w:eastAsia="仿宋" w:cs="仿宋"/>
          <w:szCs w:val="21"/>
        </w:rPr>
        <w:t>标准实施后将产生显著经济效益：一是减少因电压偏差、谐波畸变等引起的精密设备故障和损坏，降低维修更换成本；二是降低因电能质量不良造成的线路和变压器损耗，节约电费支出；三是延长电气设备使用寿命，提高资产利用率；四是统一技术门槛，降低企业监测方案设计和设备选型的试错成本。推广应用后可在全国智能建筑领域实现显著降本增效。</w:t>
      </w:r>
    </w:p>
    <w:p w14:paraId="7B8E6D30">
      <w:pPr>
        <w:pStyle w:val="30"/>
        <w:numPr>
          <w:ilvl w:val="0"/>
          <w:numId w:val="15"/>
        </w:numPr>
        <w:rPr>
          <w:rFonts w:hint="eastAsia" w:ascii="仿宋" w:hAnsi="仿宋" w:eastAsia="仿宋" w:cs="仿宋"/>
          <w:szCs w:val="21"/>
        </w:rPr>
      </w:pPr>
      <w:r>
        <w:rPr>
          <w:rFonts w:hint="eastAsia" w:ascii="仿宋" w:hAnsi="仿宋" w:eastAsia="仿宋" w:cs="仿宋"/>
          <w:szCs w:val="21"/>
        </w:rPr>
        <w:t>社会效益和生态效益</w:t>
      </w:r>
    </w:p>
    <w:p w14:paraId="4DDA3634">
      <w:pPr>
        <w:pStyle w:val="30"/>
        <w:numPr>
          <w:ilvl w:val="0"/>
          <w:numId w:val="0"/>
        </w:numPr>
        <w:ind w:firstLine="420" w:firstLineChars="200"/>
        <w:rPr>
          <w:rFonts w:hint="eastAsia" w:ascii="仿宋" w:hAnsi="仿宋" w:eastAsia="仿宋" w:cs="仿宋"/>
          <w:szCs w:val="21"/>
        </w:rPr>
      </w:pPr>
      <w:r>
        <w:rPr>
          <w:rFonts w:hint="eastAsia" w:ascii="仿宋" w:hAnsi="仿宋" w:eastAsia="仿宋" w:cs="仿宋"/>
          <w:szCs w:val="21"/>
        </w:rPr>
        <w:t>本标准可有效提升智能建筑电气系统运行安全性和可靠性，保障智能建筑内消防、安防、智能化控制等关键系统的连续稳定运行；推动智能建筑电能质量监测技术规范化发展，助力绿色建筑、超低能耗建筑建设；通过优化电能质量降低系统损耗，减少碳排放，助力“双碳”目标，具有显著社会效益和生态效益。</w:t>
      </w:r>
    </w:p>
    <w:p w14:paraId="10A20A3F">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75E04453">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第1章 范围：规定了本文件的适用范围和适用对象，明确了不适用情形。</w:t>
      </w:r>
      <w:bookmarkStart w:id="34" w:name="_GoBack"/>
      <w:bookmarkEnd w:id="34"/>
    </w:p>
    <w:p w14:paraId="20369B5E">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第2章 规范性引用文件：列出了本文件引用的国家标准和行业标准，包括GB/T 12325、GB/T 12326、GB/T 14549、GB/T 15543、GB/T 15945、GB/T 19862、GB/T 30137、GB 55015、GB 55024、GB 51348、DL/T 1028等。</w:t>
      </w:r>
    </w:p>
    <w:p w14:paraId="6A297418">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第3章 术语和定义：对智能建筑电气系统、电能质量监测、总谐波畸变率、电压波动、闪变、三相不平衡度、监测点位、智能监测终端等核心术语进行了定义。</w:t>
      </w:r>
    </w:p>
    <w:p w14:paraId="3EF651BF">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第4章 基本要求：规定了一般原则、系统兼容性、标准符合性、系统功能、远程访问、设备标识、权限管理等基本要求。</w:t>
      </w:r>
    </w:p>
    <w:p w14:paraId="0AFAD58D">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第5章 监测指标与限值：规定了基本电气参数（电压偏差、频率偏差、三相不平衡度）和电能质量专项指标（谐波、电压波动与闪变、电压暂降）的限值要求，并以表格形式给出了各监测指标及限值汇总。</w:t>
      </w:r>
    </w:p>
    <w:p w14:paraId="3E0F8698">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第6章 监测点位布局：规定了一般要求、关键监测点位、不同建筑类型的差异化布点、监测点位数量要求、监测点位变更管理等要求，并以表格形式给出了不同建筑面积的最低监测点位数。</w:t>
      </w:r>
    </w:p>
    <w:p w14:paraId="6999B72A">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第7章 监测设备选型与安装：规定了设备选型要求、安装前准备、安装要求、布线要求、安装验收等要求，并以表格形式给出了监测设备性能要求。</w:t>
      </w:r>
    </w:p>
    <w:p w14:paraId="124ECA56">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第8章 数据采集与传输：规定了采集内容、采集频率、采集精度、传输方式、数据存储、数据质量管理等要求。</w:t>
      </w:r>
    </w:p>
    <w:p w14:paraId="005BC7E4">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第9章 数据分析与处理：规定了数据预处理、分析方法（谐波分析、趋势分析、超标预警、分级判定）、报告生成等要求，并以表格形式给出了电能质量问题分级判定标准。</w:t>
      </w:r>
    </w:p>
    <w:p w14:paraId="24F270A3">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第10章 监测系统运行与维护：规定了日常运行监控、设备校准、日常维护、数据备份与恢复、权限管理等要求。</w:t>
      </w:r>
    </w:p>
    <w:p w14:paraId="3AC2D6A6">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第11章 监测结果应用与评价：规定了电能质量治理、负荷调控与能效提升、设备运维、监测系统运行效果评价等要求，并以表格形式给出了监测系统运行效果评价等级。</w:t>
      </w:r>
    </w:p>
    <w:p w14:paraId="6F840709">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附录A（规范性）电能质量监测指标及限值汇总表：汇总了各项监测指标的限值要求和引用标准。</w:t>
      </w:r>
    </w:p>
    <w:p w14:paraId="4B662DE8">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附录B（规范性）监测设备性能要求表：规定了电压互感器、电流互感器、电能质量监测仪、数据采集终端、通信模块的性能要求。</w:t>
      </w:r>
    </w:p>
    <w:p w14:paraId="2545AB1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十、与有关的现行法律、法规和强制性国家标准及相关标准协调配套情况</w:t>
      </w:r>
    </w:p>
    <w:p w14:paraId="3C228C48">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本文件的制定过程等符合现行法律、法规和强制性国家标准的规定。</w:t>
      </w:r>
    </w:p>
    <w:p w14:paraId="433D6DCC">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822ABC4"/>
    <w:multiLevelType w:val="singleLevel"/>
    <w:tmpl w:val="3822ABC4"/>
    <w:lvl w:ilvl="0" w:tentative="0">
      <w:start w:val="4"/>
      <w:numFmt w:val="decimal"/>
      <w:suff w:val="space"/>
      <w:lvlText w:val="%1."/>
      <w:lvlJc w:val="left"/>
    </w:lvl>
  </w:abstractNum>
  <w:abstractNum w:abstractNumId="5">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9">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1"/>
  </w:num>
  <w:num w:numId="3">
    <w:abstractNumId w:val="12"/>
  </w:num>
  <w:num w:numId="4">
    <w:abstractNumId w:val="14"/>
  </w:num>
  <w:num w:numId="5">
    <w:abstractNumId w:val="2"/>
  </w:num>
  <w:num w:numId="6">
    <w:abstractNumId w:val="10"/>
  </w:num>
  <w:num w:numId="7">
    <w:abstractNumId w:val="0"/>
  </w:num>
  <w:num w:numId="8">
    <w:abstractNumId w:val="3"/>
  </w:num>
  <w:num w:numId="9">
    <w:abstractNumId w:val="6"/>
  </w:num>
  <w:num w:numId="10">
    <w:abstractNumId w:val="13"/>
  </w:num>
  <w:num w:numId="11">
    <w:abstractNumId w:val="8"/>
  </w:num>
  <w:num w:numId="12">
    <w:abstractNumId w:val="11"/>
  </w:num>
  <w:num w:numId="13">
    <w:abstractNumId w:val="7"/>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92F1D"/>
    <w:rsid w:val="026E651E"/>
    <w:rsid w:val="02AA6CEC"/>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211877"/>
    <w:rsid w:val="0C8D427D"/>
    <w:rsid w:val="0CC7751C"/>
    <w:rsid w:val="0CD342B6"/>
    <w:rsid w:val="0D6A7E17"/>
    <w:rsid w:val="0DA9093F"/>
    <w:rsid w:val="0E290DBD"/>
    <w:rsid w:val="0E4D4CDF"/>
    <w:rsid w:val="0E9B6AB7"/>
    <w:rsid w:val="0EB75EDE"/>
    <w:rsid w:val="0FB926D7"/>
    <w:rsid w:val="0FF63984"/>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7B42CFB"/>
    <w:rsid w:val="17D548A6"/>
    <w:rsid w:val="196E7664"/>
    <w:rsid w:val="19D4303C"/>
    <w:rsid w:val="1A6A4539"/>
    <w:rsid w:val="1A9A2047"/>
    <w:rsid w:val="1B063DBD"/>
    <w:rsid w:val="1B740D26"/>
    <w:rsid w:val="1C994529"/>
    <w:rsid w:val="1D297145"/>
    <w:rsid w:val="1E3C2C0B"/>
    <w:rsid w:val="1E3F091B"/>
    <w:rsid w:val="1E434ACA"/>
    <w:rsid w:val="1EAF5494"/>
    <w:rsid w:val="1EB81FDE"/>
    <w:rsid w:val="1EF32FF2"/>
    <w:rsid w:val="1F3A7C37"/>
    <w:rsid w:val="20022AF0"/>
    <w:rsid w:val="202A7BF8"/>
    <w:rsid w:val="20C242E2"/>
    <w:rsid w:val="20DF41FE"/>
    <w:rsid w:val="212E7BC9"/>
    <w:rsid w:val="2144119B"/>
    <w:rsid w:val="217D7697"/>
    <w:rsid w:val="22061A13"/>
    <w:rsid w:val="222800C3"/>
    <w:rsid w:val="228026A7"/>
    <w:rsid w:val="236B3BA8"/>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DF20AEF"/>
    <w:rsid w:val="2E257B1B"/>
    <w:rsid w:val="2E677AE4"/>
    <w:rsid w:val="2F4635EA"/>
    <w:rsid w:val="2FD87AD3"/>
    <w:rsid w:val="304414F3"/>
    <w:rsid w:val="30CA5BDB"/>
    <w:rsid w:val="30E86825"/>
    <w:rsid w:val="30FA337A"/>
    <w:rsid w:val="311961A0"/>
    <w:rsid w:val="326655EE"/>
    <w:rsid w:val="327B69E7"/>
    <w:rsid w:val="33624199"/>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A5EBA"/>
    <w:rsid w:val="3B0C28D2"/>
    <w:rsid w:val="3B3011F7"/>
    <w:rsid w:val="3B963D3A"/>
    <w:rsid w:val="3D8739B6"/>
    <w:rsid w:val="3F0E0FB1"/>
    <w:rsid w:val="3F575F4A"/>
    <w:rsid w:val="40624A0E"/>
    <w:rsid w:val="40657ACF"/>
    <w:rsid w:val="41862C17"/>
    <w:rsid w:val="41BF5866"/>
    <w:rsid w:val="41D4737F"/>
    <w:rsid w:val="41EE70DB"/>
    <w:rsid w:val="41F16D17"/>
    <w:rsid w:val="42397461"/>
    <w:rsid w:val="42943327"/>
    <w:rsid w:val="431F3CCE"/>
    <w:rsid w:val="443D7F59"/>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EA1DFB"/>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7B5851"/>
    <w:rsid w:val="4EE07EA5"/>
    <w:rsid w:val="4F1D47D7"/>
    <w:rsid w:val="4F2F0767"/>
    <w:rsid w:val="4F6221DE"/>
    <w:rsid w:val="4F93291E"/>
    <w:rsid w:val="4FAE1D52"/>
    <w:rsid w:val="4FC0715B"/>
    <w:rsid w:val="50DD469C"/>
    <w:rsid w:val="51A67184"/>
    <w:rsid w:val="52283103"/>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864B12"/>
    <w:rsid w:val="5A9329EF"/>
    <w:rsid w:val="5B076365"/>
    <w:rsid w:val="5BD72D72"/>
    <w:rsid w:val="5C10118B"/>
    <w:rsid w:val="5C2A169D"/>
    <w:rsid w:val="5CA05EB7"/>
    <w:rsid w:val="5E381B59"/>
    <w:rsid w:val="5E6C7D00"/>
    <w:rsid w:val="5EBE1A6C"/>
    <w:rsid w:val="5F3828C7"/>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FA55F5"/>
    <w:rsid w:val="7524023C"/>
    <w:rsid w:val="75605DEF"/>
    <w:rsid w:val="75F705EE"/>
    <w:rsid w:val="76276979"/>
    <w:rsid w:val="767173B7"/>
    <w:rsid w:val="76A74C81"/>
    <w:rsid w:val="76AC5DF9"/>
    <w:rsid w:val="77401CA7"/>
    <w:rsid w:val="77F17B85"/>
    <w:rsid w:val="78202F3D"/>
    <w:rsid w:val="784813C5"/>
    <w:rsid w:val="786C45B6"/>
    <w:rsid w:val="78A07E1A"/>
    <w:rsid w:val="78AB3FAF"/>
    <w:rsid w:val="790F4618"/>
    <w:rsid w:val="795456E5"/>
    <w:rsid w:val="79C25BC5"/>
    <w:rsid w:val="79D54FEF"/>
    <w:rsid w:val="79DF5F38"/>
    <w:rsid w:val="7A86111E"/>
    <w:rsid w:val="7B223D6B"/>
    <w:rsid w:val="7C260CFC"/>
    <w:rsid w:val="7C2E01C3"/>
    <w:rsid w:val="7C413482"/>
    <w:rsid w:val="7C6605B8"/>
    <w:rsid w:val="7CD90CCA"/>
    <w:rsid w:val="7D453845"/>
    <w:rsid w:val="7D754A9C"/>
    <w:rsid w:val="7DE44C08"/>
    <w:rsid w:val="7E082795"/>
    <w:rsid w:val="7F0451F0"/>
    <w:rsid w:val="7F413E4E"/>
    <w:rsid w:val="7F637BB3"/>
    <w:rsid w:val="7F8A5242"/>
    <w:rsid w:val="7FD9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3350</Words>
  <Characters>3398</Characters>
  <Lines>67</Lines>
  <Paragraphs>74</Paragraphs>
  <TotalTime>39</TotalTime>
  <ScaleCrop>false</ScaleCrop>
  <LinksUpToDate>false</LinksUpToDate>
  <CharactersWithSpaces>3423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2026-04-17T05:54:04Z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F9AF5E580354462386466AF2073F224F_13</vt:lpwstr>
  </property>
  <property fmtid="{D5CDD505-2E9C-101B-9397-08002B2CF9AE}" pid="4" name="KSOTemplateDocerSaveRecord">
    <vt:lpwstr>eyJoZGlkIjoiMTY4OTVhMzE4OTk4YjFkOWQyZmQ2NGM4ODg1MjRjOGEiLCJ1c2VySWQiOiIxNzIwMDUxMzI4In0=</vt:lpwstr>
  </property>
</Properties>
</file>