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rPr>
          <w:rFonts w:hint="eastAsia" w:ascii="仿宋" w:hAnsi="仿宋" w:eastAsia="仿宋" w:cs="仿宋"/>
          <w:b/>
          <w:bCs/>
          <w:sz w:val="32"/>
          <w:szCs w:val="32"/>
        </w:rPr>
      </w:pPr>
      <w:bookmarkStart w:id="0" w:name="_Toc304824969"/>
      <w:bookmarkStart w:id="1" w:name="_Toc298937152"/>
      <w:bookmarkStart w:id="2" w:name="_Toc304828066"/>
      <w:bookmarkStart w:id="3" w:name="_Toc310002637"/>
      <w:bookmarkStart w:id="4" w:name="_Toc309995390"/>
      <w:bookmarkStart w:id="5" w:name="_Toc298937100"/>
      <w:bookmarkStart w:id="6" w:name="_Toc309995999"/>
      <w:bookmarkStart w:id="7" w:name="_Toc309997040"/>
      <w:bookmarkStart w:id="8" w:name="_Toc298937188"/>
      <w:bookmarkStart w:id="9" w:name="_Toc304402664"/>
      <w:bookmarkStart w:id="10" w:name="_Toc298938783"/>
      <w:bookmarkStart w:id="11" w:name="_Toc499110426"/>
      <w:bookmarkStart w:id="12" w:name="_Toc309995472"/>
      <w:bookmarkStart w:id="13" w:name="_Toc304825081"/>
      <w:bookmarkStart w:id="14" w:name="_Toc298936801"/>
      <w:bookmarkStart w:id="15" w:name="_Toc298937322"/>
      <w:bookmarkStart w:id="16" w:name="_Toc309994551"/>
      <w:bookmarkStart w:id="17" w:name="_Toc298937201"/>
      <w:bookmarkStart w:id="18" w:name="_Toc298937419"/>
      <w:bookmarkStart w:id="19" w:name="_Toc298938635"/>
      <w:bookmarkStart w:id="20" w:name="_Toc298937609"/>
      <w:bookmarkStart w:id="21" w:name="_Toc298936924"/>
      <w:bookmarkStart w:id="22" w:name="_Toc298937462"/>
      <w:bookmarkStart w:id="23" w:name="_Toc6138"/>
      <w:bookmarkStart w:id="24" w:name="_Toc298923383"/>
      <w:bookmarkStart w:id="25" w:name="_Toc298937357"/>
      <w:bookmarkStart w:id="26" w:name="_Toc298937167"/>
      <w:bookmarkStart w:id="27" w:name="_Toc37234703"/>
      <w:bookmarkStart w:id="28" w:name="_Toc304825008"/>
      <w:bookmarkStart w:id="29" w:name="_Toc309993180"/>
      <w:bookmarkStart w:id="30" w:name="_Toc309995578"/>
      <w:bookmarkStart w:id="31" w:name="_Toc298937276"/>
    </w:p>
    <w:p w14:paraId="705BFDC1">
      <w:pPr>
        <w:pStyle w:val="143"/>
        <w:numPr>
          <w:ilvl w:val="0"/>
          <w:numId w:val="0"/>
        </w:numPr>
        <w:spacing w:before="312" w:after="312"/>
        <w:jc w:val="center"/>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机械动力系统状态监测与故障诊断规范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Cs w:val="21"/>
        </w:rPr>
      </w:pPr>
      <w:r>
        <w:rPr>
          <w:rFonts w:hint="eastAsia" w:ascii="仿宋" w:hAnsi="仿宋" w:eastAsia="仿宋" w:cs="仿宋"/>
          <w:b/>
          <w:bCs/>
          <w:color w:val="000000"/>
          <w:szCs w:val="21"/>
        </w:rPr>
        <w:t>一</w:t>
      </w:r>
      <w:r>
        <w:rPr>
          <w:rFonts w:hint="eastAsia" w:ascii="仿宋" w:hAnsi="仿宋" w:eastAsia="仿宋" w:cs="仿宋"/>
          <w:b/>
          <w:bCs/>
          <w:szCs w:val="21"/>
        </w:rPr>
        <w:t>、任务来源</w:t>
      </w:r>
    </w:p>
    <w:p w14:paraId="2BD45F79">
      <w:pPr>
        <w:widowControl/>
        <w:ind w:firstLine="420" w:firstLineChars="200"/>
        <w:jc w:val="left"/>
        <w:rPr>
          <w:rFonts w:hint="eastAsia" w:ascii="仿宋" w:hAnsi="仿宋" w:eastAsia="仿宋" w:cs="仿宋"/>
          <w:b/>
          <w:bCs/>
          <w:color w:val="000000"/>
          <w:szCs w:val="21"/>
        </w:rPr>
      </w:pPr>
      <w:r>
        <w:rPr>
          <w:rFonts w:hint="eastAsia" w:ascii="仿宋" w:hAnsi="仿宋" w:eastAsia="仿宋" w:cs="仿宋"/>
          <w:szCs w:val="21"/>
        </w:rPr>
        <w:t>202</w:t>
      </w:r>
      <w:r>
        <w:rPr>
          <w:rFonts w:hint="eastAsia" w:ascii="仿宋" w:hAnsi="仿宋" w:eastAsia="仿宋" w:cs="仿宋"/>
          <w:szCs w:val="21"/>
          <w:lang w:val="en-US" w:eastAsia="zh-CN"/>
        </w:rPr>
        <w:t>6</w:t>
      </w:r>
      <w:r>
        <w:rPr>
          <w:rFonts w:hint="eastAsia" w:ascii="仿宋" w:hAnsi="仿宋" w:eastAsia="仿宋" w:cs="仿宋"/>
          <w:szCs w:val="21"/>
        </w:rPr>
        <w:t>年</w:t>
      </w:r>
      <w:r>
        <w:rPr>
          <w:rFonts w:hint="eastAsia" w:ascii="仿宋" w:hAnsi="仿宋" w:eastAsia="仿宋" w:cs="仿宋"/>
          <w:szCs w:val="21"/>
          <w:lang w:val="en-US" w:eastAsia="zh-CN"/>
        </w:rPr>
        <w:t>4</w:t>
      </w:r>
      <w:r>
        <w:rPr>
          <w:rFonts w:hint="eastAsia" w:ascii="仿宋" w:hAnsi="仿宋" w:eastAsia="仿宋" w:cs="仿宋"/>
          <w:szCs w:val="21"/>
        </w:rPr>
        <w:t>月，中国西部开发促进会发布《</w:t>
      </w:r>
      <w:r>
        <w:rPr>
          <w:rFonts w:hint="eastAsia" w:ascii="仿宋" w:hAnsi="仿宋" w:eastAsia="仿宋" w:cs="仿宋"/>
          <w:szCs w:val="21"/>
          <w:lang w:eastAsia="zh-CN"/>
        </w:rPr>
        <w:t>机械动力系统状态监测与故障诊断规范</w:t>
      </w:r>
      <w:r>
        <w:rPr>
          <w:rFonts w:hint="eastAsia" w:ascii="仿宋" w:hAnsi="仿宋" w:eastAsia="仿宋" w:cs="仿宋"/>
          <w:szCs w:val="21"/>
        </w:rPr>
        <w:t>》团体标准立项通知,开展团体标准的编制工作。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Cs w:val="21"/>
        </w:rPr>
        <w:t>二</w:t>
      </w:r>
      <w:r>
        <w:rPr>
          <w:rFonts w:hint="eastAsia" w:ascii="仿宋" w:hAnsi="仿宋" w:eastAsia="仿宋" w:cs="仿宋"/>
          <w:b/>
          <w:bCs/>
          <w:szCs w:val="21"/>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firstLine="0" w:firstLineChars="0"/>
        <w:rPr>
          <w:rFonts w:hint="eastAsia" w:ascii="仿宋" w:hAnsi="仿宋" w:eastAsia="仿宋" w:cs="仿宋"/>
          <w:b/>
          <w:bCs/>
          <w:color w:val="000000"/>
          <w:szCs w:val="21"/>
        </w:rPr>
      </w:pPr>
      <w:bookmarkStart w:id="32" w:name="_Toc298937549"/>
      <w:bookmarkEnd w:id="32"/>
      <w:bookmarkStart w:id="33" w:name="BT1"/>
      <w:bookmarkEnd w:id="33"/>
      <w:r>
        <w:rPr>
          <w:rFonts w:hint="eastAsia" w:ascii="仿宋" w:hAnsi="仿宋" w:eastAsia="仿宋" w:cs="仿宋"/>
          <w:b/>
          <w:bCs/>
          <w:color w:val="000000"/>
          <w:szCs w:val="21"/>
        </w:rPr>
        <w:t>1.目的</w:t>
      </w:r>
    </w:p>
    <w:p w14:paraId="0E58F26E">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本标准编写旨在规范机械动力系统状态监测与故障诊断的全流程技术要求，明确监测配置、信号采集、状态分析、故障识别、预警判定、处置闭环及运维管理等关键环节的统一技术准则，为机械动力系统的设计选型、安装调试、在线监测、故障诊断、预测维护、检测评价提供科学依据，保障设备运行可靠性、故障可控性与维护及时性，推动机械装备状态监测与故障诊断工作向标准化、数字化、智能化、规范化发展。</w:t>
      </w:r>
    </w:p>
    <w:p w14:paraId="38381B68">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2.意义</w:t>
      </w:r>
    </w:p>
    <w:p w14:paraId="1C3D9695">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本标准的制定与实施，有助于提升机械动力系统早期故障识别能力，降低非计划停机、设备损坏与安全生产事故风险，契合智能运维、预测维护、本质安全、绿色低碳的行业发展导向；能够促进多传感器融合监测、信号分析、特征提取、智能诊断等先进技术的工程化应用，提高设备可靠性、延长使用寿命、降低运维成本；同时可为行业提供统一技术遵循，减少因监测方法、诊断依据不统一带来的误判、漏判，增强设备健康管理可追溯性，为我国高端装备与智能制造高质量发展提供技术支撑。</w:t>
      </w:r>
    </w:p>
    <w:p w14:paraId="1A6555C0">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3.必要性</w:t>
      </w:r>
    </w:p>
    <w:p w14:paraId="08E50246">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当前机械动力系统状态监测与故障诊断领域缺少统一、系统、可操作的专项技术规范，现有相关标准多针对单一振动、单一设备或通用监测要求，难以覆盖旋转机械动力系统多参量、全流程、一体化诊断需求，导致工程实践中存在测点布设不规范、采样要求不统一、分析方法不一致、预警阈值设置随意、故障判定依据不足、处置流程不闭环等问题，直接影响设备安全运行与运维效能。</w:t>
      </w:r>
    </w:p>
    <w:p w14:paraId="3093E650">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随着工业装备向高速、重载、精密、无人化方向发展，设备故障风险与运维难度显著提升，企业对精准监测、智能诊断、早期预警、预测维护的需求日益迫切，行业对统一标准的需求极为迫切。制定本标准能够填补国内机械动力系统状态监测与故障诊断的标准空白，解决现场监测、分析、诊断、预警、处置中的技术瓶颈，满足装备智能化、精细化、安全化运行管理要求，保障机械动力系统长期安全、稳定、可靠运行。</w:t>
      </w:r>
    </w:p>
    <w:p w14:paraId="3FE7694B">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综上，由电机、齿轮箱、轴承、联轴器、传动机构、液压系统等构成的机械动力系统是装备的核心部件，应用量大面广，其运行状态直接决定生产线安全与连续生产能力。但目前行业内缺乏集监测配置、信号采集、状态分析、故障诊断、预警处置、运维管理于一体的专用技术规范，相关要求分散、不系统、难以落地，制约了状态监测与故障诊断技术的普及与效能发挥。为规范诊断行为、提升预警能力、保障设备安全、推动智能运维，结合行业实践与先进技术成果，制定《机械动力系统状态监测与故障诊断规范》十分必要。本标准将明确适用范围、技术要求、判定规则及验收准则，实现状态监测与故障诊断全过程标准化管控，为行业提供统一技术遵循，助力装备制造业高质量发展</w:t>
      </w:r>
      <w:r>
        <w:rPr>
          <w:rFonts w:hint="eastAsia" w:ascii="仿宋" w:hAnsi="仿宋" w:eastAsia="仿宋" w:cs="仿宋"/>
          <w:szCs w:val="21"/>
        </w:rPr>
        <w:t>。</w:t>
      </w:r>
    </w:p>
    <w:p w14:paraId="62348F23">
      <w:pPr>
        <w:pStyle w:val="143"/>
        <w:numPr>
          <w:ilvl w:val="0"/>
          <w:numId w:val="0"/>
        </w:numPr>
        <w:spacing w:before="312" w:after="312"/>
        <w:rPr>
          <w:rFonts w:hint="eastAsia" w:ascii="仿宋" w:hAnsi="仿宋" w:eastAsia="仿宋" w:cs="仿宋"/>
          <w:b/>
          <w:bCs/>
          <w:color w:val="000000"/>
          <w:szCs w:val="21"/>
        </w:rPr>
      </w:pPr>
      <w:r>
        <w:rPr>
          <w:rFonts w:hint="eastAsia" w:ascii="仿宋" w:hAnsi="仿宋" w:eastAsia="仿宋" w:cs="仿宋"/>
          <w:b/>
          <w:bCs/>
          <w:color w:val="000000"/>
          <w:szCs w:val="21"/>
        </w:rPr>
        <w:t>三、起草单位和主要工作成员及其所作工作</w:t>
      </w:r>
    </w:p>
    <w:p w14:paraId="12D61796">
      <w:pPr>
        <w:pStyle w:val="30"/>
        <w:ind w:firstLine="0" w:firstLineChars="0"/>
        <w:rPr>
          <w:rFonts w:eastAsia="仿宋"/>
          <w:szCs w:val="21"/>
        </w:rPr>
      </w:pPr>
      <w:r>
        <w:rPr>
          <w:rFonts w:hint="eastAsia" w:ascii="仿宋" w:hAnsi="仿宋" w:eastAsia="仿宋" w:cs="仿宋"/>
          <w:b/>
          <w:bCs/>
          <w:color w:val="000000"/>
          <w:szCs w:val="21"/>
        </w:rPr>
        <w:t>1.起草单位</w:t>
      </w:r>
    </w:p>
    <w:p w14:paraId="33722D0E">
      <w:pPr>
        <w:pStyle w:val="30"/>
        <w:rPr>
          <w:rFonts w:hint="eastAsia" w:ascii="仿宋" w:hAnsi="仿宋" w:eastAsia="仿宋" w:cs="仿宋"/>
          <w:szCs w:val="21"/>
        </w:rPr>
      </w:pPr>
      <w:r>
        <w:rPr>
          <w:rFonts w:hint="eastAsia" w:ascii="仿宋" w:hAnsi="仿宋" w:eastAsia="仿宋" w:cs="仿宋"/>
          <w:szCs w:val="21"/>
        </w:rPr>
        <w:t>本文件由中国西部开发促进会提出并归口。</w:t>
      </w:r>
    </w:p>
    <w:p w14:paraId="3F8B68C3">
      <w:pPr>
        <w:pStyle w:val="30"/>
        <w:rPr>
          <w:rFonts w:hint="eastAsia" w:ascii="仿宋" w:hAnsi="仿宋" w:eastAsia="仿宋" w:cs="仿宋"/>
          <w:szCs w:val="21"/>
        </w:rPr>
      </w:pPr>
      <w:r>
        <w:rPr>
          <w:rFonts w:hint="eastAsia" w:ascii="仿宋" w:hAnsi="仿宋" w:eastAsia="仿宋" w:cs="仿宋"/>
          <w:szCs w:val="21"/>
        </w:rPr>
        <w:t>本文件由潍坊学院、浙江芒锐机械设备有限公司、上海达技实业有限公司、安康市质量技术检验检测中心、义乌市科普机械设备有限公司等</w:t>
      </w:r>
      <w:r>
        <w:rPr>
          <w:rFonts w:hint="eastAsia" w:ascii="仿宋" w:hAnsi="仿宋" w:eastAsia="仿宋" w:cs="仿宋"/>
          <w:szCs w:val="21"/>
          <w:lang w:bidi="zh-CN"/>
        </w:rPr>
        <w:t>共同</w:t>
      </w:r>
      <w:r>
        <w:rPr>
          <w:rFonts w:hint="eastAsia" w:ascii="仿宋" w:hAnsi="仿宋" w:eastAsia="仿宋" w:cs="仿宋"/>
          <w:szCs w:val="21"/>
        </w:rPr>
        <w:t>起草。</w:t>
      </w:r>
    </w:p>
    <w:p w14:paraId="6C2D1883">
      <w:pPr>
        <w:pStyle w:val="30"/>
        <w:ind w:firstLine="0" w:firstLineChars="0"/>
        <w:rPr>
          <w:rFonts w:hint="eastAsia" w:ascii="仿宋" w:hAnsi="仿宋" w:eastAsia="仿宋" w:cs="仿宋"/>
          <w:b/>
          <w:bCs/>
          <w:szCs w:val="21"/>
        </w:rPr>
      </w:pPr>
      <w:r>
        <w:rPr>
          <w:rFonts w:hint="eastAsia" w:ascii="仿宋" w:hAnsi="仿宋" w:eastAsia="仿宋" w:cs="仿宋"/>
          <w:b/>
          <w:bCs/>
          <w:szCs w:val="21"/>
        </w:rPr>
        <w:t>2.主要工作成员及其所做工作</w:t>
      </w:r>
    </w:p>
    <w:p w14:paraId="4F06396F">
      <w:pPr>
        <w:pStyle w:val="30"/>
        <w:rPr>
          <w:rFonts w:hint="eastAsia" w:ascii="仿宋" w:hAnsi="仿宋" w:eastAsia="仿宋" w:cs="仿宋"/>
          <w:szCs w:val="21"/>
        </w:rPr>
      </w:pPr>
      <w:r>
        <w:rPr>
          <w:rFonts w:hint="eastAsia" w:ascii="仿宋" w:hAnsi="仿宋" w:eastAsia="仿宋" w:cs="仿宋"/>
          <w:szCs w:val="21"/>
        </w:rPr>
        <w:t>本文件主要工作及工作职责见表1。</w:t>
      </w:r>
    </w:p>
    <w:p w14:paraId="0BB1C4A3">
      <w:pPr>
        <w:pStyle w:val="30"/>
        <w:ind w:firstLine="0" w:firstLineChars="0"/>
        <w:jc w:val="center"/>
        <w:rPr>
          <w:rFonts w:hint="eastAsia" w:ascii="仿宋" w:hAnsi="仿宋" w:eastAsia="仿宋" w:cs="仿宋"/>
          <w:szCs w:val="21"/>
        </w:rPr>
      </w:pPr>
    </w:p>
    <w:p w14:paraId="6CA2A8E8">
      <w:pPr>
        <w:pStyle w:val="30"/>
        <w:ind w:firstLine="0" w:firstLineChars="0"/>
        <w:jc w:val="center"/>
        <w:rPr>
          <w:rFonts w:hint="eastAsia" w:ascii="仿宋" w:hAnsi="仿宋" w:eastAsia="仿宋" w:cs="仿宋"/>
          <w:szCs w:val="21"/>
        </w:rPr>
      </w:pPr>
      <w:r>
        <w:rPr>
          <w:rFonts w:hint="eastAsia" w:ascii="仿宋" w:hAnsi="仿宋" w:eastAsia="仿宋" w:cs="仿宋"/>
          <w:szCs w:val="21"/>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ind w:firstLine="0" w:firstLineChars="0"/>
              <w:jc w:val="center"/>
              <w:rPr>
                <w:rFonts w:hint="eastAsia" w:ascii="仿宋" w:hAnsi="仿宋" w:eastAsia="仿宋" w:cs="仿宋"/>
                <w:szCs w:val="21"/>
              </w:rPr>
            </w:pPr>
            <w:r>
              <w:rPr>
                <w:rFonts w:hint="eastAsia" w:ascii="仿宋" w:hAnsi="仿宋" w:eastAsia="仿宋" w:cs="仿宋"/>
                <w:szCs w:val="21"/>
              </w:rPr>
              <w:t>起草单位</w:t>
            </w:r>
          </w:p>
        </w:tc>
        <w:tc>
          <w:tcPr>
            <w:tcW w:w="5342" w:type="dxa"/>
          </w:tcPr>
          <w:p w14:paraId="65A92ED6">
            <w:pPr>
              <w:pStyle w:val="30"/>
              <w:ind w:firstLine="0" w:firstLineChars="0"/>
              <w:jc w:val="center"/>
              <w:rPr>
                <w:rFonts w:hint="eastAsia" w:ascii="仿宋" w:hAnsi="仿宋" w:eastAsia="仿宋" w:cs="仿宋"/>
                <w:szCs w:val="21"/>
              </w:rPr>
            </w:pPr>
            <w:r>
              <w:rPr>
                <w:rFonts w:hint="eastAsia" w:ascii="仿宋" w:hAnsi="仿宋" w:eastAsia="仿宋" w:cs="仿宋"/>
                <w:szCs w:val="21"/>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ind w:firstLine="0" w:firstLineChars="0"/>
              <w:rPr>
                <w:rFonts w:hint="eastAsia" w:ascii="仿宋" w:hAnsi="仿宋" w:eastAsia="宋体" w:cs="仿宋"/>
                <w:szCs w:val="21"/>
                <w:highlight w:val="yellow"/>
                <w:lang w:val="en-US" w:eastAsia="zh-CN"/>
              </w:rPr>
            </w:pPr>
            <w:r>
              <w:rPr>
                <w:rFonts w:hint="eastAsia" w:ascii="仿宋" w:hAnsi="仿宋" w:eastAsia="仿宋" w:cs="仿宋"/>
                <w:szCs w:val="21"/>
              </w:rPr>
              <w:t>潍坊学院、浙江芒锐机械设备有限公司、上海达技实业有限公司、安康市质量技术检验检测中心、义乌市科普机械设备有限公司</w:t>
            </w:r>
            <w:r>
              <w:rPr>
                <w:rFonts w:hint="eastAsia" w:ascii="仿宋" w:hAnsi="仿宋" w:eastAsia="仿宋" w:cs="仿宋"/>
                <w:szCs w:val="21"/>
                <w:lang w:val="en-US" w:eastAsia="zh-CN"/>
              </w:rPr>
              <w:t>等</w:t>
            </w:r>
          </w:p>
        </w:tc>
        <w:tc>
          <w:tcPr>
            <w:tcW w:w="5342" w:type="dxa"/>
          </w:tcPr>
          <w:p w14:paraId="50D897F4">
            <w:pPr>
              <w:pStyle w:val="30"/>
              <w:ind w:firstLine="0" w:firstLineChars="0"/>
              <w:rPr>
                <w:rFonts w:hint="eastAsia" w:ascii="仿宋" w:hAnsi="仿宋" w:eastAsia="仿宋" w:cs="仿宋"/>
                <w:szCs w:val="21"/>
              </w:rPr>
            </w:pPr>
            <w:r>
              <w:rPr>
                <w:rFonts w:hint="eastAsia" w:ascii="仿宋" w:hAnsi="仿宋" w:eastAsia="仿宋" w:cs="仿宋"/>
                <w:szCs w:val="21"/>
              </w:rPr>
              <w:t>项目主编单位，负责标准编制统筹规划、技术方案确定、条文起草、试验验证组织、标准内容审核与整体协调</w:t>
            </w:r>
            <w:r>
              <w:rPr>
                <w:rFonts w:hint="eastAsia" w:ascii="仿宋" w:hAnsi="仿宋" w:eastAsia="仿宋" w:cs="仿宋"/>
                <w:szCs w:val="21"/>
                <w:lang w:eastAsia="zh-CN"/>
              </w:rPr>
              <w:t>，</w:t>
            </w:r>
            <w:r>
              <w:rPr>
                <w:rFonts w:hint="eastAsia" w:ascii="仿宋" w:hAnsi="仿宋" w:eastAsia="仿宋" w:cs="仿宋"/>
                <w:szCs w:val="21"/>
              </w:rPr>
              <w:t>提供产品应用数据与工程实践经验，提供检测验证数据。</w:t>
            </w:r>
          </w:p>
        </w:tc>
      </w:tr>
    </w:tbl>
    <w:p w14:paraId="1AC42465">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四、标准的编制原则</w:t>
      </w:r>
    </w:p>
    <w:p w14:paraId="05199C8B">
      <w:pPr>
        <w:pStyle w:val="30"/>
        <w:rPr>
          <w:rFonts w:hint="eastAsia" w:ascii="仿宋" w:hAnsi="仿宋" w:eastAsia="仿宋" w:cs="仿宋"/>
          <w:szCs w:val="21"/>
        </w:rPr>
      </w:pPr>
      <w:r>
        <w:rPr>
          <w:rFonts w:hint="eastAsia" w:ascii="仿宋" w:hAnsi="仿宋" w:eastAsia="仿宋" w:cs="仿宋"/>
          <w:szCs w:val="21"/>
        </w:rPr>
        <w:t>标准编制小组在编制标准过程中，以国家、行业现有的标准为制订基础，结合我国目前的行业现状，按照GB/T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五、标准编制过程</w:t>
      </w:r>
    </w:p>
    <w:p w14:paraId="6D1CE6A6">
      <w:pPr>
        <w:pStyle w:val="30"/>
        <w:rPr>
          <w:rFonts w:hint="eastAsia" w:ascii="仿宋" w:hAnsi="仿宋" w:eastAsia="仿宋" w:cs="仿宋"/>
          <w:szCs w:val="21"/>
        </w:rPr>
      </w:pPr>
      <w:r>
        <w:rPr>
          <w:rFonts w:hint="eastAsia" w:ascii="仿宋" w:hAnsi="仿宋" w:eastAsia="仿宋" w:cs="仿宋"/>
          <w:szCs w:val="21"/>
        </w:rPr>
        <w:t>5.1 标准调研</w:t>
      </w:r>
    </w:p>
    <w:p w14:paraId="0205E1E5">
      <w:pPr>
        <w:pStyle w:val="30"/>
        <w:rPr>
          <w:rFonts w:hint="eastAsia" w:ascii="仿宋" w:hAnsi="仿宋" w:eastAsia="仿宋" w:cs="仿宋"/>
          <w:szCs w:val="21"/>
        </w:rPr>
      </w:pPr>
      <w:r>
        <w:rPr>
          <w:rFonts w:hint="eastAsia" w:ascii="仿宋" w:hAnsi="仿宋" w:eastAsia="仿宋" w:cs="仿宋"/>
          <w:szCs w:val="21"/>
        </w:rPr>
        <w:t>编制组系统梳理国内外机械状态监测、故障诊断、振动评价、智能运维相关国家、行业及团体标准，调研机械动力系统在制造、运行、监测、诊断、维护等方面的现状，收集典型故障模式、失效案例、预警方法、诊断模型及工程痛点，形成调研分析报告。</w:t>
      </w:r>
    </w:p>
    <w:p w14:paraId="04940C14">
      <w:pPr>
        <w:pStyle w:val="30"/>
        <w:rPr>
          <w:rFonts w:hint="eastAsia" w:ascii="仿宋" w:hAnsi="仿宋" w:eastAsia="仿宋" w:cs="仿宋"/>
          <w:szCs w:val="21"/>
        </w:rPr>
      </w:pPr>
      <w:r>
        <w:rPr>
          <w:rFonts w:hint="eastAsia" w:ascii="仿宋" w:hAnsi="仿宋" w:eastAsia="仿宋" w:cs="仿宋"/>
          <w:szCs w:val="21"/>
        </w:rPr>
        <w:t>5.2. 标准立项</w:t>
      </w:r>
    </w:p>
    <w:p w14:paraId="5F7AB474">
      <w:pPr>
        <w:pStyle w:val="30"/>
        <w:rPr>
          <w:rFonts w:hint="eastAsia" w:ascii="仿宋" w:hAnsi="仿宋" w:eastAsia="仿宋" w:cs="仿宋"/>
          <w:szCs w:val="21"/>
        </w:rPr>
      </w:pPr>
      <w:r>
        <w:rPr>
          <w:rFonts w:hint="eastAsia" w:ascii="仿宋" w:hAnsi="仿宋" w:eastAsia="仿宋" w:cs="仿宋"/>
          <w:szCs w:val="21"/>
        </w:rPr>
        <w:t>基于调研成果，明确标准编制范围、核心技术内容、适用场景与预期目标，提交立项申请及支撑材料，经中国西部开发促进会审核通过后正式立项。</w:t>
      </w:r>
    </w:p>
    <w:p w14:paraId="72A91C8C">
      <w:pPr>
        <w:pStyle w:val="30"/>
        <w:rPr>
          <w:rFonts w:hint="eastAsia" w:ascii="仿宋" w:hAnsi="仿宋" w:eastAsia="仿宋" w:cs="仿宋"/>
          <w:szCs w:val="21"/>
        </w:rPr>
      </w:pPr>
      <w:r>
        <w:rPr>
          <w:rFonts w:hint="eastAsia" w:ascii="仿宋" w:hAnsi="仿宋" w:eastAsia="仿宋" w:cs="仿宋"/>
          <w:szCs w:val="21"/>
        </w:rPr>
        <w:t>5.3 形成标准草案</w:t>
      </w:r>
    </w:p>
    <w:p w14:paraId="19C09E25">
      <w:pPr>
        <w:pStyle w:val="30"/>
        <w:rPr>
          <w:rFonts w:hint="eastAsia" w:ascii="仿宋" w:hAnsi="仿宋" w:eastAsia="仿宋" w:cs="仿宋"/>
          <w:szCs w:val="21"/>
        </w:rPr>
      </w:pPr>
      <w:r>
        <w:rPr>
          <w:rFonts w:hint="eastAsia" w:ascii="仿宋" w:hAnsi="仿宋" w:eastAsia="仿宋" w:cs="仿宋"/>
          <w:szCs w:val="21"/>
        </w:rPr>
        <w:t>组建标准起草工作组，按照 GB/T 1.1—2020、GB/T 20001.6—2017 搭建标准框架，细化术语定义、基本要求、监测系统配置、状态监测、信号采集与分析、故障诊断、预警与处置、数据管理、验收维护等技术内容，结合行业实践完成草案初稿，经内部多轮研讨修改，形成标准草案。</w:t>
      </w:r>
    </w:p>
    <w:p w14:paraId="539B9685">
      <w:pPr>
        <w:pStyle w:val="30"/>
        <w:rPr>
          <w:rFonts w:hint="eastAsia" w:ascii="仿宋" w:hAnsi="仿宋" w:eastAsia="仿宋" w:cs="仿宋"/>
          <w:szCs w:val="21"/>
        </w:rPr>
      </w:pPr>
      <w:r>
        <w:rPr>
          <w:rFonts w:hint="eastAsia" w:ascii="仿宋" w:hAnsi="仿宋" w:eastAsia="仿宋" w:cs="仿宋"/>
          <w:szCs w:val="21"/>
        </w:rPr>
        <w:t>5.4 征求意见阶段</w:t>
      </w:r>
    </w:p>
    <w:p w14:paraId="475FFDA1">
      <w:pPr>
        <w:pStyle w:val="30"/>
        <w:rPr>
          <w:rFonts w:hint="eastAsia" w:ascii="仿宋" w:hAnsi="仿宋" w:eastAsia="仿宋" w:cs="仿宋"/>
          <w:szCs w:val="21"/>
        </w:rPr>
      </w:pPr>
      <w:r>
        <w:rPr>
          <w:rFonts w:hint="eastAsia" w:ascii="仿宋" w:hAnsi="仿宋" w:eastAsia="仿宋" w:cs="仿宋"/>
          <w:szCs w:val="21"/>
        </w:rPr>
        <w:t>通过行业协会、线上平台等渠道向装备制造、使用、检测、科研、设计等相关单位及专家征求意见，梳理汇总反馈建议，对草案进行修改完善，形成征求意见稿。</w:t>
      </w:r>
    </w:p>
    <w:p w14:paraId="2DBA691A">
      <w:pPr>
        <w:pStyle w:val="30"/>
        <w:rPr>
          <w:rFonts w:hint="eastAsia" w:ascii="仿宋" w:hAnsi="仿宋" w:eastAsia="仿宋" w:cs="仿宋"/>
          <w:szCs w:val="21"/>
        </w:rPr>
      </w:pPr>
      <w:r>
        <w:rPr>
          <w:rFonts w:hint="eastAsia" w:ascii="仿宋" w:hAnsi="仿宋" w:eastAsia="仿宋" w:cs="仿宋"/>
          <w:szCs w:val="21"/>
        </w:rPr>
        <w:t>5.5 标准送审</w:t>
      </w:r>
    </w:p>
    <w:p w14:paraId="217C9150">
      <w:pPr>
        <w:pStyle w:val="30"/>
        <w:rPr>
          <w:rFonts w:hint="eastAsia" w:ascii="仿宋" w:hAnsi="仿宋" w:eastAsia="仿宋" w:cs="仿宋"/>
          <w:szCs w:val="21"/>
        </w:rPr>
      </w:pPr>
      <w:r>
        <w:rPr>
          <w:rFonts w:hint="eastAsia" w:ascii="仿宋" w:hAnsi="仿宋" w:eastAsia="仿宋" w:cs="仿宋"/>
          <w:szCs w:val="21"/>
        </w:rPr>
        <w:t>将征求意见稿及编制说明、意见汇总处理表等材料报送团体标准审查委员会，组织专家进行会议审查或函审，根据审查意见进一步修改形成送审稿。</w:t>
      </w:r>
    </w:p>
    <w:p w14:paraId="6BA8A9F2">
      <w:pPr>
        <w:pStyle w:val="30"/>
        <w:rPr>
          <w:rFonts w:hint="eastAsia" w:ascii="仿宋" w:hAnsi="仿宋" w:eastAsia="仿宋" w:cs="仿宋"/>
          <w:szCs w:val="21"/>
        </w:rPr>
      </w:pPr>
      <w:r>
        <w:rPr>
          <w:rFonts w:hint="eastAsia" w:ascii="仿宋" w:hAnsi="仿宋" w:eastAsia="仿宋" w:cs="仿宋"/>
          <w:szCs w:val="21"/>
        </w:rPr>
        <w:t>5.6标准报批</w:t>
      </w:r>
    </w:p>
    <w:p w14:paraId="46330998">
      <w:pPr>
        <w:pStyle w:val="30"/>
        <w:rPr>
          <w:rFonts w:hint="eastAsia" w:ascii="仿宋" w:hAnsi="仿宋" w:eastAsia="仿宋" w:cs="仿宋"/>
          <w:szCs w:val="21"/>
        </w:rPr>
      </w:pPr>
      <w:r>
        <w:rPr>
          <w:rFonts w:hint="eastAsia" w:ascii="仿宋" w:hAnsi="仿宋" w:eastAsia="仿宋" w:cs="仿宋"/>
          <w:szCs w:val="21"/>
        </w:rPr>
        <w:t>完善送审稿相关材料，按规定流程报送团体标准管理机构，经审核确认符合发布要求后，办理报批手续，确定标准发布编号、实施日期并正式发布。</w:t>
      </w:r>
    </w:p>
    <w:p w14:paraId="0431BCCE">
      <w:pPr>
        <w:pStyle w:val="30"/>
        <w:ind w:firstLine="0" w:firstLineChars="0"/>
        <w:rPr>
          <w:rFonts w:hint="eastAsia" w:ascii="仿宋" w:hAnsi="仿宋" w:eastAsia="仿宋" w:cs="仿宋"/>
          <w:szCs w:val="21"/>
        </w:rPr>
      </w:pPr>
      <w:r>
        <w:rPr>
          <w:rFonts w:hint="eastAsia" w:ascii="仿宋" w:hAnsi="仿宋" w:eastAsia="仿宋" w:cs="仿宋"/>
          <w:b/>
          <w:bCs/>
          <w:color w:val="000000"/>
          <w:szCs w:val="21"/>
        </w:rPr>
        <w:t>六、试验验证的分析、综述报告，技术经济论证，预期的经济效益、社会效益和生态效益</w:t>
      </w:r>
    </w:p>
    <w:p w14:paraId="63CAB29E">
      <w:pPr>
        <w:pStyle w:val="30"/>
        <w:rPr>
          <w:rFonts w:hint="eastAsia" w:ascii="仿宋" w:hAnsi="仿宋" w:eastAsia="仿宋" w:cs="仿宋"/>
          <w:szCs w:val="21"/>
        </w:rPr>
      </w:pPr>
      <w:r>
        <w:rPr>
          <w:rFonts w:hint="eastAsia" w:ascii="仿宋" w:hAnsi="仿宋" w:eastAsia="仿宋" w:cs="仿宋"/>
          <w:szCs w:val="21"/>
        </w:rPr>
        <w:t>1. 试验验证分析、综述报告</w:t>
      </w:r>
    </w:p>
    <w:p w14:paraId="1C97F71C">
      <w:pPr>
        <w:pStyle w:val="30"/>
        <w:rPr>
          <w:rFonts w:hint="eastAsia" w:ascii="仿宋" w:hAnsi="仿宋" w:eastAsia="仿宋" w:cs="仿宋"/>
          <w:szCs w:val="21"/>
        </w:rPr>
      </w:pPr>
      <w:r>
        <w:rPr>
          <w:rFonts w:hint="eastAsia" w:ascii="仿宋" w:hAnsi="仿宋" w:eastAsia="仿宋" w:cs="仿宋"/>
          <w:szCs w:val="21"/>
        </w:rPr>
        <w:t>本标准技术内容经过大量试验验证与工程应用比对，覆盖振动监测、温度监测、油液监测、噪声监测、运行参数监测、传感器配置、信号采集、时域 / 频域分析、故障特征提取、典型故障识别、预警阈值、分级处置等核心要点。通过实验室台架试验、现场装备测试、在运设备长期跟踪监测，对监测方法、采样要求、分析方法、故障特征、预警指标进行系统验证。</w:t>
      </w:r>
    </w:p>
    <w:p w14:paraId="227086BE">
      <w:pPr>
        <w:pStyle w:val="30"/>
        <w:rPr>
          <w:rFonts w:hint="eastAsia" w:ascii="仿宋" w:hAnsi="仿宋" w:eastAsia="仿宋" w:cs="仿宋"/>
          <w:szCs w:val="21"/>
        </w:rPr>
      </w:pPr>
      <w:r>
        <w:rPr>
          <w:rFonts w:hint="eastAsia" w:ascii="仿宋" w:hAnsi="仿宋" w:eastAsia="仿宋" w:cs="仿宋"/>
          <w:szCs w:val="21"/>
        </w:rPr>
        <w:t>结果表明：标准规定的测点布设、采样参数、分析方法、故障判定、预警阈值、处置流程等科学合理、成熟可靠，与工程实际高度适配，可有效提升故障早期识别率与诊断准确率，为标准条文制定提供了充分、可信的数据支撑。</w:t>
      </w:r>
    </w:p>
    <w:p w14:paraId="67EA507D">
      <w:pPr>
        <w:pStyle w:val="30"/>
        <w:rPr>
          <w:rFonts w:hint="eastAsia" w:ascii="仿宋" w:hAnsi="仿宋" w:eastAsia="仿宋" w:cs="仿宋"/>
          <w:szCs w:val="21"/>
        </w:rPr>
      </w:pPr>
      <w:r>
        <w:rPr>
          <w:rFonts w:hint="eastAsia" w:ascii="仿宋" w:hAnsi="仿宋" w:eastAsia="仿宋" w:cs="仿宋"/>
          <w:szCs w:val="21"/>
        </w:rPr>
        <w:t>2. 技术经济论证</w:t>
      </w:r>
    </w:p>
    <w:p w14:paraId="5966C217">
      <w:pPr>
        <w:pStyle w:val="30"/>
        <w:rPr>
          <w:rFonts w:hint="eastAsia" w:ascii="仿宋" w:hAnsi="仿宋" w:eastAsia="仿宋" w:cs="仿宋"/>
          <w:szCs w:val="21"/>
        </w:rPr>
      </w:pPr>
      <w:r>
        <w:rPr>
          <w:rFonts w:hint="eastAsia" w:ascii="仿宋" w:hAnsi="仿宋" w:eastAsia="仿宋" w:cs="仿宋"/>
          <w:szCs w:val="21"/>
        </w:rPr>
        <w:t>技术上，本标准整合多传感器融合、信号预处理、特征提取、故障模式识别、智能诊断、预测维护等先进技术，明确监测、分析、诊断、预警、处置的统一要求，可解决当前监测不规范、诊断依据不足、预警不准确、处置不闭环等问题，与现行标准兼容，推动状态监测与故障诊断技术规范化、智能化升级。</w:t>
      </w:r>
    </w:p>
    <w:p w14:paraId="588934AC">
      <w:pPr>
        <w:pStyle w:val="30"/>
        <w:rPr>
          <w:rFonts w:hint="eastAsia" w:ascii="仿宋" w:hAnsi="仿宋" w:eastAsia="仿宋" w:cs="仿宋"/>
          <w:szCs w:val="21"/>
        </w:rPr>
      </w:pPr>
      <w:r>
        <w:rPr>
          <w:rFonts w:hint="eastAsia" w:ascii="仿宋" w:hAnsi="仿宋" w:eastAsia="仿宋" w:cs="仿宋"/>
          <w:szCs w:val="21"/>
        </w:rPr>
        <w:t>经济上，标准化实施可显著降低非计划停机时间、减少重大设备损坏风险、提高维护精准度、减少过度维修与备件浪费，延长设备使用寿命，综合降低全生命周期运维成本，经济效益突出。</w:t>
      </w:r>
    </w:p>
    <w:p w14:paraId="0F9E9366">
      <w:pPr>
        <w:pStyle w:val="30"/>
        <w:rPr>
          <w:rFonts w:hint="eastAsia" w:ascii="仿宋" w:hAnsi="仿宋" w:eastAsia="仿宋" w:cs="仿宋"/>
          <w:szCs w:val="21"/>
        </w:rPr>
      </w:pPr>
      <w:r>
        <w:rPr>
          <w:rFonts w:hint="eastAsia" w:ascii="仿宋" w:hAnsi="仿宋" w:eastAsia="仿宋" w:cs="仿宋"/>
          <w:szCs w:val="21"/>
        </w:rPr>
        <w:t>3. 预期的经济效益</w:t>
      </w:r>
    </w:p>
    <w:p w14:paraId="0BC6C8F9">
      <w:pPr>
        <w:pStyle w:val="30"/>
        <w:rPr>
          <w:rFonts w:hint="eastAsia" w:ascii="仿宋" w:hAnsi="仿宋" w:eastAsia="仿宋" w:cs="仿宋"/>
          <w:szCs w:val="21"/>
        </w:rPr>
      </w:pPr>
      <w:r>
        <w:rPr>
          <w:rFonts w:hint="eastAsia" w:ascii="仿宋" w:hAnsi="仿宋" w:eastAsia="仿宋" w:cs="仿宋"/>
          <w:szCs w:val="21"/>
        </w:rPr>
        <w:t>标准实施后将产生显著经济效益：一是减少非计划停机，降低生产中断损失；二是实现精准维护与预测维修，降低人工、备件、维修成本；三是延长设备使用寿命，提升资产利用效率；四是统一技术体系，降低企业试错成本与管理成本。在全国机械动力系统推广应用后，可实现显著的节能增效与成本节约，经济效益可观。</w:t>
      </w:r>
    </w:p>
    <w:p w14:paraId="5A9C6597">
      <w:pPr>
        <w:pStyle w:val="30"/>
        <w:rPr>
          <w:rFonts w:hint="eastAsia" w:ascii="仿宋" w:hAnsi="仿宋" w:eastAsia="仿宋" w:cs="仿宋"/>
          <w:szCs w:val="21"/>
        </w:rPr>
      </w:pPr>
      <w:r>
        <w:rPr>
          <w:rFonts w:hint="eastAsia" w:ascii="仿宋" w:hAnsi="仿宋" w:eastAsia="仿宋" w:cs="仿宋"/>
          <w:szCs w:val="21"/>
        </w:rPr>
        <w:t>4. 社会效益和生态效益</w:t>
      </w:r>
    </w:p>
    <w:p w14:paraId="62991666">
      <w:pPr>
        <w:pStyle w:val="30"/>
        <w:rPr>
          <w:rFonts w:hint="eastAsia" w:ascii="仿宋" w:hAnsi="仿宋" w:eastAsia="仿宋" w:cs="仿宋"/>
          <w:szCs w:val="21"/>
        </w:rPr>
      </w:pPr>
      <w:r>
        <w:rPr>
          <w:rFonts w:hint="eastAsia" w:ascii="仿宋" w:hAnsi="仿宋" w:eastAsia="仿宋" w:cs="仿宋"/>
          <w:szCs w:val="21"/>
        </w:rPr>
        <w:t>本标准可有效提升机械动力系统运行安全性与可靠性，减少设备损毁、停机停产及安全生产事故，保障人员与生产安全；推动智能运维与预测性维护普及，提升我国装备健康管理水平与高端装备竞争力；减少备件制造、更换、废弃带来的资源消耗与碳排放，助力 “双碳” 目标；统一行业技术门槛，促进公平竞争与高质量发展，具有显著社会效益与生态效益。</w:t>
      </w:r>
    </w:p>
    <w:p w14:paraId="10A20A3F">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七、与国际、国外同类标准技术内容的对比情况。</w:t>
      </w:r>
    </w:p>
    <w:p w14:paraId="7A4EF88F">
      <w:pPr>
        <w:pStyle w:val="30"/>
        <w:rPr>
          <w:rFonts w:hint="eastAsia" w:ascii="仿宋" w:hAnsi="仿宋" w:eastAsia="仿宋" w:cs="仿宋"/>
          <w:szCs w:val="21"/>
        </w:rPr>
      </w:pPr>
      <w:r>
        <w:rPr>
          <w:rFonts w:hint="eastAsia" w:ascii="仿宋" w:hAnsi="仿宋" w:eastAsia="仿宋" w:cs="仿宋"/>
          <w:szCs w:val="21"/>
        </w:rPr>
        <w:t>无。</w:t>
      </w:r>
    </w:p>
    <w:p w14:paraId="718EB447">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八、以国际标准为基础的起草情况，以及是否合规引用或者采用国际国外标准，并说明未采用国际标准的原因</w:t>
      </w:r>
    </w:p>
    <w:p w14:paraId="2AE6D9E8">
      <w:pPr>
        <w:pStyle w:val="30"/>
        <w:rPr>
          <w:rFonts w:hint="eastAsia" w:ascii="仿宋" w:hAnsi="仿宋" w:eastAsia="仿宋" w:cs="仿宋"/>
          <w:szCs w:val="21"/>
        </w:rPr>
      </w:pPr>
      <w:r>
        <w:rPr>
          <w:rFonts w:hint="eastAsia" w:ascii="仿宋" w:hAnsi="仿宋" w:eastAsia="仿宋" w:cs="仿宋"/>
          <w:szCs w:val="21"/>
        </w:rPr>
        <w:t>无。本文件自主制定。</w:t>
      </w:r>
    </w:p>
    <w:p w14:paraId="73EEA8A3">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九、标准主要内容</w:t>
      </w:r>
    </w:p>
    <w:p w14:paraId="0E41C375">
      <w:pPr>
        <w:pStyle w:val="169"/>
        <w:adjustRightInd w:val="0"/>
        <w:snapToGrid w:val="0"/>
        <w:ind w:firstLine="420"/>
        <w:rPr>
          <w:rFonts w:hint="eastAsia" w:ascii="仿宋" w:hAnsi="仿宋" w:eastAsia="仿宋" w:cs="仿宋"/>
          <w:b/>
          <w:bCs/>
          <w:sz w:val="21"/>
          <w:szCs w:val="21"/>
          <w:lang w:val="en-US" w:eastAsia="zh-CN" w:bidi="ar-SA"/>
        </w:rPr>
      </w:pPr>
      <w:r>
        <w:rPr>
          <w:rFonts w:hint="eastAsia" w:ascii="仿宋" w:hAnsi="仿宋" w:eastAsia="仿宋" w:cs="仿宋"/>
          <w:b/>
          <w:bCs/>
          <w:sz w:val="21"/>
          <w:szCs w:val="21"/>
          <w:lang w:val="en-US" w:eastAsia="zh-CN" w:bidi="ar-SA"/>
        </w:rPr>
        <w:t>1. 范围</w:t>
      </w:r>
    </w:p>
    <w:p w14:paraId="7E066875">
      <w:pPr>
        <w:pStyle w:val="169"/>
        <w:adjustRightInd w:val="0"/>
        <w:snapToGrid w:val="0"/>
        <w:ind w:firstLine="42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文件规定了机械动力系统状态监测与故障诊断的术语和定义、基本要求、监测系统配置、状态监测、信号采集与分析、故障诊断、预警与处置、数据管理、系统验收与维护、安全要求等内容。本文件适用于各类机械装备中以电机、内燃机为动力，包含齿轮箱、轴承、联轴器、传动机构、液压系统等关键部件的机械动力系统的状态监测、故障诊断、预警处置及运维管理。</w:t>
      </w:r>
    </w:p>
    <w:p w14:paraId="378040A2">
      <w:pPr>
        <w:pStyle w:val="169"/>
        <w:adjustRightInd w:val="0"/>
        <w:snapToGrid w:val="0"/>
        <w:ind w:firstLine="420"/>
        <w:rPr>
          <w:rFonts w:hint="eastAsia" w:ascii="仿宋" w:hAnsi="仿宋" w:eastAsia="仿宋" w:cs="仿宋"/>
          <w:b/>
          <w:bCs/>
          <w:sz w:val="21"/>
          <w:szCs w:val="21"/>
          <w:lang w:val="en-US" w:eastAsia="zh-CN" w:bidi="ar-SA"/>
        </w:rPr>
      </w:pPr>
      <w:r>
        <w:rPr>
          <w:rFonts w:hint="eastAsia" w:ascii="仿宋" w:hAnsi="仿宋" w:eastAsia="仿宋" w:cs="仿宋"/>
          <w:b/>
          <w:bCs/>
          <w:sz w:val="21"/>
          <w:szCs w:val="21"/>
          <w:lang w:val="en-US" w:eastAsia="zh-CN" w:bidi="ar-SA"/>
        </w:rPr>
        <w:t>2. 规范性引用文件</w:t>
      </w:r>
    </w:p>
    <w:p w14:paraId="57CF0E11">
      <w:pPr>
        <w:pStyle w:val="169"/>
        <w:adjustRightInd w:val="0"/>
        <w:snapToGrid w:val="0"/>
        <w:ind w:firstLine="42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本文件引用现行有效国家、行业标准，包括 GB/T 6075.1、GB/T 14122、GB/T 5226.1、GB/T 23713.1、GB/T 44947 等，引用合规、准确、协调。</w:t>
      </w:r>
    </w:p>
    <w:p w14:paraId="5AC75943">
      <w:pPr>
        <w:pStyle w:val="169"/>
        <w:adjustRightInd w:val="0"/>
        <w:snapToGrid w:val="0"/>
        <w:ind w:firstLine="420"/>
        <w:rPr>
          <w:rFonts w:hint="eastAsia" w:ascii="仿宋" w:hAnsi="仿宋" w:eastAsia="仿宋" w:cs="仿宋"/>
          <w:b/>
          <w:bCs/>
          <w:sz w:val="21"/>
          <w:szCs w:val="21"/>
          <w:lang w:val="en-US" w:eastAsia="zh-CN" w:bidi="ar-SA"/>
        </w:rPr>
      </w:pPr>
      <w:r>
        <w:rPr>
          <w:rFonts w:hint="eastAsia" w:ascii="仿宋" w:hAnsi="仿宋" w:eastAsia="仿宋" w:cs="仿宋"/>
          <w:b/>
          <w:bCs/>
          <w:sz w:val="21"/>
          <w:szCs w:val="21"/>
          <w:lang w:val="en-US" w:eastAsia="zh-CN" w:bidi="ar-SA"/>
        </w:rPr>
        <w:t>3. 术语和定义</w:t>
      </w:r>
    </w:p>
    <w:p w14:paraId="28C6646F">
      <w:pPr>
        <w:pStyle w:val="169"/>
        <w:adjustRightInd w:val="0"/>
        <w:snapToGrid w:val="0"/>
        <w:ind w:firstLine="42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规定机械动力系统、状态监测、故障诊断、特征参数、预警阈值、故障模式、在线监测、离线监测等核心术语，定义清晰、统一、无歧义。</w:t>
      </w:r>
    </w:p>
    <w:p w14:paraId="322E811F">
      <w:pPr>
        <w:pStyle w:val="169"/>
        <w:adjustRightInd w:val="0"/>
        <w:snapToGrid w:val="0"/>
        <w:ind w:firstLine="420"/>
        <w:rPr>
          <w:rFonts w:hint="eastAsia" w:ascii="仿宋" w:hAnsi="仿宋" w:eastAsia="仿宋" w:cs="仿宋"/>
          <w:b/>
          <w:bCs/>
          <w:sz w:val="21"/>
          <w:szCs w:val="21"/>
          <w:lang w:val="en-US" w:eastAsia="zh-CN" w:bidi="ar-SA"/>
        </w:rPr>
      </w:pPr>
      <w:r>
        <w:rPr>
          <w:rFonts w:hint="eastAsia" w:ascii="仿宋" w:hAnsi="仿宋" w:eastAsia="仿宋" w:cs="仿宋"/>
          <w:b/>
          <w:bCs/>
          <w:sz w:val="21"/>
          <w:szCs w:val="21"/>
          <w:lang w:val="en-US" w:eastAsia="zh-CN" w:bidi="ar-SA"/>
        </w:rPr>
        <w:t>4. 基本要求</w:t>
      </w:r>
    </w:p>
    <w:p w14:paraId="548A1ED3">
      <w:pPr>
        <w:pStyle w:val="169"/>
        <w:adjustRightInd w:val="0"/>
        <w:snapToGrid w:val="0"/>
        <w:ind w:firstLine="42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明确总体原则、设备分级管理、监测内容、系统可靠性、安全要求等，奠定标准技术基础。</w:t>
      </w:r>
    </w:p>
    <w:p w14:paraId="0314F6B5">
      <w:pPr>
        <w:pStyle w:val="169"/>
        <w:adjustRightInd w:val="0"/>
        <w:snapToGrid w:val="0"/>
        <w:ind w:firstLine="420"/>
        <w:rPr>
          <w:rFonts w:hint="eastAsia" w:ascii="仿宋" w:hAnsi="仿宋" w:eastAsia="仿宋" w:cs="仿宋"/>
          <w:b/>
          <w:bCs/>
          <w:sz w:val="21"/>
          <w:szCs w:val="21"/>
          <w:lang w:val="en-US" w:eastAsia="zh-CN" w:bidi="ar-SA"/>
        </w:rPr>
      </w:pPr>
      <w:r>
        <w:rPr>
          <w:rFonts w:hint="eastAsia" w:ascii="仿宋" w:hAnsi="仿宋" w:eastAsia="仿宋" w:cs="仿宋"/>
          <w:b/>
          <w:bCs/>
          <w:sz w:val="21"/>
          <w:szCs w:val="21"/>
          <w:lang w:val="en-US" w:eastAsia="zh-CN" w:bidi="ar-SA"/>
        </w:rPr>
        <w:t>5. 监测系统配置</w:t>
      </w:r>
    </w:p>
    <w:p w14:paraId="6B840D4F">
      <w:pPr>
        <w:pStyle w:val="169"/>
        <w:adjustRightInd w:val="0"/>
        <w:snapToGrid w:val="0"/>
        <w:ind w:firstLine="42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规定监测系统组成、传感器选型与配置、安装要求、数据采集与传输要求。</w:t>
      </w:r>
    </w:p>
    <w:p w14:paraId="465D1726">
      <w:pPr>
        <w:pStyle w:val="169"/>
        <w:adjustRightInd w:val="0"/>
        <w:snapToGrid w:val="0"/>
        <w:ind w:firstLine="420"/>
        <w:rPr>
          <w:rFonts w:hint="eastAsia" w:ascii="仿宋" w:hAnsi="仿宋" w:eastAsia="仿宋" w:cs="仿宋"/>
          <w:b/>
          <w:bCs/>
          <w:sz w:val="21"/>
          <w:szCs w:val="21"/>
          <w:lang w:val="en-US" w:eastAsia="zh-CN" w:bidi="ar-SA"/>
        </w:rPr>
      </w:pPr>
      <w:r>
        <w:rPr>
          <w:rFonts w:hint="eastAsia" w:ascii="仿宋" w:hAnsi="仿宋" w:eastAsia="仿宋" w:cs="仿宋"/>
          <w:b/>
          <w:bCs/>
          <w:sz w:val="21"/>
          <w:szCs w:val="21"/>
          <w:lang w:val="en-US" w:eastAsia="zh-CN" w:bidi="ar-SA"/>
        </w:rPr>
        <w:t>6. 状态监测</w:t>
      </w:r>
    </w:p>
    <w:p w14:paraId="46127782">
      <w:pPr>
        <w:pStyle w:val="169"/>
        <w:adjustRightInd w:val="0"/>
        <w:snapToGrid w:val="0"/>
        <w:ind w:firstLine="42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规定振动、温度、油液、噪声、运行参数等监测项目、测点、方法、周期及限值要求。</w:t>
      </w:r>
    </w:p>
    <w:p w14:paraId="765E25E7">
      <w:pPr>
        <w:pStyle w:val="169"/>
        <w:adjustRightInd w:val="0"/>
        <w:snapToGrid w:val="0"/>
        <w:ind w:firstLine="420"/>
        <w:rPr>
          <w:rFonts w:hint="eastAsia" w:ascii="仿宋" w:hAnsi="仿宋" w:eastAsia="仿宋" w:cs="仿宋"/>
          <w:b/>
          <w:bCs/>
          <w:sz w:val="21"/>
          <w:szCs w:val="21"/>
          <w:lang w:val="en-US" w:eastAsia="zh-CN" w:bidi="ar-SA"/>
        </w:rPr>
      </w:pPr>
      <w:r>
        <w:rPr>
          <w:rFonts w:hint="eastAsia" w:ascii="仿宋" w:hAnsi="仿宋" w:eastAsia="仿宋" w:cs="仿宋"/>
          <w:b/>
          <w:bCs/>
          <w:sz w:val="21"/>
          <w:szCs w:val="21"/>
          <w:lang w:val="en-US" w:eastAsia="zh-CN" w:bidi="ar-SA"/>
        </w:rPr>
        <w:t>7. 信号采集与分析</w:t>
      </w:r>
    </w:p>
    <w:p w14:paraId="61502CB4">
      <w:pPr>
        <w:pStyle w:val="169"/>
        <w:adjustRightInd w:val="0"/>
        <w:snapToGrid w:val="0"/>
        <w:ind w:firstLine="42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规定采集条件、采样要求、信号预处理、时域分析、频域分析、趋势分析、特征提取。</w:t>
      </w:r>
    </w:p>
    <w:p w14:paraId="43795697">
      <w:pPr>
        <w:pStyle w:val="169"/>
        <w:adjustRightInd w:val="0"/>
        <w:snapToGrid w:val="0"/>
        <w:ind w:firstLine="420"/>
        <w:rPr>
          <w:rFonts w:hint="eastAsia" w:ascii="仿宋" w:hAnsi="仿宋" w:eastAsia="仿宋" w:cs="仿宋"/>
          <w:b/>
          <w:bCs/>
          <w:sz w:val="21"/>
          <w:szCs w:val="21"/>
          <w:lang w:val="en-US" w:eastAsia="zh-CN" w:bidi="ar-SA"/>
        </w:rPr>
      </w:pPr>
      <w:r>
        <w:rPr>
          <w:rFonts w:hint="eastAsia" w:ascii="仿宋" w:hAnsi="仿宋" w:eastAsia="仿宋" w:cs="仿宋"/>
          <w:b/>
          <w:bCs/>
          <w:sz w:val="21"/>
          <w:szCs w:val="21"/>
          <w:lang w:val="en-US" w:eastAsia="zh-CN" w:bidi="ar-SA"/>
        </w:rPr>
        <w:t>8. 故障诊断</w:t>
      </w:r>
    </w:p>
    <w:p w14:paraId="252561B2">
      <w:pPr>
        <w:pStyle w:val="169"/>
        <w:adjustRightInd w:val="0"/>
        <w:snapToGrid w:val="0"/>
        <w:ind w:firstLine="42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规定诊断原则、诊断流程、典型故障模式与特征、诊断方法、故障等级划分、诊断结论要求。</w:t>
      </w:r>
    </w:p>
    <w:p w14:paraId="2A9E0066">
      <w:pPr>
        <w:pStyle w:val="169"/>
        <w:adjustRightInd w:val="0"/>
        <w:snapToGrid w:val="0"/>
        <w:ind w:firstLine="420"/>
        <w:rPr>
          <w:rFonts w:hint="eastAsia" w:ascii="仿宋" w:hAnsi="仿宋" w:eastAsia="仿宋" w:cs="仿宋"/>
          <w:b/>
          <w:bCs/>
          <w:sz w:val="21"/>
          <w:szCs w:val="21"/>
          <w:lang w:val="en-US" w:eastAsia="zh-CN" w:bidi="ar-SA"/>
        </w:rPr>
      </w:pPr>
      <w:r>
        <w:rPr>
          <w:rFonts w:hint="eastAsia" w:ascii="仿宋" w:hAnsi="仿宋" w:eastAsia="仿宋" w:cs="仿宋"/>
          <w:b/>
          <w:bCs/>
          <w:sz w:val="21"/>
          <w:szCs w:val="21"/>
          <w:lang w:val="en-US" w:eastAsia="zh-CN" w:bidi="ar-SA"/>
        </w:rPr>
        <w:t>9. 预警与处置</w:t>
      </w:r>
    </w:p>
    <w:p w14:paraId="39B99D05">
      <w:pPr>
        <w:pStyle w:val="169"/>
        <w:adjustRightInd w:val="0"/>
        <w:snapToGrid w:val="0"/>
        <w:ind w:firstLine="420"/>
        <w:rPr>
          <w:rFonts w:hint="eastAsia" w:ascii="仿宋" w:hAnsi="仿宋" w:eastAsia="仿宋" w:cs="仿宋"/>
          <w:sz w:val="21"/>
          <w:szCs w:val="21"/>
          <w:lang w:val="en-US" w:eastAsia="zh-CN" w:bidi="ar-SA"/>
        </w:rPr>
      </w:pPr>
      <w:bookmarkStart w:id="34" w:name="_GoBack"/>
      <w:bookmarkEnd w:id="34"/>
      <w:r>
        <w:rPr>
          <w:rFonts w:hint="eastAsia" w:ascii="仿宋" w:hAnsi="仿宋" w:eastAsia="仿宋" w:cs="仿宋"/>
          <w:sz w:val="21"/>
          <w:szCs w:val="21"/>
          <w:lang w:val="en-US" w:eastAsia="zh-CN" w:bidi="ar-SA"/>
        </w:rPr>
        <w:t>规定预警分级、阈值设置、预警方式、处置原则、处置流程、处置措施、闭环管理。</w:t>
      </w:r>
    </w:p>
    <w:p w14:paraId="5B5818C8">
      <w:pPr>
        <w:pStyle w:val="169"/>
        <w:adjustRightInd w:val="0"/>
        <w:snapToGrid w:val="0"/>
        <w:ind w:firstLine="420"/>
        <w:rPr>
          <w:rFonts w:hint="eastAsia" w:ascii="仿宋" w:hAnsi="仿宋" w:eastAsia="仿宋" w:cs="仿宋"/>
          <w:b/>
          <w:bCs/>
          <w:sz w:val="21"/>
          <w:szCs w:val="21"/>
          <w:lang w:val="en-US" w:eastAsia="zh-CN" w:bidi="ar-SA"/>
        </w:rPr>
      </w:pPr>
      <w:r>
        <w:rPr>
          <w:rFonts w:hint="eastAsia" w:ascii="仿宋" w:hAnsi="仿宋" w:eastAsia="仿宋" w:cs="仿宋"/>
          <w:b/>
          <w:bCs/>
          <w:sz w:val="21"/>
          <w:szCs w:val="21"/>
          <w:lang w:val="en-US" w:eastAsia="zh-CN" w:bidi="ar-SA"/>
        </w:rPr>
        <w:t>10. 数据管理与报告</w:t>
      </w:r>
    </w:p>
    <w:p w14:paraId="091C6DAC">
      <w:pPr>
        <w:pStyle w:val="169"/>
        <w:adjustRightInd w:val="0"/>
        <w:snapToGrid w:val="0"/>
        <w:ind w:firstLine="42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规定数据要求、诊断报告内容、设备健康档案与记录管理。</w:t>
      </w:r>
    </w:p>
    <w:p w14:paraId="61B85975">
      <w:pPr>
        <w:pStyle w:val="169"/>
        <w:adjustRightInd w:val="0"/>
        <w:snapToGrid w:val="0"/>
        <w:ind w:firstLine="420"/>
        <w:rPr>
          <w:rFonts w:hint="eastAsia" w:ascii="仿宋" w:hAnsi="仿宋" w:eastAsia="仿宋" w:cs="仿宋"/>
          <w:b/>
          <w:bCs/>
          <w:sz w:val="21"/>
          <w:szCs w:val="21"/>
          <w:lang w:val="en-US" w:eastAsia="zh-CN" w:bidi="ar-SA"/>
        </w:rPr>
      </w:pPr>
      <w:r>
        <w:rPr>
          <w:rFonts w:hint="eastAsia" w:ascii="仿宋" w:hAnsi="仿宋" w:eastAsia="仿宋" w:cs="仿宋"/>
          <w:b/>
          <w:bCs/>
          <w:sz w:val="21"/>
          <w:szCs w:val="21"/>
          <w:lang w:val="en-US" w:eastAsia="zh-CN" w:bidi="ar-SA"/>
        </w:rPr>
        <w:t>11. 系统验收与维护</w:t>
      </w:r>
    </w:p>
    <w:p w14:paraId="3202665C">
      <w:pPr>
        <w:pStyle w:val="169"/>
        <w:adjustRightInd w:val="0"/>
        <w:snapToGrid w:val="0"/>
        <w:ind w:firstLine="42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规定监测诊断系统验收内容、验收指标、日常维护、定期校准与系统保养。</w:t>
      </w:r>
    </w:p>
    <w:p w14:paraId="67A2C38C">
      <w:pPr>
        <w:pStyle w:val="169"/>
        <w:adjustRightInd w:val="0"/>
        <w:snapToGrid w:val="0"/>
        <w:ind w:firstLine="420"/>
        <w:rPr>
          <w:rFonts w:hint="eastAsia" w:ascii="仿宋" w:hAnsi="仿宋" w:eastAsia="仿宋" w:cs="仿宋"/>
          <w:b/>
          <w:bCs/>
          <w:sz w:val="21"/>
          <w:szCs w:val="21"/>
          <w:lang w:val="en-US" w:eastAsia="zh-CN" w:bidi="ar-SA"/>
        </w:rPr>
      </w:pPr>
      <w:r>
        <w:rPr>
          <w:rFonts w:hint="eastAsia" w:ascii="仿宋" w:hAnsi="仿宋" w:eastAsia="仿宋" w:cs="仿宋"/>
          <w:b/>
          <w:bCs/>
          <w:sz w:val="21"/>
          <w:szCs w:val="21"/>
          <w:lang w:val="en-US" w:eastAsia="zh-CN" w:bidi="ar-SA"/>
        </w:rPr>
        <w:t xml:space="preserve"> 安全要求</w:t>
      </w:r>
    </w:p>
    <w:p w14:paraId="4F729A66">
      <w:pPr>
        <w:pStyle w:val="169"/>
        <w:adjustRightInd w:val="0"/>
        <w:snapToGrid w:val="0"/>
        <w:ind w:firstLine="42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规定电气安全、安装安全、电磁兼容、环保处置等要求。</w:t>
      </w:r>
    </w:p>
    <w:p w14:paraId="2545AB1A">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十、与有关的现行法律、法规和强制性国家标准及相关标准协调配套情况</w:t>
      </w:r>
    </w:p>
    <w:p w14:paraId="3C228C48">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本文件的制定过程等符合现行法律、法规和强制性国家标准的规定。</w:t>
      </w:r>
    </w:p>
    <w:p w14:paraId="433D6DCC">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十一、重大分歧意见的处理经过和依据</w:t>
      </w:r>
    </w:p>
    <w:p w14:paraId="106E5E0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无。</w:t>
      </w:r>
    </w:p>
    <w:p w14:paraId="0912C1A3">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十二、标准作为强制性或推荐性标准的建议</w:t>
      </w:r>
    </w:p>
    <w:p w14:paraId="24C07FB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建议该标准作为推荐性团体标准。</w:t>
      </w:r>
    </w:p>
    <w:p w14:paraId="6F001D2A">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十三、贯彻标准的要求和措施建议，包括（组织措施、技术措施、过渡办法）</w:t>
      </w:r>
    </w:p>
    <w:p w14:paraId="29A31206">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由于本文件首次制定，没有特殊要求。</w:t>
      </w:r>
    </w:p>
    <w:p w14:paraId="7C9E39C5">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十四、废止现有有关标准的建议</w:t>
      </w:r>
    </w:p>
    <w:p w14:paraId="1C52110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无。</w:t>
      </w:r>
    </w:p>
    <w:p w14:paraId="58A38841">
      <w:pPr>
        <w:snapToGrid w:val="0"/>
        <w:ind w:firstLine="420" w:firstLineChars="200"/>
        <w:rPr>
          <w:rFonts w:hint="eastAsia" w:ascii="仿宋" w:hAnsi="仿宋" w:eastAsia="仿宋" w:cs="仿宋"/>
          <w:kern w:val="0"/>
          <w:szCs w:val="21"/>
        </w:rPr>
      </w:pPr>
    </w:p>
    <w:p w14:paraId="180512C4">
      <w:pPr>
        <w:snapToGrid w:val="0"/>
        <w:ind w:firstLine="420" w:firstLineChars="200"/>
        <w:jc w:val="right"/>
        <w:rPr>
          <w:rFonts w:hint="eastAsia" w:ascii="仿宋" w:hAnsi="仿宋" w:eastAsia="仿宋" w:cs="仿宋"/>
          <w:kern w:val="0"/>
          <w:szCs w:val="21"/>
        </w:rPr>
      </w:pPr>
      <w:r>
        <w:rPr>
          <w:rFonts w:hint="eastAsia" w:ascii="仿宋" w:hAnsi="仿宋" w:eastAsia="仿宋" w:cs="仿宋"/>
          <w:kern w:val="0"/>
          <w:szCs w:val="21"/>
        </w:rPr>
        <w:t>团体标准工作组</w:t>
      </w:r>
    </w:p>
    <w:p w14:paraId="57A29966">
      <w:pPr>
        <w:snapToGrid w:val="0"/>
        <w:ind w:firstLine="420" w:firstLineChars="200"/>
        <w:jc w:val="right"/>
        <w:rPr>
          <w:rFonts w:hint="eastAsia" w:ascii="仿宋" w:hAnsi="仿宋" w:eastAsia="仿宋" w:cs="仿宋"/>
          <w:kern w:val="0"/>
          <w:szCs w:val="21"/>
        </w:rPr>
      </w:pPr>
      <w:r>
        <w:rPr>
          <w:rFonts w:hint="eastAsia" w:ascii="仿宋" w:hAnsi="仿宋" w:eastAsia="仿宋" w:cs="仿宋"/>
          <w:kern w:val="0"/>
          <w:szCs w:val="21"/>
        </w:rPr>
        <w:t>202</w:t>
      </w:r>
      <w:r>
        <w:rPr>
          <w:rFonts w:hint="eastAsia" w:ascii="仿宋" w:hAnsi="仿宋" w:eastAsia="仿宋" w:cs="仿宋"/>
          <w:kern w:val="0"/>
          <w:szCs w:val="21"/>
          <w:lang w:val="en-US" w:eastAsia="zh-CN"/>
        </w:rPr>
        <w:t>6</w:t>
      </w:r>
      <w:r>
        <w:rPr>
          <w:rFonts w:hint="eastAsia" w:ascii="仿宋" w:hAnsi="仿宋" w:eastAsia="仿宋" w:cs="仿宋"/>
          <w:kern w:val="0"/>
          <w:szCs w:val="21"/>
        </w:rPr>
        <w:t>年</w:t>
      </w:r>
      <w:r>
        <w:rPr>
          <w:rFonts w:hint="eastAsia" w:ascii="仿宋" w:hAnsi="仿宋" w:eastAsia="仿宋" w:cs="仿宋"/>
          <w:kern w:val="0"/>
          <w:szCs w:val="21"/>
          <w:lang w:val="en-US" w:eastAsia="zh-CN"/>
        </w:rPr>
        <w:t>4</w:t>
      </w:r>
      <w:r>
        <w:rPr>
          <w:rFonts w:hint="eastAsia" w:ascii="仿宋" w:hAnsi="仿宋" w:eastAsia="仿宋" w:cs="仿宋"/>
          <w:kern w:val="0"/>
          <w:szCs w:val="21"/>
        </w:rPr>
        <w:t>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3D82"/>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548F"/>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D0D"/>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380B"/>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4103"/>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6A9"/>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570A"/>
    <w:rsid w:val="00316BAD"/>
    <w:rsid w:val="00317009"/>
    <w:rsid w:val="003175DB"/>
    <w:rsid w:val="00320AF9"/>
    <w:rsid w:val="00321CF6"/>
    <w:rsid w:val="0032241D"/>
    <w:rsid w:val="0032293F"/>
    <w:rsid w:val="0032342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58ED"/>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6ACC"/>
    <w:rsid w:val="00367563"/>
    <w:rsid w:val="003676D1"/>
    <w:rsid w:val="00370458"/>
    <w:rsid w:val="003739EF"/>
    <w:rsid w:val="00373B14"/>
    <w:rsid w:val="0037505B"/>
    <w:rsid w:val="00375354"/>
    <w:rsid w:val="00375564"/>
    <w:rsid w:val="0037697E"/>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BA2"/>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1EE8"/>
    <w:rsid w:val="004E2580"/>
    <w:rsid w:val="004E27C7"/>
    <w:rsid w:val="004E3B98"/>
    <w:rsid w:val="004E4699"/>
    <w:rsid w:val="004E4DDA"/>
    <w:rsid w:val="004E6843"/>
    <w:rsid w:val="004E6B8B"/>
    <w:rsid w:val="004E7D10"/>
    <w:rsid w:val="004F0A1E"/>
    <w:rsid w:val="004F1A95"/>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2B81"/>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47B3D"/>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10F1"/>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69"/>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3E6"/>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6EAB"/>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BA3"/>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5985"/>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551"/>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2FA"/>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878"/>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48E"/>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06EC"/>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08EC"/>
    <w:rsid w:val="00CD1023"/>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77"/>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4AD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77619"/>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2CD9"/>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6312"/>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78E"/>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D74C4"/>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3C62"/>
    <w:rsid w:val="00FF49A5"/>
    <w:rsid w:val="00FF6868"/>
    <w:rsid w:val="01927D66"/>
    <w:rsid w:val="01AC3A93"/>
    <w:rsid w:val="02057360"/>
    <w:rsid w:val="02626557"/>
    <w:rsid w:val="02692F1D"/>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7B42CFB"/>
    <w:rsid w:val="196E7664"/>
    <w:rsid w:val="19D4303C"/>
    <w:rsid w:val="1A6A4539"/>
    <w:rsid w:val="1B063DBD"/>
    <w:rsid w:val="1B740D26"/>
    <w:rsid w:val="1C994529"/>
    <w:rsid w:val="1D297145"/>
    <w:rsid w:val="1E3C2C0B"/>
    <w:rsid w:val="1E3F091B"/>
    <w:rsid w:val="1E434ACA"/>
    <w:rsid w:val="1EAF5494"/>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DF20AEF"/>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EA1DFB"/>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b/>
      <w:bCs/>
      <w:kern w:val="0"/>
      <w:sz w:val="20"/>
      <w:szCs w:val="20"/>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wordWrap w:val="0"/>
      <w:overflowPunct w:val="0"/>
      <w:autoSpaceDE w:val="0"/>
      <w:autoSpaceDN w:val="0"/>
      <w:textAlignment w:val="baseline"/>
      <w:outlineLvl w:val="3"/>
    </w:pPr>
  </w:style>
  <w:style w:type="paragraph" w:customStyle="1" w:styleId="188">
    <w:name w:val="列表段落1"/>
    <w:basedOn w:val="1"/>
    <w:autoRedefine/>
    <w:qFormat/>
    <w:uiPriority w:val="0"/>
    <w:pPr>
      <w:ind w:firstLine="420" w:firstLineChars="200"/>
    </w:pPr>
  </w:style>
  <w:style w:type="paragraph" w:customStyle="1" w:styleId="189">
    <w:name w:val="Table Text"/>
    <w:basedOn w:val="1"/>
    <w:autoRedefine/>
    <w:semiHidden/>
    <w:qFormat/>
    <w:uiPriority w:val="0"/>
    <w:rPr>
      <w:rFonts w:ascii="宋体" w:hAnsi="宋体" w:cs="宋体"/>
      <w:szCs w:val="21"/>
      <w:lang w:eastAsia="en-US"/>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3879</Words>
  <Characters>3987</Characters>
  <Lines>67</Lines>
  <Paragraphs>74</Paragraphs>
  <TotalTime>46</TotalTime>
  <ScaleCrop>false</ScaleCrop>
  <LinksUpToDate>false</LinksUpToDate>
  <CharactersWithSpaces>4026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2026-04-13T01:51:59Z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4131286406FF43FCAC0A90AD2917404B_13</vt:lpwstr>
  </property>
  <property fmtid="{D5CDD505-2E9C-101B-9397-08002B2CF9AE}" pid="4" name="KSOTemplateDocerSaveRecord">
    <vt:lpwstr>eyJoZGlkIjoiMTY4OTVhMzE4OTk4YjFkOWQyZmQ2NGM4ODg1MjRjOGEiLCJ1c2VySWQiOiIxNzIwMDUxMzI4In0=</vt:lpwstr>
  </property>
</Properties>
</file>