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FDC1" w14:textId="6DC28EFF" w:rsidR="00DD042A" w:rsidRDefault="00000000">
      <w:pPr>
        <w:pStyle w:val="a0"/>
        <w:numPr>
          <w:ilvl w:val="0"/>
          <w:numId w:val="0"/>
        </w:numPr>
        <w:spacing w:before="312" w:after="312"/>
        <w:jc w:val="center"/>
        <w:rPr>
          <w:rFonts w:ascii="仿宋" w:eastAsia="仿宋" w:hAnsi="仿宋" w:cs="仿宋" w:hint="eastAsia"/>
          <w:b/>
          <w:bCs/>
          <w:sz w:val="32"/>
          <w:szCs w:val="32"/>
        </w:rPr>
      </w:pPr>
      <w:bookmarkStart w:id="0" w:name="_Toc298937609"/>
      <w:bookmarkStart w:id="1" w:name="_Toc309993180"/>
      <w:bookmarkStart w:id="2" w:name="_Toc298938635"/>
      <w:bookmarkStart w:id="3" w:name="_Toc304828066"/>
      <w:bookmarkStart w:id="4" w:name="_Toc309995999"/>
      <w:bookmarkStart w:id="5" w:name="_Toc298937462"/>
      <w:bookmarkStart w:id="6" w:name="_Toc298937201"/>
      <w:bookmarkStart w:id="7" w:name="_Toc298937167"/>
      <w:bookmarkStart w:id="8" w:name="_Toc298937188"/>
      <w:bookmarkStart w:id="9" w:name="_Toc298936924"/>
      <w:bookmarkStart w:id="10" w:name="_Toc298937322"/>
      <w:bookmarkStart w:id="11" w:name="_Toc309995390"/>
      <w:bookmarkStart w:id="12" w:name="_Toc309994551"/>
      <w:bookmarkStart w:id="13" w:name="_Toc298937152"/>
      <w:bookmarkStart w:id="14" w:name="_Toc499110426"/>
      <w:bookmarkStart w:id="15" w:name="_Toc298937419"/>
      <w:bookmarkStart w:id="16" w:name="_Toc309995578"/>
      <w:bookmarkStart w:id="17" w:name="_Toc298923383"/>
      <w:bookmarkStart w:id="18" w:name="_Toc298936801"/>
      <w:bookmarkStart w:id="19" w:name="_Toc298937276"/>
      <w:bookmarkStart w:id="20" w:name="_Toc298938783"/>
      <w:bookmarkStart w:id="21" w:name="_Toc309997040"/>
      <w:bookmarkStart w:id="22" w:name="_Toc37234703"/>
      <w:bookmarkStart w:id="23" w:name="_Toc309995472"/>
      <w:bookmarkStart w:id="24" w:name="_Toc298937100"/>
      <w:bookmarkStart w:id="25" w:name="_Toc304402664"/>
      <w:bookmarkStart w:id="26" w:name="_Toc310002637"/>
      <w:bookmarkStart w:id="27" w:name="_Toc304825081"/>
      <w:bookmarkStart w:id="28" w:name="_Toc298937357"/>
      <w:bookmarkStart w:id="29" w:name="_Toc304824969"/>
      <w:bookmarkStart w:id="30" w:name="_Toc304825008"/>
      <w:bookmarkStart w:id="31" w:name="_Toc6138"/>
      <w:r>
        <w:rPr>
          <w:rFonts w:ascii="仿宋" w:eastAsia="仿宋" w:hAnsi="仿宋" w:cs="仿宋" w:hint="eastAsia"/>
          <w:b/>
          <w:bCs/>
          <w:sz w:val="32"/>
          <w:szCs w:val="32"/>
        </w:rPr>
        <w:t>《</w:t>
      </w:r>
      <w:r w:rsidR="004F75DF" w:rsidRPr="004F75DF">
        <w:rPr>
          <w:rFonts w:ascii="仿宋" w:eastAsia="仿宋" w:hAnsi="仿宋" w:cs="仿宋" w:hint="eastAsia"/>
          <w:b/>
          <w:bCs/>
          <w:sz w:val="32"/>
          <w:szCs w:val="32"/>
        </w:rPr>
        <w:t>给排水系统防回流污染技术规范</w:t>
      </w:r>
      <w:r>
        <w:rPr>
          <w:rFonts w:ascii="仿宋" w:eastAsia="仿宋" w:hAnsi="仿宋" w:cs="仿宋" w:hint="eastAsia"/>
          <w:b/>
          <w:bCs/>
          <w:sz w:val="32"/>
          <w:szCs w:val="32"/>
        </w:rPr>
        <w:t>》团体标准编制说明</w:t>
      </w:r>
    </w:p>
    <w:p w14:paraId="2A8AD7D5" w14:textId="77777777" w:rsidR="00DD042A"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3E54C72C" w:rsidR="00DD042A"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2026年</w:t>
      </w:r>
      <w:r w:rsidR="004F75DF">
        <w:rPr>
          <w:rFonts w:ascii="仿宋" w:eastAsia="仿宋" w:hAnsi="仿宋" w:cs="仿宋" w:hint="eastAsia"/>
          <w:szCs w:val="21"/>
        </w:rPr>
        <w:t>4</w:t>
      </w:r>
      <w:r>
        <w:rPr>
          <w:rFonts w:ascii="仿宋" w:eastAsia="仿宋" w:hAnsi="仿宋" w:cs="仿宋" w:hint="eastAsia"/>
          <w:szCs w:val="21"/>
        </w:rPr>
        <w:t>月，中国西部开发促进会发布《</w:t>
      </w:r>
      <w:r w:rsidR="004F75DF" w:rsidRPr="004F75DF">
        <w:rPr>
          <w:rFonts w:ascii="仿宋" w:eastAsia="仿宋" w:hAnsi="仿宋" w:cs="仿宋" w:hint="eastAsia"/>
          <w:szCs w:val="21"/>
        </w:rPr>
        <w:t>给排水系统防回流污染技术规范</w:t>
      </w:r>
      <w:r>
        <w:rPr>
          <w:rFonts w:ascii="仿宋" w:eastAsia="仿宋" w:hAnsi="仿宋" w:cs="仿宋" w:hint="eastAsia"/>
          <w:szCs w:val="21"/>
        </w:rPr>
        <w:t>》团体标准立项通知,开展团体标准的编制工作。</w:t>
      </w:r>
    </w:p>
    <w:p w14:paraId="489FDD61" w14:textId="77777777" w:rsidR="00DD042A"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DD042A" w:rsidRDefault="00000000">
      <w:pPr>
        <w:pStyle w:val="affb"/>
        <w:ind w:firstLine="422"/>
        <w:rPr>
          <w:rFonts w:ascii="仿宋" w:eastAsia="仿宋" w:hAnsi="仿宋" w:cs="仿宋" w:hint="eastAsia"/>
          <w:b/>
          <w:bCs/>
          <w:color w:val="000000"/>
          <w:szCs w:val="21"/>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（一）目的</w:t>
      </w:r>
    </w:p>
    <w:p w14:paraId="0E58F26E" w14:textId="554452C5" w:rsidR="00DD042A" w:rsidRDefault="004F75DF">
      <w:pPr>
        <w:pStyle w:val="affc"/>
        <w:widowControl/>
        <w:spacing w:beforeAutospacing="0" w:afterAutospacing="0"/>
        <w:ind w:firstLineChars="200" w:firstLine="420"/>
        <w:jc w:val="both"/>
        <w:rPr>
          <w:rFonts w:ascii="仿宋" w:eastAsia="仿宋" w:hAnsi="仿宋" w:cs="仿宋" w:hint="eastAsia"/>
          <w:sz w:val="21"/>
          <w:szCs w:val="21"/>
        </w:rPr>
      </w:pPr>
      <w:r w:rsidRPr="004F75DF">
        <w:rPr>
          <w:rFonts w:ascii="仿宋" w:eastAsia="仿宋" w:hAnsi="仿宋" w:cs="仿宋" w:hint="eastAsia"/>
          <w:sz w:val="21"/>
          <w:szCs w:val="21"/>
        </w:rPr>
        <w:t>本文件的制定旨在规范给排水系统防回流污染的技术要求，统一回流污染危害程度分级标准，明确空气间隙、倒流防止器、真空破坏器等防回流装置的设计、选用、施工安装、调试检验及运行维护管理要求，从技术源头预防和控制因背压回流或虹吸回流造成的生活饮用水水质污染事件，保障城镇供水安全</w:t>
      </w:r>
      <w:r>
        <w:rPr>
          <w:rFonts w:ascii="仿宋" w:eastAsia="仿宋" w:hAnsi="仿宋" w:cs="仿宋" w:hint="eastAsia"/>
          <w:sz w:val="21"/>
          <w:szCs w:val="21"/>
        </w:rPr>
        <w:t>。</w:t>
      </w:r>
    </w:p>
    <w:p w14:paraId="38381B68" w14:textId="77777777" w:rsidR="00DD042A" w:rsidRDefault="00000000">
      <w:pPr>
        <w:pStyle w:val="affb"/>
        <w:ind w:firstLine="422"/>
        <w:rPr>
          <w:rFonts w:ascii="仿宋" w:eastAsia="仿宋" w:hAnsi="仿宋" w:cs="仿宋" w:hint="eastAsia"/>
          <w:b/>
          <w:bCs/>
          <w:color w:val="000000"/>
          <w:szCs w:val="21"/>
        </w:rPr>
      </w:pPr>
      <w:r>
        <w:rPr>
          <w:rFonts w:ascii="仿宋" w:eastAsia="仿宋" w:hAnsi="仿宋" w:cs="仿宋" w:hint="eastAsia"/>
          <w:b/>
          <w:bCs/>
          <w:color w:val="000000"/>
          <w:szCs w:val="21"/>
        </w:rPr>
        <w:t>（二）意义</w:t>
      </w:r>
    </w:p>
    <w:p w14:paraId="1C3D9695" w14:textId="21A1DDA9" w:rsidR="00DD042A" w:rsidRDefault="004F75DF">
      <w:pPr>
        <w:pStyle w:val="affc"/>
        <w:widowControl/>
        <w:spacing w:beforeAutospacing="0" w:afterAutospacing="0"/>
        <w:ind w:firstLineChars="200" w:firstLine="420"/>
        <w:jc w:val="both"/>
        <w:rPr>
          <w:rFonts w:ascii="仿宋" w:eastAsia="仿宋" w:hAnsi="仿宋" w:cs="仿宋" w:hint="eastAsia"/>
          <w:sz w:val="21"/>
          <w:szCs w:val="21"/>
        </w:rPr>
      </w:pPr>
      <w:r w:rsidRPr="004F75DF">
        <w:rPr>
          <w:rFonts w:ascii="仿宋" w:eastAsia="仿宋" w:hAnsi="仿宋" w:cs="仿宋" w:hint="eastAsia"/>
          <w:sz w:val="21"/>
          <w:szCs w:val="21"/>
        </w:rPr>
        <w:t>给排水系统防回流污染是保障饮用水安全的重要技术环节。目前国内涉及防回流污染的标准体系较为分散：GB 50015《建筑给水排水设计标准》在附录A中规定了危害程度分级及设施选择原则，GB/T 25178《减压型倒流防止器》和CJ/T 324《真空破坏器》分别规定了产品性能要求</w:t>
      </w:r>
      <w:r>
        <w:rPr>
          <w:rFonts w:ascii="仿宋" w:eastAsia="仿宋" w:hAnsi="仿宋" w:cs="仿宋" w:hint="eastAsia"/>
          <w:sz w:val="21"/>
          <w:szCs w:val="21"/>
        </w:rPr>
        <w:t>。</w:t>
      </w:r>
      <w:r w:rsidRPr="004F75DF">
        <w:rPr>
          <w:rFonts w:ascii="仿宋" w:eastAsia="仿宋" w:hAnsi="仿宋" w:cs="仿宋" w:hint="eastAsia"/>
          <w:sz w:val="21"/>
          <w:szCs w:val="21"/>
        </w:rPr>
        <w:t>本文件在整合上述标准核心内容的基础上，补充了近年来工程实践中积累的施工安装、现场调试、定期检验等经验数据，构建了覆盖设计选型、施工验收、运行维护全生命周期的完整技术体系，对于提升我国给排水系统防回流污染的标准化水平具有重要意义</w:t>
      </w:r>
      <w:r>
        <w:rPr>
          <w:rFonts w:ascii="仿宋" w:eastAsia="仿宋" w:hAnsi="仿宋" w:cs="仿宋" w:hint="eastAsia"/>
          <w:sz w:val="21"/>
          <w:szCs w:val="21"/>
        </w:rPr>
        <w:t>。</w:t>
      </w:r>
    </w:p>
    <w:p w14:paraId="1A6555C0" w14:textId="77777777" w:rsidR="00DD042A" w:rsidRDefault="00000000">
      <w:pPr>
        <w:pStyle w:val="affb"/>
        <w:ind w:firstLine="422"/>
        <w:rPr>
          <w:rFonts w:ascii="仿宋" w:eastAsia="仿宋" w:hAnsi="仿宋" w:cs="仿宋" w:hint="eastAsia"/>
          <w:b/>
          <w:bCs/>
          <w:color w:val="000000"/>
          <w:szCs w:val="21"/>
        </w:rPr>
      </w:pPr>
      <w:r>
        <w:rPr>
          <w:rFonts w:ascii="仿宋" w:eastAsia="仿宋" w:hAnsi="仿宋" w:cs="仿宋" w:hint="eastAsia"/>
          <w:b/>
          <w:bCs/>
          <w:color w:val="000000"/>
          <w:szCs w:val="21"/>
        </w:rPr>
        <w:t>（三）必要性</w:t>
      </w:r>
    </w:p>
    <w:p w14:paraId="1448D036" w14:textId="6B59EF36" w:rsidR="00DD042A" w:rsidRDefault="004F75DF">
      <w:pPr>
        <w:pStyle w:val="affc"/>
        <w:widowControl/>
        <w:spacing w:beforeAutospacing="0" w:afterAutospacing="0"/>
        <w:ind w:firstLineChars="200" w:firstLine="420"/>
        <w:jc w:val="both"/>
        <w:rPr>
          <w:rFonts w:ascii="仿宋" w:eastAsia="仿宋" w:hAnsi="仿宋" w:cs="仿宋" w:hint="eastAsia"/>
          <w:sz w:val="21"/>
          <w:szCs w:val="21"/>
        </w:rPr>
      </w:pPr>
      <w:r w:rsidRPr="004F75DF">
        <w:rPr>
          <w:rFonts w:ascii="仿宋" w:eastAsia="仿宋" w:hAnsi="仿宋" w:cs="仿宋" w:hint="eastAsia"/>
          <w:sz w:val="21"/>
          <w:szCs w:val="21"/>
        </w:rPr>
        <w:t>随着城镇化进程加快和二次供水设施普及，因防回流措施不当或装置失效导致的水质污染事件时有发生。高危害场所（医院、实验室、化工车间等）对防回流技术的要求尤为严格，现有标准对减压型倒流防止器的现场调试方法、定期检验周期、故障处理程序等规定不够细化，给工程建设和运行管理带来困难。本文件的制定可有效填补上述技术空白，为设计单位、施工企业、运维管理单位提供统一、明确的技术依据，推动行业技术水平的整体提升</w:t>
      </w:r>
      <w:r>
        <w:rPr>
          <w:rFonts w:ascii="仿宋" w:eastAsia="仿宋" w:hAnsi="仿宋" w:cs="仿宋" w:hint="eastAsia"/>
          <w:sz w:val="21"/>
          <w:szCs w:val="21"/>
        </w:rPr>
        <w:t>。</w:t>
      </w:r>
    </w:p>
    <w:p w14:paraId="62348F23" w14:textId="77777777" w:rsidR="00DD042A" w:rsidRDefault="00000000">
      <w:pPr>
        <w:pStyle w:val="a0"/>
        <w:numPr>
          <w:ilvl w:val="0"/>
          <w:numId w:val="0"/>
        </w:numPr>
        <w:spacing w:before="312" w:after="312"/>
        <w:rPr>
          <w:rFonts w:ascii="仿宋" w:eastAsia="仿宋" w:hAnsi="仿宋" w:cs="仿宋" w:hint="eastAsia"/>
          <w:b/>
          <w:bCs/>
          <w:color w:val="000000"/>
          <w:szCs w:val="21"/>
        </w:rPr>
      </w:pPr>
      <w:bookmarkStart w:id="34" w:name="BT3"/>
      <w:bookmarkEnd w:id="34"/>
      <w:r>
        <w:rPr>
          <w:rFonts w:ascii="仿宋" w:eastAsia="仿宋" w:hAnsi="仿宋" w:cs="仿宋" w:hint="eastAsia"/>
          <w:b/>
          <w:bCs/>
          <w:color w:val="000000"/>
          <w:szCs w:val="21"/>
        </w:rPr>
        <w:t>三、起草单位和主要工作成员及其所作工作</w:t>
      </w:r>
    </w:p>
    <w:p w14:paraId="12D61796" w14:textId="77777777" w:rsidR="00DD042A" w:rsidRDefault="00000000">
      <w:pPr>
        <w:pStyle w:val="affb"/>
        <w:ind w:firstLine="422"/>
        <w:rPr>
          <w:rFonts w:eastAsia="仿宋"/>
          <w:szCs w:val="21"/>
        </w:rPr>
      </w:pPr>
      <w:r>
        <w:rPr>
          <w:rFonts w:ascii="仿宋" w:eastAsia="仿宋" w:hAnsi="仿宋" w:cs="仿宋" w:hint="eastAsia"/>
          <w:b/>
          <w:bCs/>
          <w:color w:val="000000"/>
          <w:szCs w:val="21"/>
        </w:rPr>
        <w:t>（一）起草单位</w:t>
      </w:r>
    </w:p>
    <w:p w14:paraId="52513AD8" w14:textId="1D6576B3" w:rsidR="00DD042A" w:rsidRDefault="00000000">
      <w:pPr>
        <w:pStyle w:val="affb"/>
        <w:rPr>
          <w:rFonts w:ascii="仿宋" w:eastAsia="仿宋" w:hAnsi="仿宋" w:cs="仿宋" w:hint="eastAsia"/>
          <w:szCs w:val="21"/>
        </w:rPr>
      </w:pPr>
      <w:r>
        <w:rPr>
          <w:rFonts w:ascii="仿宋" w:eastAsia="仿宋" w:hAnsi="仿宋" w:cs="仿宋" w:hint="eastAsia"/>
          <w:szCs w:val="21"/>
        </w:rPr>
        <w:t>本文件由</w:t>
      </w:r>
      <w:r w:rsidR="0018113A" w:rsidRPr="0018113A">
        <w:rPr>
          <w:rFonts w:ascii="仿宋" w:eastAsia="仿宋" w:hAnsi="仿宋" w:cs="仿宋" w:hint="eastAsia"/>
          <w:szCs w:val="21"/>
        </w:rPr>
        <w:t>中国市政工程中南设计研究总院有限公司</w:t>
      </w:r>
      <w:r>
        <w:rPr>
          <w:rFonts w:ascii="仿宋" w:eastAsia="仿宋" w:hAnsi="仿宋" w:cs="仿宋" w:hint="eastAsia"/>
          <w:szCs w:val="21"/>
        </w:rPr>
        <w:t>提出，中国西部开发促进会归口。</w:t>
      </w:r>
    </w:p>
    <w:p w14:paraId="5614665B" w14:textId="562C6EB1" w:rsidR="00DD042A" w:rsidRDefault="00000000">
      <w:pPr>
        <w:pStyle w:val="affb"/>
        <w:rPr>
          <w:rFonts w:ascii="仿宋" w:eastAsia="仿宋" w:hAnsi="仿宋" w:cs="仿宋" w:hint="eastAsia"/>
          <w:szCs w:val="21"/>
        </w:rPr>
      </w:pPr>
      <w:r>
        <w:rPr>
          <w:rFonts w:ascii="仿宋" w:eastAsia="仿宋" w:hAnsi="仿宋" w:cs="仿宋" w:hint="eastAsia"/>
          <w:szCs w:val="21"/>
        </w:rPr>
        <w:t>本文件由</w:t>
      </w:r>
      <w:r w:rsidR="0018113A" w:rsidRPr="0018113A">
        <w:rPr>
          <w:rFonts w:ascii="仿宋" w:eastAsia="仿宋" w:hAnsi="仿宋" w:cs="仿宋" w:hint="eastAsia"/>
          <w:szCs w:val="21"/>
        </w:rPr>
        <w:t>中国市政工程中南设计研究总院有限公司</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(二)主要工作成员及其所做工作</w:t>
      </w:r>
    </w:p>
    <w:p w14:paraId="4F06396F" w14:textId="45527FC4" w:rsidR="00DD042A"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DD042A" w:rsidRDefault="00DD042A">
      <w:pPr>
        <w:pStyle w:val="affb"/>
        <w:ind w:firstLineChars="0" w:firstLine="0"/>
        <w:jc w:val="center"/>
        <w:rPr>
          <w:rFonts w:ascii="仿宋" w:eastAsia="仿宋" w:hAnsi="仿宋" w:cs="仿宋" w:hint="eastAsia"/>
          <w:szCs w:val="21"/>
        </w:rPr>
      </w:pPr>
    </w:p>
    <w:p w14:paraId="6CA2A8E8"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 主要起草人及工作职责</w:t>
      </w:r>
    </w:p>
    <w:tbl>
      <w:tblPr>
        <w:tblStyle w:val="afff"/>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7520"/>
      </w:tblGrid>
      <w:tr w:rsidR="00DD042A" w14:paraId="662D2DF3" w14:textId="77777777">
        <w:trPr>
          <w:jc w:val="center"/>
        </w:trPr>
        <w:tc>
          <w:tcPr>
            <w:tcW w:w="2108" w:type="dxa"/>
            <w:vAlign w:val="center"/>
          </w:tcPr>
          <w:p w14:paraId="440D9251"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7520" w:type="dxa"/>
            <w:vAlign w:val="center"/>
          </w:tcPr>
          <w:p w14:paraId="65A92ED6"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DD042A" w14:paraId="61429C10" w14:textId="77777777">
        <w:trPr>
          <w:trHeight w:val="650"/>
          <w:jc w:val="center"/>
        </w:trPr>
        <w:tc>
          <w:tcPr>
            <w:tcW w:w="2108" w:type="dxa"/>
            <w:vAlign w:val="center"/>
          </w:tcPr>
          <w:p w14:paraId="355EAAFE"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牵头单位</w:t>
            </w:r>
          </w:p>
        </w:tc>
        <w:tc>
          <w:tcPr>
            <w:tcW w:w="7520" w:type="dxa"/>
            <w:vAlign w:val="center"/>
          </w:tcPr>
          <w:p w14:paraId="50D897F4"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项目主编单位主编人员，负责标准制定的统筹规划与安排，标准大纲和内容的编制确定；</w:t>
            </w:r>
            <w:r>
              <w:rPr>
                <w:rFonts w:ascii="仿宋" w:eastAsia="仿宋" w:hAnsi="仿宋" w:cs="仿宋" w:hint="eastAsia"/>
                <w:color w:val="000000"/>
                <w:szCs w:val="21"/>
                <w:lang w:bidi="ar"/>
              </w:rPr>
              <w:t>负责项目的整体决策、方向把握、资源协调。</w:t>
            </w:r>
          </w:p>
        </w:tc>
      </w:tr>
      <w:tr w:rsidR="00DD042A" w14:paraId="48E3A403" w14:textId="77777777">
        <w:trPr>
          <w:trHeight w:val="879"/>
          <w:jc w:val="center"/>
        </w:trPr>
        <w:tc>
          <w:tcPr>
            <w:tcW w:w="2108" w:type="dxa"/>
            <w:vAlign w:val="center"/>
          </w:tcPr>
          <w:p w14:paraId="03DAF4F1"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参与单位</w:t>
            </w:r>
          </w:p>
        </w:tc>
        <w:tc>
          <w:tcPr>
            <w:tcW w:w="7520" w:type="dxa"/>
            <w:vAlign w:val="center"/>
          </w:tcPr>
          <w:p w14:paraId="6AD98488"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配合牵头单位，共同研制标准大纲，负责分配到不同章节部分的技术编写工作，</w:t>
            </w:r>
            <w:r>
              <w:rPr>
                <w:rFonts w:ascii="仿宋" w:eastAsia="仿宋" w:hAnsi="仿宋" w:cs="仿宋" w:hint="eastAsia"/>
                <w:color w:val="000000"/>
                <w:szCs w:val="21"/>
                <w:lang w:bidi="ar"/>
              </w:rPr>
              <w:t>在标准起草过程中提供真实、客观的的数据和案例。</w:t>
            </w:r>
          </w:p>
        </w:tc>
      </w:tr>
    </w:tbl>
    <w:p w14:paraId="1AC42465"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319EDFF0" w14:textId="7DEBC978" w:rsidR="008E1B3F" w:rsidRDefault="00000000" w:rsidP="00D67416">
      <w:pPr>
        <w:pStyle w:val="affb"/>
        <w:rPr>
          <w:rFonts w:ascii="仿宋" w:eastAsia="仿宋" w:hAnsi="仿宋" w:cs="仿宋" w:hint="eastAsia"/>
          <w:szCs w:val="21"/>
        </w:rPr>
      </w:pPr>
      <w:r>
        <w:rPr>
          <w:rFonts w:ascii="仿宋" w:eastAsia="仿宋" w:hAnsi="仿宋" w:cs="仿宋" w:hint="eastAsia"/>
          <w:szCs w:val="21"/>
        </w:rPr>
        <w:lastRenderedPageBreak/>
        <w:t>标准编制小组在编制标准过程中，以国家、行业现有的标准为制订基础，结合我国目前的行业现状，按照GB/T1.1—2020《标准化工作导则 第1部分：标准化文件的结构和起草规则》的规定及相关要求编制。</w:t>
      </w:r>
    </w:p>
    <w:p w14:paraId="1C9A70ED"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(一)预研阶段</w:t>
      </w:r>
    </w:p>
    <w:p w14:paraId="120EFCF6" w14:textId="47C7BE8F" w:rsidR="00B356F7" w:rsidRPr="00B356F7" w:rsidRDefault="00B356F7" w:rsidP="00B356F7">
      <w:pPr>
        <w:pStyle w:val="affb"/>
        <w:rPr>
          <w:rFonts w:ascii="仿宋" w:eastAsia="仿宋" w:hAnsi="仿宋" w:cs="仿宋" w:hint="eastAsia"/>
          <w:szCs w:val="21"/>
        </w:rPr>
      </w:pPr>
      <w:r w:rsidRPr="00B356F7">
        <w:rPr>
          <w:rFonts w:ascii="仿宋" w:eastAsia="仿宋" w:hAnsi="仿宋" w:cs="仿宋" w:hint="eastAsia"/>
          <w:szCs w:val="21"/>
        </w:rPr>
        <w:t>组建专项调研小组，赴多个省市针对市政给水管网、二次供水泵房、建筑室内给水系统、消防给水系统、园林绿化给水系统等开展实地调研，收集各类防回流装置的应用现状、典型失效案例及运维管理数据。</w:t>
      </w:r>
    </w:p>
    <w:p w14:paraId="182AC9FB" w14:textId="7E10061F" w:rsidR="00B356F7" w:rsidRPr="00B356F7" w:rsidRDefault="00B356F7" w:rsidP="00B356F7">
      <w:pPr>
        <w:pStyle w:val="affb"/>
        <w:rPr>
          <w:rFonts w:ascii="仿宋" w:eastAsia="仿宋" w:hAnsi="仿宋" w:cs="仿宋" w:hint="eastAsia"/>
          <w:szCs w:val="21"/>
        </w:rPr>
      </w:pPr>
      <w:r w:rsidRPr="00B356F7">
        <w:rPr>
          <w:rFonts w:ascii="仿宋" w:eastAsia="仿宋" w:hAnsi="仿宋" w:cs="仿宋" w:hint="eastAsia"/>
          <w:szCs w:val="21"/>
        </w:rPr>
        <w:t>系统梳理GB 50015、GB 50013、GB/T 25178、CJ/T 324、GB 17051、CJJ 140等相关标准，分析现有标准在回流污染分级、装置选型、安装调试、检验维护等方面的规定，识别技术空白和待完善之处。</w:t>
      </w:r>
    </w:p>
    <w:p w14:paraId="0205E1E5" w14:textId="3C93682B" w:rsidR="00DD042A" w:rsidRDefault="00B356F7" w:rsidP="00B356F7">
      <w:pPr>
        <w:pStyle w:val="affb"/>
        <w:rPr>
          <w:rFonts w:ascii="仿宋" w:eastAsia="仿宋" w:hAnsi="仿宋" w:cs="仿宋" w:hint="eastAsia"/>
          <w:szCs w:val="21"/>
        </w:rPr>
      </w:pPr>
      <w:r w:rsidRPr="00B356F7">
        <w:rPr>
          <w:rFonts w:ascii="仿宋" w:eastAsia="仿宋" w:hAnsi="仿宋" w:cs="仿宋" w:hint="eastAsia"/>
          <w:szCs w:val="21"/>
        </w:rPr>
        <w:t>召开专家研讨会，邀请给排水设计、施工、产品制造、运行管理等领域的专家，明确标准编制的核心框架与关键技术指标，确定以现行国家标准和行业标准为基础、补充工程实践经验的技术路线</w:t>
      </w:r>
      <w:r>
        <w:rPr>
          <w:rFonts w:ascii="仿宋" w:eastAsia="仿宋" w:hAnsi="仿宋" w:cs="仿宋" w:hint="eastAsia"/>
          <w:szCs w:val="21"/>
        </w:rPr>
        <w:t>。</w:t>
      </w:r>
    </w:p>
    <w:p w14:paraId="04940C14"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（二）立项阶段</w:t>
      </w:r>
    </w:p>
    <w:p w14:paraId="09746364" w14:textId="093A49F3" w:rsidR="00B356F7" w:rsidRPr="00B356F7" w:rsidRDefault="00B356F7" w:rsidP="00B356F7">
      <w:pPr>
        <w:pStyle w:val="affb"/>
        <w:rPr>
          <w:rFonts w:ascii="仿宋" w:eastAsia="仿宋" w:hAnsi="仿宋" w:cs="仿宋" w:hint="eastAsia"/>
          <w:szCs w:val="21"/>
        </w:rPr>
      </w:pPr>
      <w:r w:rsidRPr="00B356F7">
        <w:rPr>
          <w:rFonts w:ascii="仿宋" w:eastAsia="仿宋" w:hAnsi="仿宋" w:cs="仿宋" w:hint="eastAsia"/>
          <w:szCs w:val="21"/>
        </w:rPr>
        <w:t>中国西部开发促进会发布标准立项通知，正式启动《给排水系统防回流污染技术规范》团体标准编制工作。</w:t>
      </w:r>
    </w:p>
    <w:p w14:paraId="44E9B2D0" w14:textId="73E73DC9" w:rsidR="00B356F7" w:rsidRPr="00B356F7" w:rsidRDefault="00B356F7" w:rsidP="00B356F7">
      <w:pPr>
        <w:pStyle w:val="affb"/>
        <w:rPr>
          <w:rFonts w:ascii="仿宋" w:eastAsia="仿宋" w:hAnsi="仿宋" w:cs="仿宋" w:hint="eastAsia"/>
          <w:szCs w:val="21"/>
        </w:rPr>
      </w:pPr>
      <w:r w:rsidRPr="00B356F7">
        <w:rPr>
          <w:rFonts w:ascii="仿宋" w:eastAsia="仿宋" w:hAnsi="仿宋" w:cs="仿宋" w:hint="eastAsia"/>
          <w:szCs w:val="21"/>
        </w:rPr>
        <w:t>组建由给排水设计单位、施工企业、产品制造企业、科研院校等组成的标准起草工作组，明确分工职责，制定“调研—起草—研讨—征求意见—定稿”的编制工作计划。</w:t>
      </w:r>
    </w:p>
    <w:p w14:paraId="5F7AB474" w14:textId="547DA9C8" w:rsidR="00DD042A" w:rsidRDefault="00B356F7" w:rsidP="00B356F7">
      <w:pPr>
        <w:pStyle w:val="affb"/>
        <w:rPr>
          <w:rFonts w:ascii="仿宋" w:eastAsia="仿宋" w:hAnsi="仿宋" w:cs="仿宋" w:hint="eastAsia"/>
          <w:szCs w:val="21"/>
        </w:rPr>
      </w:pPr>
      <w:r w:rsidRPr="00B356F7">
        <w:rPr>
          <w:rFonts w:ascii="仿宋" w:eastAsia="仿宋" w:hAnsi="仿宋" w:cs="仿宋" w:hint="eastAsia"/>
          <w:szCs w:val="21"/>
        </w:rPr>
        <w:t>完成立项论证报告，明确标准适用范围（适用于新建、扩建、改建的城镇市政给水工程、民用与工业建筑给水排水工程、二次供水工程、消防给水系统、园林绿化给水系统及厂区工业给水系统的防回流污染设计、施工、验收与运行维护管理）、核心技术方向，报归口单位审核通过</w:t>
      </w:r>
      <w:r>
        <w:rPr>
          <w:rFonts w:ascii="仿宋" w:eastAsia="仿宋" w:hAnsi="仿宋" w:cs="仿宋" w:hint="eastAsia"/>
          <w:szCs w:val="21"/>
        </w:rPr>
        <w:t>。</w:t>
      </w:r>
    </w:p>
    <w:p w14:paraId="72A91C8C"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（三）起草阶段</w:t>
      </w:r>
    </w:p>
    <w:p w14:paraId="5250A61D" w14:textId="165A84E4" w:rsidR="00DD042A" w:rsidRDefault="00000000">
      <w:pPr>
        <w:pStyle w:val="affb"/>
        <w:rPr>
          <w:rFonts w:ascii="仿宋" w:eastAsia="仿宋" w:hAnsi="仿宋" w:cs="仿宋" w:hint="eastAsia"/>
          <w:szCs w:val="21"/>
        </w:rPr>
      </w:pPr>
      <w:r>
        <w:rPr>
          <w:rFonts w:ascii="仿宋" w:eastAsia="仿宋" w:hAnsi="仿宋" w:cs="仿宋" w:hint="eastAsia"/>
          <w:szCs w:val="21"/>
        </w:rPr>
        <w:t>起草工作组结合调研数据与专家意见，搭建标准整体框架，</w:t>
      </w:r>
      <w:r w:rsidR="00B356F7" w:rsidRPr="00B356F7">
        <w:rPr>
          <w:rFonts w:ascii="仿宋" w:eastAsia="仿宋" w:hAnsi="仿宋" w:cs="仿宋" w:hint="eastAsia"/>
          <w:szCs w:val="21"/>
        </w:rPr>
        <w:t>涵盖范围、规范性引用文件、术语和定义、基本规定、回流污染危害程度分级、防回流污染技术措施与装置、防回流装置的性能要求与试验方法、各系统防回流污染设计、防回流装置的选用、施工与安装、调试检验与验收、运行维护管理等12个核心章节</w:t>
      </w:r>
      <w:r>
        <w:rPr>
          <w:rFonts w:ascii="仿宋" w:eastAsia="仿宋" w:hAnsi="仿宋" w:cs="仿宋" w:hint="eastAsia"/>
          <w:szCs w:val="21"/>
        </w:rPr>
        <w:t>；</w:t>
      </w:r>
    </w:p>
    <w:p w14:paraId="671049F8" w14:textId="40B6E8C9" w:rsidR="00B356F7" w:rsidRPr="00B356F7" w:rsidRDefault="00000000" w:rsidP="00B356F7">
      <w:pPr>
        <w:pStyle w:val="affb"/>
        <w:rPr>
          <w:rFonts w:ascii="仿宋" w:eastAsia="仿宋" w:hAnsi="仿宋" w:cs="仿宋" w:hint="eastAsia"/>
          <w:szCs w:val="21"/>
        </w:rPr>
      </w:pPr>
      <w:r>
        <w:rPr>
          <w:rFonts w:ascii="仿宋" w:eastAsia="仿宋" w:hAnsi="仿宋" w:cs="仿宋" w:hint="eastAsia"/>
          <w:szCs w:val="21"/>
        </w:rPr>
        <w:t>依据GB/T 1.1-2020《标准化工作导则 第1部分：标准化文件的结构和起草规则》规定，</w:t>
      </w:r>
      <w:r w:rsidR="00B356F7" w:rsidRPr="00B356F7">
        <w:rPr>
          <w:rFonts w:ascii="仿宋" w:eastAsia="仿宋" w:hAnsi="仿宋" w:cs="仿宋" w:hint="eastAsia"/>
          <w:szCs w:val="21"/>
        </w:rPr>
        <w:t>细化各章节技术要求，明确关键参数：</w:t>
      </w:r>
    </w:p>
    <w:p w14:paraId="53B530E3" w14:textId="440D46B4" w:rsidR="00B356F7" w:rsidRPr="00B356F7" w:rsidRDefault="00B356F7" w:rsidP="00B356F7">
      <w:pPr>
        <w:pStyle w:val="affb"/>
        <w:rPr>
          <w:rFonts w:ascii="仿宋" w:eastAsia="仿宋" w:hAnsi="仿宋" w:cs="仿宋" w:hint="eastAsia"/>
          <w:szCs w:val="21"/>
        </w:rPr>
      </w:pPr>
      <w:r w:rsidRPr="00B356F7">
        <w:rPr>
          <w:rFonts w:ascii="仿宋" w:eastAsia="仿宋" w:hAnsi="仿宋" w:cs="仿宋" w:hint="eastAsia"/>
          <w:szCs w:val="21"/>
        </w:rPr>
        <w:t>——空气间隙垂直距离：出水口至溢流水位不小于出水口直径2.5倍且不小于25 mm、可不大于150 mm；至非饮用水水面不小于5倍；至有毒有害物质容器进水口不小于10倍；</w:t>
      </w:r>
    </w:p>
    <w:p w14:paraId="41E7A86B" w14:textId="28FBE395" w:rsidR="00B356F7" w:rsidRPr="00B356F7" w:rsidRDefault="00B356F7" w:rsidP="00B356F7">
      <w:pPr>
        <w:pStyle w:val="affb"/>
        <w:rPr>
          <w:rFonts w:ascii="仿宋" w:eastAsia="仿宋" w:hAnsi="仿宋" w:cs="仿宋" w:hint="eastAsia"/>
          <w:szCs w:val="21"/>
        </w:rPr>
      </w:pPr>
      <w:r w:rsidRPr="00B356F7">
        <w:rPr>
          <w:rFonts w:ascii="仿宋" w:eastAsia="仿宋" w:hAnsi="仿宋" w:cs="仿宋" w:hint="eastAsia"/>
          <w:szCs w:val="21"/>
        </w:rPr>
        <w:t>——减压型倒流防止器始动泄水压差不应小于14</w:t>
      </w:r>
      <w:r>
        <w:rPr>
          <w:rFonts w:ascii="仿宋" w:eastAsia="仿宋" w:hAnsi="仿宋" w:cs="仿宋"/>
          <w:szCs w:val="21"/>
        </w:rPr>
        <w:t> </w:t>
      </w:r>
      <w:r w:rsidRPr="00B356F7">
        <w:rPr>
          <w:rFonts w:ascii="仿宋" w:eastAsia="仿宋" w:hAnsi="仿宋" w:cs="仿宋" w:hint="eastAsia"/>
          <w:szCs w:val="21"/>
        </w:rPr>
        <w:t>kPa，零流量压力损失不应大于60</w:t>
      </w:r>
      <w:r>
        <w:rPr>
          <w:rFonts w:ascii="仿宋" w:eastAsia="仿宋" w:hAnsi="仿宋" w:cs="仿宋"/>
          <w:szCs w:val="21"/>
        </w:rPr>
        <w:t> </w:t>
      </w:r>
      <w:r w:rsidRPr="00B356F7">
        <w:rPr>
          <w:rFonts w:ascii="仿宋" w:eastAsia="仿宋" w:hAnsi="仿宋" w:cs="仿宋" w:hint="eastAsia"/>
          <w:szCs w:val="21"/>
        </w:rPr>
        <w:t>kPa；</w:t>
      </w:r>
    </w:p>
    <w:p w14:paraId="58FDFDBE" w14:textId="12E8D78E" w:rsidR="00B356F7" w:rsidRPr="00B356F7" w:rsidRDefault="00B356F7" w:rsidP="00B356F7">
      <w:pPr>
        <w:pStyle w:val="affb"/>
        <w:rPr>
          <w:rFonts w:ascii="仿宋" w:eastAsia="仿宋" w:hAnsi="仿宋" w:cs="仿宋" w:hint="eastAsia"/>
          <w:szCs w:val="21"/>
        </w:rPr>
      </w:pPr>
      <w:r w:rsidRPr="00B356F7">
        <w:rPr>
          <w:rFonts w:ascii="仿宋" w:eastAsia="仿宋" w:hAnsi="仿宋" w:cs="仿宋" w:hint="eastAsia"/>
          <w:szCs w:val="21"/>
        </w:rPr>
        <w:t>——真空破坏器公称尺寸不大于50</w:t>
      </w:r>
      <w:r>
        <w:rPr>
          <w:rFonts w:ascii="仿宋" w:eastAsia="仿宋" w:hAnsi="仿宋" w:cs="仿宋"/>
          <w:szCs w:val="21"/>
        </w:rPr>
        <w:t> </w:t>
      </w:r>
      <w:r w:rsidRPr="00B356F7">
        <w:rPr>
          <w:rFonts w:ascii="仿宋" w:eastAsia="仿宋" w:hAnsi="仿宋" w:cs="仿宋" w:hint="eastAsia"/>
          <w:szCs w:val="21"/>
        </w:rPr>
        <w:t>mm，工作压力不大于1.0</w:t>
      </w:r>
      <w:r>
        <w:rPr>
          <w:rFonts w:ascii="仿宋" w:eastAsia="仿宋" w:hAnsi="仿宋" w:cs="仿宋"/>
          <w:szCs w:val="21"/>
        </w:rPr>
        <w:t> </w:t>
      </w:r>
      <w:r w:rsidRPr="00B356F7">
        <w:rPr>
          <w:rFonts w:ascii="仿宋" w:eastAsia="仿宋" w:hAnsi="仿宋" w:cs="仿宋" w:hint="eastAsia"/>
          <w:szCs w:val="21"/>
        </w:rPr>
        <w:t>MPa，工作温度不高于65</w:t>
      </w:r>
      <w:r>
        <w:rPr>
          <w:rFonts w:ascii="仿宋" w:eastAsia="仿宋" w:hAnsi="仿宋" w:cs="仿宋"/>
          <w:szCs w:val="21"/>
        </w:rPr>
        <w:t> </w:t>
      </w:r>
      <w:r w:rsidRPr="00B356F7">
        <w:rPr>
          <w:rFonts w:ascii="仿宋" w:eastAsia="仿宋" w:hAnsi="仿宋" w:cs="仿宋" w:hint="eastAsia"/>
          <w:szCs w:val="21"/>
        </w:rPr>
        <w:t>℃；</w:t>
      </w:r>
    </w:p>
    <w:p w14:paraId="1BC6F67B" w14:textId="22FC362C" w:rsidR="00DD042A" w:rsidRDefault="00B356F7" w:rsidP="00B356F7">
      <w:pPr>
        <w:pStyle w:val="affb"/>
        <w:rPr>
          <w:rFonts w:ascii="仿宋" w:eastAsia="仿宋" w:hAnsi="仿宋" w:cs="仿宋" w:hint="eastAsia"/>
          <w:szCs w:val="21"/>
        </w:rPr>
      </w:pPr>
      <w:r w:rsidRPr="00B356F7">
        <w:rPr>
          <w:rFonts w:ascii="仿宋" w:eastAsia="仿宋" w:hAnsi="仿宋" w:cs="仿宋" w:hint="eastAsia"/>
          <w:szCs w:val="21"/>
        </w:rPr>
        <w:t>——高危害等级场所防回流装置每月巡检不应少于1次、每年至少检验1次</w:t>
      </w:r>
      <w:r>
        <w:rPr>
          <w:rFonts w:ascii="仿宋" w:eastAsia="仿宋" w:hAnsi="仿宋" w:cs="仿宋" w:hint="eastAsia"/>
          <w:szCs w:val="21"/>
        </w:rPr>
        <w:t>；</w:t>
      </w:r>
    </w:p>
    <w:p w14:paraId="19C09E25" w14:textId="14612051" w:rsidR="00DD042A" w:rsidRDefault="00B356F7">
      <w:pPr>
        <w:pStyle w:val="affb"/>
        <w:rPr>
          <w:rFonts w:ascii="仿宋" w:eastAsia="仿宋" w:hAnsi="仿宋" w:cs="仿宋" w:hint="eastAsia"/>
          <w:szCs w:val="21"/>
        </w:rPr>
      </w:pPr>
      <w:r w:rsidRPr="00B356F7">
        <w:rPr>
          <w:rFonts w:ascii="仿宋" w:eastAsia="仿宋" w:hAnsi="仿宋" w:cs="仿宋" w:hint="eastAsia"/>
          <w:szCs w:val="21"/>
        </w:rPr>
        <w:t>完成标准草案初稿，组织内部研讨会，优化危害等级划分表、装置选用速查表、定期检验与维护项目表等内容，形成工作组讨论稿</w:t>
      </w:r>
      <w:r>
        <w:rPr>
          <w:rFonts w:ascii="仿宋" w:eastAsia="仿宋" w:hAnsi="仿宋" w:cs="仿宋" w:hint="eastAsia"/>
          <w:szCs w:val="21"/>
        </w:rPr>
        <w:t>。</w:t>
      </w:r>
    </w:p>
    <w:p w14:paraId="539B9685"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（四）征求意见阶段</w:t>
      </w:r>
    </w:p>
    <w:p w14:paraId="475FFDA1"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通过协会、全国团体标准信息平台等渠道公开征求意见，定向和非定向征求行业内相关企业、科研院校等多方意见和建议；由起草工作组逐一梳理反馈意见，最终形成征求意见稿。</w:t>
      </w:r>
    </w:p>
    <w:p w14:paraId="0431BCCE" w14:textId="77777777" w:rsidR="00DD042A"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490E0E17"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（一）试验验证分析</w:t>
      </w:r>
    </w:p>
    <w:p w14:paraId="7B5D9B36"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1.试验验证方案</w:t>
      </w:r>
    </w:p>
    <w:p w14:paraId="63E58CD8" w14:textId="254823A7" w:rsidR="001C00DF" w:rsidRPr="001C00DF" w:rsidRDefault="001C00DF" w:rsidP="001C00DF">
      <w:pPr>
        <w:pStyle w:val="affb"/>
        <w:rPr>
          <w:rFonts w:ascii="仿宋" w:eastAsia="仿宋" w:hAnsi="仿宋" w:cs="仿宋" w:hint="eastAsia"/>
          <w:szCs w:val="21"/>
        </w:rPr>
      </w:pPr>
      <w:r w:rsidRPr="001C00DF">
        <w:rPr>
          <w:rFonts w:ascii="仿宋" w:eastAsia="仿宋" w:hAnsi="仿宋" w:cs="仿宋" w:hint="eastAsia"/>
          <w:szCs w:val="21"/>
        </w:rPr>
        <w:t>选取市政给水管网加压泵站、二次供水泵房、建筑室内给水系统等典型场景开展试验验证，覆盖减压型倒流防止器、双止回阀倒流防止器、压力型真空破坏器、大气型真空破坏器等主流装置类型，重点验证以下内容：</w:t>
      </w:r>
    </w:p>
    <w:p w14:paraId="11AB4FFB" w14:textId="7CEB3F38" w:rsidR="001C00DF" w:rsidRPr="001C00DF" w:rsidRDefault="001C00DF" w:rsidP="001C00DF">
      <w:pPr>
        <w:pStyle w:val="affb"/>
        <w:rPr>
          <w:rFonts w:ascii="仿宋" w:eastAsia="仿宋" w:hAnsi="仿宋" w:cs="仿宋" w:hint="eastAsia"/>
          <w:szCs w:val="21"/>
        </w:rPr>
      </w:pPr>
      <w:r w:rsidRPr="001C00DF">
        <w:rPr>
          <w:rFonts w:ascii="仿宋" w:eastAsia="仿宋" w:hAnsi="仿宋" w:cs="仿宋" w:hint="eastAsia"/>
          <w:szCs w:val="21"/>
        </w:rPr>
        <w:t>——装置性能：壳体强度（1.5倍公称压力保压5</w:t>
      </w:r>
      <w:r>
        <w:rPr>
          <w:rFonts w:ascii="仿宋" w:eastAsia="仿宋" w:hAnsi="仿宋" w:cs="仿宋"/>
          <w:szCs w:val="21"/>
        </w:rPr>
        <w:t> </w:t>
      </w:r>
      <w:r w:rsidRPr="001C00DF">
        <w:rPr>
          <w:rFonts w:ascii="仿宋" w:eastAsia="仿宋" w:hAnsi="仿宋" w:cs="仿宋" w:hint="eastAsia"/>
          <w:szCs w:val="21"/>
        </w:rPr>
        <w:t>min）、密封性能（1.1倍公称压力保压2</w:t>
      </w:r>
      <w:r>
        <w:rPr>
          <w:rFonts w:ascii="仿宋" w:eastAsia="仿宋" w:hAnsi="仿宋" w:cs="仿宋"/>
          <w:szCs w:val="21"/>
        </w:rPr>
        <w:t> </w:t>
      </w:r>
      <w:r w:rsidRPr="001C00DF">
        <w:rPr>
          <w:rFonts w:ascii="仿宋" w:eastAsia="仿宋" w:hAnsi="仿宋" w:cs="仿宋" w:hint="eastAsia"/>
          <w:szCs w:val="21"/>
        </w:rPr>
        <w:t>min）、始动泄水压差（≥14</w:t>
      </w:r>
      <w:r>
        <w:rPr>
          <w:rFonts w:ascii="仿宋" w:eastAsia="仿宋" w:hAnsi="仿宋" w:cs="仿宋"/>
          <w:szCs w:val="21"/>
        </w:rPr>
        <w:t> </w:t>
      </w:r>
      <w:r w:rsidRPr="001C00DF">
        <w:rPr>
          <w:rFonts w:ascii="仿宋" w:eastAsia="仿宋" w:hAnsi="仿宋" w:cs="仿宋" w:hint="eastAsia"/>
          <w:szCs w:val="21"/>
        </w:rPr>
        <w:t>kPa）、开启压力偏差（≤±10%）；</w:t>
      </w:r>
    </w:p>
    <w:p w14:paraId="3D1E87B5" w14:textId="3B01EEE2" w:rsidR="001C00DF" w:rsidRPr="001C00DF" w:rsidRDefault="001C00DF" w:rsidP="001C00DF">
      <w:pPr>
        <w:pStyle w:val="affb"/>
        <w:rPr>
          <w:rFonts w:ascii="仿宋" w:eastAsia="仿宋" w:hAnsi="仿宋" w:cs="仿宋" w:hint="eastAsia"/>
          <w:szCs w:val="21"/>
        </w:rPr>
      </w:pPr>
      <w:r w:rsidRPr="001C00DF">
        <w:rPr>
          <w:rFonts w:ascii="仿宋" w:eastAsia="仿宋" w:hAnsi="仿宋" w:cs="仿宋" w:hint="eastAsia"/>
          <w:szCs w:val="21"/>
        </w:rPr>
        <w:lastRenderedPageBreak/>
        <w:t>——安装效果：位置偏差、方向正确性、排水设施完善性、空气间隙尺寸符合性；</w:t>
      </w:r>
    </w:p>
    <w:p w14:paraId="7C9213B0" w14:textId="5748F768" w:rsidR="00DD042A" w:rsidRDefault="001C00DF" w:rsidP="001C00DF">
      <w:pPr>
        <w:pStyle w:val="affb"/>
        <w:rPr>
          <w:rFonts w:ascii="仿宋" w:eastAsia="仿宋" w:hAnsi="仿宋" w:cs="仿宋" w:hint="eastAsia"/>
          <w:szCs w:val="21"/>
        </w:rPr>
      </w:pPr>
      <w:r w:rsidRPr="001C00DF">
        <w:rPr>
          <w:rFonts w:ascii="仿宋" w:eastAsia="仿宋" w:hAnsi="仿宋" w:cs="仿宋" w:hint="eastAsia"/>
          <w:szCs w:val="21"/>
        </w:rPr>
        <w:t>——运行可靠性：不同工况下的防回流功能有效性、泄水阀动作灵敏度、真空破坏器进气畅通性</w:t>
      </w:r>
      <w:r>
        <w:rPr>
          <w:rFonts w:ascii="仿宋" w:eastAsia="仿宋" w:hAnsi="仿宋" w:cs="仿宋" w:hint="eastAsia"/>
          <w:szCs w:val="21"/>
        </w:rPr>
        <w:t>。</w:t>
      </w:r>
    </w:p>
    <w:p w14:paraId="3244B0E8"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2.试验结果</w:t>
      </w:r>
    </w:p>
    <w:p w14:paraId="18C993EF" w14:textId="35DF4F78" w:rsidR="001C00DF" w:rsidRPr="001C00DF" w:rsidRDefault="001C00DF" w:rsidP="001C00DF">
      <w:pPr>
        <w:pStyle w:val="affb"/>
        <w:rPr>
          <w:rFonts w:ascii="仿宋" w:eastAsia="仿宋" w:hAnsi="仿宋" w:cs="仿宋" w:hint="eastAsia"/>
          <w:szCs w:val="21"/>
        </w:rPr>
      </w:pPr>
      <w:r w:rsidRPr="001C00DF">
        <w:rPr>
          <w:rFonts w:ascii="仿宋" w:eastAsia="仿宋" w:hAnsi="仿宋" w:cs="仿宋" w:hint="eastAsia"/>
          <w:szCs w:val="21"/>
        </w:rPr>
        <w:t>装置性能：减压型倒流防止器壳体强度、密封性能均满足要求，始动泄水压差均在14</w:t>
      </w:r>
      <w:r>
        <w:rPr>
          <w:rFonts w:ascii="仿宋" w:eastAsia="仿宋" w:hAnsi="仿宋" w:cs="仿宋"/>
          <w:szCs w:val="21"/>
        </w:rPr>
        <w:t> </w:t>
      </w:r>
      <w:r w:rsidRPr="001C00DF">
        <w:rPr>
          <w:rFonts w:ascii="仿宋" w:eastAsia="仿宋" w:hAnsi="仿宋" w:cs="仿宋" w:hint="eastAsia"/>
          <w:szCs w:val="21"/>
        </w:rPr>
        <w:t>kPa～20</w:t>
      </w:r>
      <w:r>
        <w:rPr>
          <w:rFonts w:ascii="仿宋" w:eastAsia="仿宋" w:hAnsi="仿宋" w:cs="仿宋"/>
          <w:szCs w:val="21"/>
        </w:rPr>
        <w:t> </w:t>
      </w:r>
      <w:r w:rsidRPr="001C00DF">
        <w:rPr>
          <w:rFonts w:ascii="仿宋" w:eastAsia="仿宋" w:hAnsi="仿宋" w:cs="仿宋" w:hint="eastAsia"/>
          <w:szCs w:val="21"/>
        </w:rPr>
        <w:t>kPa范围内，5000次循环试验后仍能正常工作；真空破坏器开启压力偏差控制在±8%以内；</w:t>
      </w:r>
    </w:p>
    <w:p w14:paraId="2321A5E6" w14:textId="22240CAE" w:rsidR="001C00DF" w:rsidRPr="001C00DF" w:rsidRDefault="001C00DF" w:rsidP="001C00DF">
      <w:pPr>
        <w:pStyle w:val="affb"/>
        <w:rPr>
          <w:rFonts w:ascii="仿宋" w:eastAsia="仿宋" w:hAnsi="仿宋" w:cs="仿宋" w:hint="eastAsia"/>
          <w:szCs w:val="21"/>
        </w:rPr>
      </w:pPr>
      <w:r w:rsidRPr="001C00DF">
        <w:rPr>
          <w:rFonts w:ascii="仿宋" w:eastAsia="仿宋" w:hAnsi="仿宋" w:cs="仿宋" w:hint="eastAsia"/>
          <w:szCs w:val="21"/>
        </w:rPr>
        <w:t>安装效果：按本文件要求安装的防回流装置，位置偏差≤±20</w:t>
      </w:r>
      <w:r>
        <w:rPr>
          <w:rFonts w:ascii="仿宋" w:eastAsia="仿宋" w:hAnsi="仿宋" w:cs="仿宋"/>
          <w:szCs w:val="21"/>
        </w:rPr>
        <w:t> </w:t>
      </w:r>
      <w:r w:rsidRPr="001C00DF">
        <w:rPr>
          <w:rFonts w:ascii="仿宋" w:eastAsia="仿宋" w:hAnsi="仿宋" w:cs="仿宋" w:hint="eastAsia"/>
          <w:szCs w:val="21"/>
        </w:rPr>
        <w:t>mm，空气间隙尺寸合格率100%，排水设施满足间接排水要求；</w:t>
      </w:r>
    </w:p>
    <w:p w14:paraId="7B28D5A7" w14:textId="64333275" w:rsidR="00DD042A" w:rsidRDefault="001C00DF" w:rsidP="001C00DF">
      <w:pPr>
        <w:pStyle w:val="affb"/>
        <w:rPr>
          <w:rFonts w:ascii="仿宋" w:eastAsia="仿宋" w:hAnsi="仿宋" w:cs="仿宋" w:hint="eastAsia"/>
          <w:szCs w:val="21"/>
        </w:rPr>
      </w:pPr>
      <w:r w:rsidRPr="001C00DF">
        <w:rPr>
          <w:rFonts w:ascii="仿宋" w:eastAsia="仿宋" w:hAnsi="仿宋" w:cs="仿宋" w:hint="eastAsia"/>
          <w:szCs w:val="21"/>
        </w:rPr>
        <w:t>运行可靠性：在模拟背压回流和虹吸回流工况下，减压型倒流防止器泄水阀均能瞬时开启排水，形成有效空气隔断；压力型真空破坏器在设定压力下准确开启进气</w:t>
      </w:r>
      <w:r>
        <w:rPr>
          <w:rFonts w:ascii="仿宋" w:eastAsia="仿宋" w:hAnsi="仿宋" w:cs="仿宋" w:hint="eastAsia"/>
          <w:szCs w:val="21"/>
        </w:rPr>
        <w:t>。</w:t>
      </w:r>
    </w:p>
    <w:p w14:paraId="783BD3F5"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3.综述结论</w:t>
      </w:r>
    </w:p>
    <w:p w14:paraId="3BEA2DAB" w14:textId="7F092695" w:rsidR="00DD042A" w:rsidRDefault="001C00DF">
      <w:pPr>
        <w:pStyle w:val="affb"/>
        <w:rPr>
          <w:rFonts w:ascii="仿宋" w:eastAsia="仿宋" w:hAnsi="仿宋" w:cs="仿宋" w:hint="eastAsia"/>
          <w:b/>
          <w:bCs/>
          <w:szCs w:val="21"/>
        </w:rPr>
      </w:pPr>
      <w:r w:rsidRPr="001C00DF">
        <w:rPr>
          <w:rFonts w:ascii="仿宋" w:eastAsia="仿宋" w:hAnsi="仿宋" w:cs="仿宋" w:hint="eastAsia"/>
          <w:szCs w:val="21"/>
        </w:rPr>
        <w:t>试验验证表明，本文件规定的防回流装置性能指标、安装技术要求、调试检验方法科学可行，能够有效防止给排水系统的背压回流和虹吸回流污染，保障生活饮用水水质安全，具备广泛推广应用的条件</w:t>
      </w:r>
      <w:r>
        <w:rPr>
          <w:rFonts w:ascii="仿宋" w:eastAsia="仿宋" w:hAnsi="仿宋" w:cs="仿宋" w:hint="eastAsia"/>
          <w:szCs w:val="21"/>
        </w:rPr>
        <w:t>。</w:t>
      </w:r>
    </w:p>
    <w:p w14:paraId="40A8535B"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（二）技术经济论证</w:t>
      </w:r>
    </w:p>
    <w:p w14:paraId="4BF02D4B"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1.技术可行性</w:t>
      </w:r>
    </w:p>
    <w:p w14:paraId="5F517164" w14:textId="1DDD3832" w:rsidR="00DD042A" w:rsidRDefault="001C00DF">
      <w:pPr>
        <w:pStyle w:val="affb"/>
        <w:rPr>
          <w:rFonts w:ascii="仿宋" w:eastAsia="仿宋" w:hAnsi="仿宋" w:cs="仿宋" w:hint="eastAsia"/>
          <w:szCs w:val="21"/>
        </w:rPr>
      </w:pPr>
      <w:r w:rsidRPr="001C00DF">
        <w:rPr>
          <w:rFonts w:ascii="仿宋" w:eastAsia="仿宋" w:hAnsi="仿宋" w:cs="仿宋" w:hint="eastAsia"/>
          <w:szCs w:val="21"/>
        </w:rPr>
        <w:t>本文件规定的技术措施和装置均有成熟的产品标准和工程应用基础。减压型倒流防止器的设计、制造和检验已有GB/T 25178作为依据；真空破坏器已有CJ/T 324作为依据；空气间隙的设置要求已在GB 50015中明确规定。施工安装技术要求与GB 50242协调一致，运行维护管理要求与GB 17051、CJJ 140相互衔接。技术方案成熟可靠，无需研发新技术或专用设备，技术可行性高</w:t>
      </w:r>
      <w:r>
        <w:rPr>
          <w:rFonts w:ascii="仿宋" w:eastAsia="仿宋" w:hAnsi="仿宋" w:cs="仿宋" w:hint="eastAsia"/>
          <w:szCs w:val="21"/>
        </w:rPr>
        <w:t>。</w:t>
      </w:r>
    </w:p>
    <w:p w14:paraId="2EB052B2"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2.经济合理性</w:t>
      </w:r>
    </w:p>
    <w:p w14:paraId="5DD0AF7D" w14:textId="6935BACB" w:rsidR="001C00DF" w:rsidRPr="001C00DF" w:rsidRDefault="001C00DF" w:rsidP="001C00DF">
      <w:pPr>
        <w:pStyle w:val="affb"/>
        <w:rPr>
          <w:rFonts w:ascii="仿宋" w:eastAsia="仿宋" w:hAnsi="仿宋" w:cs="仿宋" w:hint="eastAsia"/>
          <w:szCs w:val="21"/>
        </w:rPr>
      </w:pPr>
      <w:r w:rsidRPr="001C00DF">
        <w:rPr>
          <w:rFonts w:ascii="仿宋" w:eastAsia="仿宋" w:hAnsi="仿宋" w:cs="仿宋" w:hint="eastAsia"/>
          <w:szCs w:val="21"/>
        </w:rPr>
        <w:t>成本分析：防回流装置的造价占给排水工程总投资的比例较低（一般不超过1%），但可有效避免因回流污染造成的水质安全事故和后续治理费用；</w:t>
      </w:r>
    </w:p>
    <w:p w14:paraId="7229E05E" w14:textId="38BC3DB4" w:rsidR="001C00DF" w:rsidRPr="001C00DF" w:rsidRDefault="001C00DF" w:rsidP="001C00DF">
      <w:pPr>
        <w:pStyle w:val="affb"/>
        <w:rPr>
          <w:rFonts w:ascii="仿宋" w:eastAsia="仿宋" w:hAnsi="仿宋" w:cs="仿宋" w:hint="eastAsia"/>
          <w:szCs w:val="21"/>
        </w:rPr>
      </w:pPr>
      <w:r w:rsidRPr="001C00DF">
        <w:rPr>
          <w:rFonts w:ascii="仿宋" w:eastAsia="仿宋" w:hAnsi="仿宋" w:cs="仿宋" w:hint="eastAsia"/>
          <w:szCs w:val="21"/>
        </w:rPr>
        <w:t>运行维护：按本文件规定的检验周期和维护要求执行，单台减压型倒流防止器的年维护费用约为200元～500元，远低于因防回流失效可能引发的水质污染事件处置成本；</w:t>
      </w:r>
    </w:p>
    <w:p w14:paraId="62B01750" w14:textId="617612DF" w:rsidR="00DD042A" w:rsidRDefault="001C00DF" w:rsidP="001C00DF">
      <w:pPr>
        <w:pStyle w:val="affb"/>
        <w:rPr>
          <w:rFonts w:ascii="仿宋" w:eastAsia="仿宋" w:hAnsi="仿宋" w:cs="仿宋" w:hint="eastAsia"/>
          <w:szCs w:val="21"/>
        </w:rPr>
      </w:pPr>
      <w:r w:rsidRPr="001C00DF">
        <w:rPr>
          <w:rFonts w:ascii="仿宋" w:eastAsia="仿宋" w:hAnsi="仿宋" w:cs="仿宋" w:hint="eastAsia"/>
          <w:szCs w:val="21"/>
        </w:rPr>
        <w:t>全生命周期：规范的安装和定期维护可延长装置使用寿命，减压型倒流防止器在正常维护条件下使用寿命可达15年以上。</w:t>
      </w:r>
    </w:p>
    <w:p w14:paraId="6411854A"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（三）预期效益</w:t>
      </w:r>
    </w:p>
    <w:p w14:paraId="6E990246"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1.经济效益</w:t>
      </w:r>
    </w:p>
    <w:p w14:paraId="2EC660A1" w14:textId="0E17D8B3" w:rsidR="001C00DF" w:rsidRPr="001C00DF" w:rsidRDefault="001C00DF" w:rsidP="001C00DF">
      <w:pPr>
        <w:pStyle w:val="affb"/>
        <w:rPr>
          <w:rFonts w:ascii="仿宋" w:eastAsia="仿宋" w:hAnsi="仿宋" w:cs="仿宋" w:hint="eastAsia"/>
          <w:szCs w:val="21"/>
        </w:rPr>
      </w:pPr>
      <w:r w:rsidRPr="001C00DF">
        <w:rPr>
          <w:rFonts w:ascii="仿宋" w:eastAsia="仿宋" w:hAnsi="仿宋" w:cs="仿宋" w:hint="eastAsia"/>
          <w:szCs w:val="21"/>
        </w:rPr>
        <w:t>工程层面：统一技术标准可减少设计选型争议，提高施工效率，缩短工程周期；</w:t>
      </w:r>
    </w:p>
    <w:p w14:paraId="40405CFA" w14:textId="00F128FE" w:rsidR="001C00DF" w:rsidRPr="001C00DF" w:rsidRDefault="001C00DF" w:rsidP="001C00DF">
      <w:pPr>
        <w:pStyle w:val="affb"/>
        <w:rPr>
          <w:rFonts w:ascii="仿宋" w:eastAsia="仿宋" w:hAnsi="仿宋" w:cs="仿宋" w:hint="eastAsia"/>
          <w:szCs w:val="21"/>
        </w:rPr>
      </w:pPr>
      <w:r w:rsidRPr="001C00DF">
        <w:rPr>
          <w:rFonts w:ascii="仿宋" w:eastAsia="仿宋" w:hAnsi="仿宋" w:cs="仿宋" w:hint="eastAsia"/>
          <w:szCs w:val="21"/>
        </w:rPr>
        <w:t>运维层面：明确维护周期和方法可降低装置故障率，减少紧急维修和水质污染事件处置费用；</w:t>
      </w:r>
    </w:p>
    <w:p w14:paraId="76AD3C0C" w14:textId="16B6E020" w:rsidR="00DD042A" w:rsidRDefault="001C00DF" w:rsidP="001C00DF">
      <w:pPr>
        <w:pStyle w:val="affb"/>
        <w:rPr>
          <w:rFonts w:ascii="仿宋" w:eastAsia="仿宋" w:hAnsi="仿宋" w:cs="仿宋" w:hint="eastAsia"/>
          <w:szCs w:val="21"/>
        </w:rPr>
      </w:pPr>
      <w:r w:rsidRPr="001C00DF">
        <w:rPr>
          <w:rFonts w:ascii="仿宋" w:eastAsia="仿宋" w:hAnsi="仿宋" w:cs="仿宋" w:hint="eastAsia"/>
          <w:szCs w:val="21"/>
        </w:rPr>
        <w:t>产业层面：推动防回流装置产品质量提升和行业健康发展</w:t>
      </w:r>
      <w:r>
        <w:rPr>
          <w:rFonts w:ascii="仿宋" w:eastAsia="仿宋" w:hAnsi="仿宋" w:cs="仿宋" w:hint="eastAsia"/>
          <w:szCs w:val="21"/>
        </w:rPr>
        <w:t>。</w:t>
      </w:r>
    </w:p>
    <w:p w14:paraId="39380604"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2.社会效益</w:t>
      </w:r>
    </w:p>
    <w:p w14:paraId="1270B563" w14:textId="75785766" w:rsidR="001C00DF" w:rsidRPr="001C00DF" w:rsidRDefault="001C00DF" w:rsidP="001C00DF">
      <w:pPr>
        <w:pStyle w:val="affb"/>
        <w:rPr>
          <w:rFonts w:ascii="仿宋" w:eastAsia="仿宋" w:hAnsi="仿宋" w:cs="仿宋" w:hint="eastAsia"/>
          <w:szCs w:val="21"/>
        </w:rPr>
      </w:pPr>
      <w:r w:rsidRPr="001C00DF">
        <w:rPr>
          <w:rFonts w:ascii="仿宋" w:eastAsia="仿宋" w:hAnsi="仿宋" w:cs="仿宋" w:hint="eastAsia"/>
          <w:szCs w:val="21"/>
        </w:rPr>
        <w:t>保障供水安全：有效防止因回流污染引发的饮用水水质安全事故，保护公众健康；</w:t>
      </w:r>
    </w:p>
    <w:p w14:paraId="458DE2FB" w14:textId="5664509F" w:rsidR="001C00DF" w:rsidRPr="001C00DF" w:rsidRDefault="001C00DF" w:rsidP="001C00DF">
      <w:pPr>
        <w:pStyle w:val="affb"/>
        <w:rPr>
          <w:rFonts w:ascii="仿宋" w:eastAsia="仿宋" w:hAnsi="仿宋" w:cs="仿宋" w:hint="eastAsia"/>
          <w:szCs w:val="21"/>
        </w:rPr>
      </w:pPr>
      <w:r w:rsidRPr="001C00DF">
        <w:rPr>
          <w:rFonts w:ascii="仿宋" w:eastAsia="仿宋" w:hAnsi="仿宋" w:cs="仿宋" w:hint="eastAsia"/>
          <w:szCs w:val="21"/>
        </w:rPr>
        <w:t>提升管理水平：为供水企业和物业管理单位提供统一、明确的运维管理依据，提升防回流设施的规范化管理水平；</w:t>
      </w:r>
    </w:p>
    <w:p w14:paraId="731C5A8B" w14:textId="00F120D7" w:rsidR="00DD042A" w:rsidRDefault="001C00DF" w:rsidP="001C00DF">
      <w:pPr>
        <w:pStyle w:val="affb"/>
        <w:rPr>
          <w:rFonts w:ascii="仿宋" w:eastAsia="仿宋" w:hAnsi="仿宋" w:cs="仿宋" w:hint="eastAsia"/>
          <w:szCs w:val="21"/>
        </w:rPr>
      </w:pPr>
      <w:r w:rsidRPr="001C00DF">
        <w:rPr>
          <w:rFonts w:ascii="仿宋" w:eastAsia="仿宋" w:hAnsi="仿宋" w:cs="仿宋" w:hint="eastAsia"/>
          <w:szCs w:val="21"/>
        </w:rPr>
        <w:t>规范行业秩序：统一技术要求与质量标准，促进给排水行业防回流技术水平的整体提升</w:t>
      </w:r>
      <w:r>
        <w:rPr>
          <w:rFonts w:ascii="仿宋" w:eastAsia="仿宋" w:hAnsi="仿宋" w:cs="仿宋" w:hint="eastAsia"/>
          <w:szCs w:val="21"/>
        </w:rPr>
        <w:t>。</w:t>
      </w:r>
    </w:p>
    <w:p w14:paraId="4FADC723"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3.生态效益</w:t>
      </w:r>
    </w:p>
    <w:p w14:paraId="471A4CF8" w14:textId="5B8F39FC" w:rsidR="001C00DF" w:rsidRPr="001C00DF" w:rsidRDefault="001C00DF" w:rsidP="001C00DF">
      <w:pPr>
        <w:pStyle w:val="affb"/>
        <w:rPr>
          <w:rFonts w:ascii="仿宋" w:eastAsia="仿宋" w:hAnsi="仿宋" w:cs="仿宋" w:hint="eastAsia"/>
          <w:szCs w:val="21"/>
        </w:rPr>
      </w:pPr>
      <w:r w:rsidRPr="001C00DF">
        <w:rPr>
          <w:rFonts w:ascii="仿宋" w:eastAsia="仿宋" w:hAnsi="仿宋" w:cs="仿宋" w:hint="eastAsia"/>
          <w:szCs w:val="21"/>
        </w:rPr>
        <w:t>减少水体污染：防止有毒有害物质、致病微生物等通过回流途径进入生活饮用水系统，降低环境风险；</w:t>
      </w:r>
    </w:p>
    <w:p w14:paraId="62991666" w14:textId="29CAF551" w:rsidR="00DD042A" w:rsidRDefault="001C00DF" w:rsidP="001C00DF">
      <w:pPr>
        <w:pStyle w:val="affb"/>
        <w:rPr>
          <w:rFonts w:ascii="仿宋" w:eastAsia="仿宋" w:hAnsi="仿宋" w:cs="仿宋" w:hint="eastAsia"/>
          <w:szCs w:val="21"/>
        </w:rPr>
      </w:pPr>
      <w:r w:rsidRPr="001C00DF">
        <w:rPr>
          <w:rFonts w:ascii="仿宋" w:eastAsia="仿宋" w:hAnsi="仿宋" w:cs="仿宋" w:hint="eastAsia"/>
          <w:szCs w:val="21"/>
        </w:rPr>
        <w:t>保护水资源：避免因水质污染事件导致的大范围管网冲洗和水量浪费，节约水资源</w:t>
      </w:r>
      <w:r>
        <w:rPr>
          <w:rFonts w:ascii="仿宋" w:eastAsia="仿宋" w:hAnsi="仿宋" w:cs="仿宋" w:hint="eastAsia"/>
          <w:szCs w:val="21"/>
        </w:rPr>
        <w:t>。</w:t>
      </w:r>
    </w:p>
    <w:p w14:paraId="10A20A3F"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八、以国际标准为基础的起草情况，以及是否合规引用或者采用国际国外标准，并说明未采用国际标准的原因</w:t>
      </w:r>
    </w:p>
    <w:p w14:paraId="2AE6D9E8"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37339395" w14:textId="63EB81FC"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（一）</w:t>
      </w:r>
      <w:r w:rsidR="001A02B7">
        <w:rPr>
          <w:rFonts w:ascii="仿宋" w:eastAsia="仿宋" w:hAnsi="仿宋" w:cs="仿宋" w:hint="eastAsia"/>
          <w:b/>
          <w:bCs/>
          <w:szCs w:val="21"/>
        </w:rPr>
        <w:t>范围</w:t>
      </w:r>
    </w:p>
    <w:p w14:paraId="7F3E04B9" w14:textId="034A5DFF" w:rsidR="00DD042A" w:rsidRDefault="001A02B7">
      <w:pPr>
        <w:pStyle w:val="affffffff"/>
        <w:adjustRightInd w:val="0"/>
        <w:snapToGrid w:val="0"/>
        <w:ind w:firstLine="420"/>
        <w:rPr>
          <w:rFonts w:ascii="仿宋" w:eastAsia="仿宋" w:hAnsi="仿宋" w:cs="仿宋" w:hint="eastAsia"/>
          <w:szCs w:val="21"/>
        </w:rPr>
      </w:pPr>
      <w:r w:rsidRPr="001A02B7">
        <w:rPr>
          <w:rFonts w:ascii="仿宋" w:eastAsia="仿宋" w:hAnsi="仿宋" w:cs="仿宋" w:hint="eastAsia"/>
          <w:szCs w:val="21"/>
        </w:rPr>
        <w:lastRenderedPageBreak/>
        <w:t>明确标准适用范围为新建、扩建、改建的城镇市政给水工程、民用与工业建筑给水排水工程、二次供水工程、消防给水系统、园林绿化给水系统及厂区工业给水系统的防回流污染设计、施工、验收与运行维护管理</w:t>
      </w:r>
      <w:r>
        <w:rPr>
          <w:rFonts w:ascii="仿宋" w:eastAsia="仿宋" w:hAnsi="仿宋" w:cs="仿宋" w:hint="eastAsia"/>
          <w:szCs w:val="21"/>
        </w:rPr>
        <w:t>。</w:t>
      </w:r>
    </w:p>
    <w:p w14:paraId="421071DE" w14:textId="6C5729A6"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（二）</w:t>
      </w:r>
      <w:r w:rsidR="001A02B7">
        <w:rPr>
          <w:rFonts w:ascii="仿宋" w:eastAsia="仿宋" w:hAnsi="仿宋" w:cs="仿宋" w:hint="eastAsia"/>
          <w:b/>
          <w:bCs/>
          <w:szCs w:val="21"/>
        </w:rPr>
        <w:t>规范性引用文件</w:t>
      </w:r>
    </w:p>
    <w:p w14:paraId="64A47A41" w14:textId="3674F524" w:rsidR="00DD042A" w:rsidRDefault="002A5802">
      <w:pPr>
        <w:pStyle w:val="affffffff"/>
        <w:adjustRightInd w:val="0"/>
        <w:snapToGrid w:val="0"/>
        <w:ind w:firstLine="420"/>
        <w:rPr>
          <w:rFonts w:ascii="仿宋" w:eastAsia="仿宋" w:hAnsi="仿宋" w:cs="仿宋" w:hint="eastAsia"/>
          <w:szCs w:val="21"/>
        </w:rPr>
      </w:pPr>
      <w:r w:rsidRPr="002A5802">
        <w:rPr>
          <w:rFonts w:ascii="仿宋" w:eastAsia="仿宋" w:hAnsi="仿宋" w:cs="仿宋" w:hint="eastAsia"/>
          <w:szCs w:val="21"/>
        </w:rPr>
        <w:t>列出了GB 17051、GB 50013、GB 50015、GB 50242、GB 50788、GB/T 17219、GB/T 25178、GB/T 37821、GB/T 44574、CJ/T 324、JB/T 11151、CJJ 140等规范性引用文件</w:t>
      </w:r>
      <w:r>
        <w:rPr>
          <w:rFonts w:ascii="仿宋" w:eastAsia="仿宋" w:hAnsi="仿宋" w:cs="仿宋" w:hint="eastAsia"/>
          <w:szCs w:val="21"/>
        </w:rPr>
        <w:t>。</w:t>
      </w:r>
    </w:p>
    <w:p w14:paraId="3B094647" w14:textId="704CAB31"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（三）</w:t>
      </w:r>
      <w:r w:rsidR="001A02B7">
        <w:rPr>
          <w:rFonts w:ascii="仿宋" w:eastAsia="仿宋" w:hAnsi="仿宋" w:cs="仿宋" w:hint="eastAsia"/>
          <w:b/>
          <w:bCs/>
          <w:szCs w:val="21"/>
        </w:rPr>
        <w:t>术语与定义</w:t>
      </w:r>
    </w:p>
    <w:p w14:paraId="46A956D2" w14:textId="14036160" w:rsidR="00DD042A" w:rsidRDefault="002A5802">
      <w:pPr>
        <w:pStyle w:val="affffffff"/>
        <w:adjustRightInd w:val="0"/>
        <w:snapToGrid w:val="0"/>
        <w:ind w:firstLine="420"/>
        <w:rPr>
          <w:rFonts w:ascii="仿宋" w:eastAsia="仿宋" w:hAnsi="仿宋" w:cs="仿宋" w:hint="eastAsia"/>
          <w:szCs w:val="21"/>
        </w:rPr>
      </w:pPr>
      <w:r w:rsidRPr="002A5802">
        <w:rPr>
          <w:rFonts w:ascii="仿宋" w:eastAsia="仿宋" w:hAnsi="仿宋" w:cs="仿宋" w:hint="eastAsia"/>
          <w:szCs w:val="21"/>
        </w:rPr>
        <w:t>定义了回流污染、背压回流、虹吸回流、空气间隙、倒流防止器、减压型倒流防止器、非减压型倒流防止器、双止回阀倒流防止器、中间腔空气隔断型倒流防止器、真空破坏器、大气型真空破坏器、压力型真空破坏器、组合型真空破坏器、始动泄水压差、低阻力倒流防止器、塑料止回阀等术语</w:t>
      </w:r>
      <w:r>
        <w:rPr>
          <w:rFonts w:ascii="仿宋" w:eastAsia="仿宋" w:hAnsi="仿宋" w:cs="仿宋" w:hint="eastAsia"/>
          <w:szCs w:val="21"/>
        </w:rPr>
        <w:t>。</w:t>
      </w:r>
    </w:p>
    <w:p w14:paraId="6214AE04" w14:textId="6C388485"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（四）</w:t>
      </w:r>
      <w:r w:rsidR="001A02B7">
        <w:rPr>
          <w:rFonts w:ascii="仿宋" w:eastAsia="仿宋" w:hAnsi="仿宋" w:cs="仿宋" w:hint="eastAsia"/>
          <w:b/>
          <w:bCs/>
          <w:szCs w:val="21"/>
        </w:rPr>
        <w:t>基本规定</w:t>
      </w:r>
    </w:p>
    <w:p w14:paraId="3DE1758D" w14:textId="3EDB765D" w:rsidR="00DD042A" w:rsidRDefault="002A5802">
      <w:pPr>
        <w:pStyle w:val="affffffff"/>
        <w:adjustRightInd w:val="0"/>
        <w:snapToGrid w:val="0"/>
        <w:ind w:firstLine="420"/>
        <w:rPr>
          <w:rFonts w:ascii="仿宋" w:eastAsia="仿宋" w:hAnsi="仿宋" w:cs="仿宋" w:hint="eastAsia"/>
          <w:szCs w:val="21"/>
        </w:rPr>
      </w:pPr>
      <w:r w:rsidRPr="002A5802">
        <w:rPr>
          <w:rFonts w:ascii="仿宋" w:eastAsia="仿宋" w:hAnsi="仿宋" w:cs="仿宋" w:hint="eastAsia"/>
          <w:szCs w:val="21"/>
        </w:rPr>
        <w:t>规定了给排水系统防回流污染的基本原则，包括严禁生活饮用水管道与非饮用水管道直接无防护连通、防回流装置所用材料应符合卫生安全要求、关键供水节点应设置对应防护级别的防回流措施等</w:t>
      </w:r>
      <w:r>
        <w:rPr>
          <w:rFonts w:ascii="仿宋" w:eastAsia="仿宋" w:hAnsi="仿宋" w:cs="仿宋" w:hint="eastAsia"/>
          <w:szCs w:val="21"/>
        </w:rPr>
        <w:t>。</w:t>
      </w:r>
    </w:p>
    <w:p w14:paraId="42D76358" w14:textId="727951CA"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（五）</w:t>
      </w:r>
      <w:r w:rsidR="001A02B7" w:rsidRPr="001A02B7">
        <w:rPr>
          <w:rFonts w:ascii="仿宋" w:eastAsia="仿宋" w:hAnsi="仿宋" w:cs="仿宋" w:hint="eastAsia"/>
          <w:b/>
          <w:bCs/>
          <w:szCs w:val="21"/>
        </w:rPr>
        <w:t>回流污染危害程度分级</w:t>
      </w:r>
    </w:p>
    <w:p w14:paraId="7EB4746C" w14:textId="48C8F8FC" w:rsidR="00DD042A" w:rsidRDefault="00985500">
      <w:pPr>
        <w:pStyle w:val="affffffff"/>
        <w:adjustRightInd w:val="0"/>
        <w:snapToGrid w:val="0"/>
        <w:ind w:firstLine="420"/>
        <w:rPr>
          <w:rFonts w:ascii="仿宋" w:eastAsia="仿宋" w:hAnsi="仿宋" w:cs="仿宋" w:hint="eastAsia"/>
          <w:szCs w:val="21"/>
        </w:rPr>
      </w:pPr>
      <w:r w:rsidRPr="00985500">
        <w:rPr>
          <w:rFonts w:ascii="仿宋" w:eastAsia="仿宋" w:hAnsi="仿宋" w:cs="仿宋" w:hint="eastAsia"/>
          <w:szCs w:val="21"/>
        </w:rPr>
        <w:t>将回流污染危害程度划分为高、中、低三个等级，分别规定各级别的判断依据、典型应用场景和最低防护措施要求，并编制了分级及防护要求表</w:t>
      </w:r>
      <w:r>
        <w:rPr>
          <w:rFonts w:ascii="仿宋" w:eastAsia="仿宋" w:hAnsi="仿宋" w:cs="仿宋" w:hint="eastAsia"/>
          <w:szCs w:val="21"/>
        </w:rPr>
        <w:t>。</w:t>
      </w:r>
    </w:p>
    <w:p w14:paraId="338C761C" w14:textId="3B57FA06"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（六）</w:t>
      </w:r>
      <w:r w:rsidR="001A02B7" w:rsidRPr="001A02B7">
        <w:rPr>
          <w:rFonts w:ascii="仿宋" w:eastAsia="仿宋" w:hAnsi="仿宋" w:cs="仿宋" w:hint="eastAsia"/>
          <w:b/>
          <w:bCs/>
          <w:szCs w:val="21"/>
        </w:rPr>
        <w:t>防回流污染技术措施与装置</w:t>
      </w:r>
    </w:p>
    <w:p w14:paraId="129304D7" w14:textId="06E17701" w:rsidR="00DD042A" w:rsidRDefault="001A02B7">
      <w:pPr>
        <w:pStyle w:val="affffffff"/>
        <w:adjustRightInd w:val="0"/>
        <w:snapToGrid w:val="0"/>
        <w:ind w:firstLine="420"/>
        <w:rPr>
          <w:rFonts w:ascii="仿宋" w:eastAsia="仿宋" w:hAnsi="仿宋" w:cs="仿宋" w:hint="eastAsia"/>
          <w:szCs w:val="21"/>
        </w:rPr>
      </w:pPr>
      <w:r w:rsidRPr="001A02B7">
        <w:rPr>
          <w:rFonts w:ascii="仿宋" w:eastAsia="仿宋" w:hAnsi="仿宋" w:cs="仿宋" w:hint="eastAsia"/>
          <w:szCs w:val="21"/>
        </w:rPr>
        <w:t>详细规定了空气间隙、减压型倒流防止器、非减压型倒流防止器、双止回阀倒流防止器、中间腔空气隔断型倒流防止器、大气型真空破坏器、压力型真空破坏器、组合型真空破坏器及其他防回流措施的技术要求和适用条件。明确了空气间隙的垂直距离数值要求（2.5倍/5倍/10倍，且不小于25 mm）、减压型倒流防止器的参数范围（DN15～DN400，PN16，≤65</w:t>
      </w:r>
      <w:r>
        <w:rPr>
          <w:rFonts w:ascii="仿宋" w:eastAsia="仿宋" w:hAnsi="仿宋" w:cs="仿宋"/>
          <w:szCs w:val="21"/>
        </w:rPr>
        <w:t> </w:t>
      </w:r>
      <w:r w:rsidRPr="001A02B7">
        <w:rPr>
          <w:rFonts w:ascii="仿宋" w:eastAsia="仿宋" w:hAnsi="仿宋" w:cs="仿宋" w:hint="eastAsia"/>
          <w:szCs w:val="21"/>
        </w:rPr>
        <w:t>℃）、真空破坏器的参数范围（≤DN50，≤1.0 MPa，≤65</w:t>
      </w:r>
      <w:r>
        <w:rPr>
          <w:rFonts w:ascii="仿宋" w:eastAsia="仿宋" w:hAnsi="仿宋" w:cs="仿宋"/>
          <w:szCs w:val="21"/>
        </w:rPr>
        <w:t> </w:t>
      </w:r>
      <w:r w:rsidRPr="001A02B7">
        <w:rPr>
          <w:rFonts w:ascii="仿宋" w:eastAsia="仿宋" w:hAnsi="仿宋" w:cs="仿宋" w:hint="eastAsia"/>
          <w:szCs w:val="21"/>
        </w:rPr>
        <w:t>℃）等关键技术指标</w:t>
      </w:r>
      <w:r>
        <w:rPr>
          <w:rFonts w:ascii="仿宋" w:eastAsia="仿宋" w:hAnsi="仿宋" w:cs="仿宋" w:hint="eastAsia"/>
          <w:szCs w:val="21"/>
        </w:rPr>
        <w:t>。</w:t>
      </w:r>
    </w:p>
    <w:p w14:paraId="48158710" w14:textId="7CEB4E2B" w:rsidR="001A02B7" w:rsidRDefault="001A02B7" w:rsidP="001A02B7">
      <w:pPr>
        <w:pStyle w:val="affffffff"/>
        <w:adjustRightInd w:val="0"/>
        <w:snapToGrid w:val="0"/>
        <w:ind w:firstLine="422"/>
        <w:rPr>
          <w:rFonts w:ascii="仿宋" w:eastAsia="仿宋" w:hAnsi="仿宋" w:cs="仿宋" w:hint="eastAsia"/>
          <w:b/>
          <w:bCs/>
          <w:szCs w:val="21"/>
        </w:rPr>
      </w:pPr>
      <w:r w:rsidRPr="001A02B7">
        <w:rPr>
          <w:rFonts w:ascii="仿宋" w:eastAsia="仿宋" w:hAnsi="仿宋" w:cs="仿宋" w:hint="eastAsia"/>
          <w:b/>
          <w:bCs/>
          <w:szCs w:val="21"/>
        </w:rPr>
        <w:t>（七）防回流装置的性能要求与试验方法</w:t>
      </w:r>
    </w:p>
    <w:p w14:paraId="5535E5EE" w14:textId="34FBA84E" w:rsidR="001A02B7" w:rsidRPr="001A02B7" w:rsidRDefault="001A02B7" w:rsidP="001A02B7">
      <w:pPr>
        <w:pStyle w:val="affffffff"/>
        <w:adjustRightInd w:val="0"/>
        <w:snapToGrid w:val="0"/>
        <w:ind w:firstLine="420"/>
        <w:rPr>
          <w:rFonts w:ascii="仿宋" w:eastAsia="仿宋" w:hAnsi="仿宋" w:cs="仿宋" w:hint="eastAsia"/>
          <w:szCs w:val="21"/>
        </w:rPr>
      </w:pPr>
      <w:r w:rsidRPr="001A02B7">
        <w:rPr>
          <w:rFonts w:ascii="仿宋" w:eastAsia="仿宋" w:hAnsi="仿宋" w:cs="仿宋" w:hint="eastAsia"/>
          <w:szCs w:val="21"/>
        </w:rPr>
        <w:t>规定了通用性能要求（壳体强度1.5倍公称压力保压5</w:t>
      </w:r>
      <w:r w:rsidR="00985500">
        <w:rPr>
          <w:rFonts w:ascii="仿宋" w:eastAsia="仿宋" w:hAnsi="仿宋" w:cs="仿宋"/>
          <w:szCs w:val="21"/>
        </w:rPr>
        <w:t> </w:t>
      </w:r>
      <w:r w:rsidRPr="001A02B7">
        <w:rPr>
          <w:rFonts w:ascii="仿宋" w:eastAsia="仿宋" w:hAnsi="仿宋" w:cs="仿宋" w:hint="eastAsia"/>
          <w:szCs w:val="21"/>
        </w:rPr>
        <w:t>min、密封性能1.1倍公称压力保压2</w:t>
      </w:r>
      <w:r w:rsidR="00985500">
        <w:rPr>
          <w:rFonts w:ascii="仿宋" w:eastAsia="仿宋" w:hAnsi="仿宋" w:cs="仿宋"/>
          <w:szCs w:val="21"/>
        </w:rPr>
        <w:t> </w:t>
      </w:r>
      <w:r w:rsidRPr="001A02B7">
        <w:rPr>
          <w:rFonts w:ascii="仿宋" w:eastAsia="仿宋" w:hAnsi="仿宋" w:cs="仿宋" w:hint="eastAsia"/>
          <w:szCs w:val="21"/>
        </w:rPr>
        <w:t>min），减压型倒流防止器的专项性能要求（始动泄水压差≥14</w:t>
      </w:r>
      <w:r>
        <w:rPr>
          <w:rFonts w:ascii="仿宋" w:eastAsia="仿宋" w:hAnsi="仿宋" w:cs="仿宋"/>
          <w:szCs w:val="21"/>
        </w:rPr>
        <w:t> </w:t>
      </w:r>
      <w:r w:rsidRPr="001A02B7">
        <w:rPr>
          <w:rFonts w:ascii="仿宋" w:eastAsia="仿宋" w:hAnsi="仿宋" w:cs="仿宋" w:hint="eastAsia"/>
          <w:szCs w:val="21"/>
        </w:rPr>
        <w:t>kPa、零流量压力损失≤60</w:t>
      </w:r>
      <w:r>
        <w:rPr>
          <w:rFonts w:ascii="仿宋" w:eastAsia="仿宋" w:hAnsi="仿宋" w:cs="仿宋"/>
          <w:szCs w:val="21"/>
        </w:rPr>
        <w:t> </w:t>
      </w:r>
      <w:r w:rsidRPr="001A02B7">
        <w:rPr>
          <w:rFonts w:ascii="仿宋" w:eastAsia="仿宋" w:hAnsi="仿宋" w:cs="仿宋" w:hint="eastAsia"/>
          <w:szCs w:val="21"/>
        </w:rPr>
        <w:t>kPa、5000次循环试验、50</w:t>
      </w:r>
      <w:r>
        <w:rPr>
          <w:rFonts w:ascii="仿宋" w:eastAsia="仿宋" w:hAnsi="仿宋" w:cs="仿宋"/>
          <w:szCs w:val="21"/>
        </w:rPr>
        <w:t> </w:t>
      </w:r>
      <w:r w:rsidRPr="001A02B7">
        <w:rPr>
          <w:rFonts w:ascii="仿宋" w:eastAsia="仿宋" w:hAnsi="仿宋" w:cs="仿宋" w:hint="eastAsia"/>
          <w:szCs w:val="21"/>
        </w:rPr>
        <w:t>kPa虹吸测试），真空破坏器的专项性能要求（开启压力偏差≤±10%），以及相应的试验方法</w:t>
      </w:r>
      <w:r>
        <w:rPr>
          <w:rFonts w:ascii="仿宋" w:eastAsia="仿宋" w:hAnsi="仿宋" w:cs="仿宋" w:hint="eastAsia"/>
          <w:szCs w:val="21"/>
        </w:rPr>
        <w:t>。</w:t>
      </w:r>
    </w:p>
    <w:p w14:paraId="3DA40A29" w14:textId="1880D606" w:rsidR="001A02B7" w:rsidRDefault="001A02B7">
      <w:pPr>
        <w:pStyle w:val="affffffff"/>
        <w:adjustRightInd w:val="0"/>
        <w:snapToGrid w:val="0"/>
        <w:ind w:firstLine="422"/>
        <w:rPr>
          <w:rFonts w:ascii="仿宋" w:eastAsia="仿宋" w:hAnsi="仿宋" w:cs="仿宋" w:hint="eastAsia"/>
          <w:b/>
          <w:bCs/>
          <w:szCs w:val="21"/>
        </w:rPr>
      </w:pPr>
      <w:r w:rsidRPr="001A02B7">
        <w:rPr>
          <w:rFonts w:ascii="仿宋" w:eastAsia="仿宋" w:hAnsi="仿宋" w:cs="仿宋" w:hint="eastAsia"/>
          <w:b/>
          <w:bCs/>
          <w:szCs w:val="21"/>
        </w:rPr>
        <w:t>（八）各系统防回流污染设计</w:t>
      </w:r>
    </w:p>
    <w:p w14:paraId="45FAF050" w14:textId="3707498C" w:rsidR="001A02B7" w:rsidRPr="001A02B7" w:rsidRDefault="001A02B7">
      <w:pPr>
        <w:pStyle w:val="affffffff"/>
        <w:adjustRightInd w:val="0"/>
        <w:snapToGrid w:val="0"/>
        <w:ind w:firstLine="420"/>
        <w:rPr>
          <w:rFonts w:ascii="仿宋" w:eastAsia="仿宋" w:hAnsi="仿宋" w:cs="仿宋" w:hint="eastAsia"/>
          <w:szCs w:val="21"/>
        </w:rPr>
      </w:pPr>
      <w:r w:rsidRPr="001A02B7">
        <w:rPr>
          <w:rFonts w:ascii="仿宋" w:eastAsia="仿宋" w:hAnsi="仿宋" w:cs="仿宋" w:hint="eastAsia"/>
          <w:szCs w:val="21"/>
        </w:rPr>
        <w:t>分别规定了生活给水系统、消防给水系统、园林绿化给水系统、工业与厂区给水系统及其他给水系统的防回流污染设计要求，明确了各系统中倒流防止器和真空破坏器的设置位置及选用要求</w:t>
      </w:r>
      <w:r>
        <w:rPr>
          <w:rFonts w:ascii="仿宋" w:eastAsia="仿宋" w:hAnsi="仿宋" w:cs="仿宋" w:hint="eastAsia"/>
          <w:szCs w:val="21"/>
        </w:rPr>
        <w:t>。</w:t>
      </w:r>
    </w:p>
    <w:p w14:paraId="1D869ADD" w14:textId="7D8A9DA0" w:rsidR="001A02B7" w:rsidRDefault="001A02B7">
      <w:pPr>
        <w:pStyle w:val="affffffff"/>
        <w:adjustRightInd w:val="0"/>
        <w:snapToGrid w:val="0"/>
        <w:ind w:firstLine="422"/>
        <w:rPr>
          <w:rFonts w:ascii="仿宋" w:eastAsia="仿宋" w:hAnsi="仿宋" w:cs="仿宋" w:hint="eastAsia"/>
          <w:b/>
          <w:bCs/>
          <w:szCs w:val="21"/>
        </w:rPr>
      </w:pPr>
      <w:r w:rsidRPr="001A02B7">
        <w:rPr>
          <w:rFonts w:ascii="仿宋" w:eastAsia="仿宋" w:hAnsi="仿宋" w:cs="仿宋" w:hint="eastAsia"/>
          <w:b/>
          <w:bCs/>
          <w:szCs w:val="21"/>
        </w:rPr>
        <w:t>（九）防回流装置的选用</w:t>
      </w:r>
    </w:p>
    <w:p w14:paraId="0581BC7E" w14:textId="417A645A" w:rsidR="001A02B7" w:rsidRPr="001A02B7" w:rsidRDefault="001A02B7">
      <w:pPr>
        <w:pStyle w:val="affffffff"/>
        <w:adjustRightInd w:val="0"/>
        <w:snapToGrid w:val="0"/>
        <w:ind w:firstLine="420"/>
        <w:rPr>
          <w:rFonts w:ascii="仿宋" w:eastAsia="仿宋" w:hAnsi="仿宋" w:cs="仿宋" w:hint="eastAsia"/>
          <w:szCs w:val="21"/>
        </w:rPr>
      </w:pPr>
      <w:r w:rsidRPr="001A02B7">
        <w:rPr>
          <w:rFonts w:ascii="仿宋" w:eastAsia="仿宋" w:hAnsi="仿宋" w:cs="仿宋" w:hint="eastAsia"/>
          <w:szCs w:val="21"/>
        </w:rPr>
        <w:t>规定了选用原则和选用流程，分别给出了倒流防止器和真空破坏器的选用依据，明确了空气间隙的设置要求和组合应用要求，并编制了装置选用速查表</w:t>
      </w:r>
      <w:r>
        <w:rPr>
          <w:rFonts w:ascii="仿宋" w:eastAsia="仿宋" w:hAnsi="仿宋" w:cs="仿宋" w:hint="eastAsia"/>
          <w:szCs w:val="21"/>
        </w:rPr>
        <w:t>。</w:t>
      </w:r>
    </w:p>
    <w:p w14:paraId="01101396" w14:textId="030A60AB" w:rsidR="001A02B7" w:rsidRDefault="001A02B7">
      <w:pPr>
        <w:pStyle w:val="affffffff"/>
        <w:adjustRightInd w:val="0"/>
        <w:snapToGrid w:val="0"/>
        <w:ind w:firstLine="422"/>
        <w:rPr>
          <w:rFonts w:ascii="仿宋" w:eastAsia="仿宋" w:hAnsi="仿宋" w:cs="仿宋" w:hint="eastAsia"/>
          <w:b/>
          <w:bCs/>
          <w:szCs w:val="21"/>
        </w:rPr>
      </w:pPr>
      <w:r w:rsidRPr="001A02B7">
        <w:rPr>
          <w:rFonts w:ascii="仿宋" w:eastAsia="仿宋" w:hAnsi="仿宋" w:cs="仿宋" w:hint="eastAsia"/>
          <w:b/>
          <w:bCs/>
          <w:szCs w:val="21"/>
        </w:rPr>
        <w:t>（十）施工与安装</w:t>
      </w:r>
    </w:p>
    <w:p w14:paraId="3CED40BF" w14:textId="18E41565" w:rsidR="001A02B7" w:rsidRPr="001A02B7" w:rsidRDefault="001A02B7">
      <w:pPr>
        <w:pStyle w:val="affffffff"/>
        <w:adjustRightInd w:val="0"/>
        <w:snapToGrid w:val="0"/>
        <w:ind w:firstLine="420"/>
        <w:rPr>
          <w:rFonts w:ascii="仿宋" w:eastAsia="仿宋" w:hAnsi="仿宋" w:cs="仿宋" w:hint="eastAsia"/>
          <w:szCs w:val="21"/>
        </w:rPr>
      </w:pPr>
      <w:r w:rsidRPr="001A02B7">
        <w:rPr>
          <w:rFonts w:ascii="仿宋" w:eastAsia="仿宋" w:hAnsi="仿宋" w:cs="仿宋" w:hint="eastAsia"/>
          <w:szCs w:val="21"/>
        </w:rPr>
        <w:t>规定了一般规定、施工准备、安装技术要求、管道连接与附件安装、特殊环境安装要求等内容，明确了减压型倒流防止器水平安装、泄水阀朝下、排水口空气间隙不小于2倍排水管管径等具体要求</w:t>
      </w:r>
      <w:r>
        <w:rPr>
          <w:rFonts w:ascii="仿宋" w:eastAsia="仿宋" w:hAnsi="仿宋" w:cs="仿宋" w:hint="eastAsia"/>
          <w:szCs w:val="21"/>
        </w:rPr>
        <w:t>。</w:t>
      </w:r>
    </w:p>
    <w:p w14:paraId="0BD732DE" w14:textId="7F96E38E" w:rsidR="001A02B7" w:rsidRDefault="001A02B7">
      <w:pPr>
        <w:pStyle w:val="affffffff"/>
        <w:adjustRightInd w:val="0"/>
        <w:snapToGrid w:val="0"/>
        <w:ind w:firstLine="422"/>
        <w:rPr>
          <w:rFonts w:ascii="仿宋" w:eastAsia="仿宋" w:hAnsi="仿宋" w:cs="仿宋" w:hint="eastAsia"/>
          <w:b/>
          <w:bCs/>
          <w:szCs w:val="21"/>
        </w:rPr>
      </w:pPr>
      <w:r w:rsidRPr="001A02B7">
        <w:rPr>
          <w:rFonts w:ascii="仿宋" w:eastAsia="仿宋" w:hAnsi="仿宋" w:cs="仿宋" w:hint="eastAsia"/>
          <w:b/>
          <w:bCs/>
          <w:szCs w:val="21"/>
        </w:rPr>
        <w:t>（十一）调试、检验与验收</w:t>
      </w:r>
    </w:p>
    <w:p w14:paraId="2EFCA4A2" w14:textId="2956A7ED" w:rsidR="001A02B7" w:rsidRPr="001A02B7" w:rsidRDefault="001A02B7">
      <w:pPr>
        <w:pStyle w:val="affffffff"/>
        <w:adjustRightInd w:val="0"/>
        <w:snapToGrid w:val="0"/>
        <w:ind w:firstLine="420"/>
        <w:rPr>
          <w:rFonts w:ascii="仿宋" w:eastAsia="仿宋" w:hAnsi="仿宋" w:cs="仿宋" w:hint="eastAsia"/>
          <w:szCs w:val="21"/>
        </w:rPr>
      </w:pPr>
      <w:r w:rsidRPr="001A02B7">
        <w:rPr>
          <w:rFonts w:ascii="仿宋" w:eastAsia="仿宋" w:hAnsi="仿宋" w:cs="仿宋" w:hint="eastAsia"/>
          <w:szCs w:val="21"/>
        </w:rPr>
        <w:t>规定了现场调试方法（中间腔压力应低于进口压力，压差≥14</w:t>
      </w:r>
      <w:r>
        <w:rPr>
          <w:rFonts w:ascii="仿宋" w:eastAsia="仿宋" w:hAnsi="仿宋" w:cs="仿宋"/>
          <w:szCs w:val="21"/>
        </w:rPr>
        <w:t> </w:t>
      </w:r>
      <w:r w:rsidRPr="001A02B7">
        <w:rPr>
          <w:rFonts w:ascii="仿宋" w:eastAsia="仿宋" w:hAnsi="仿宋" w:cs="仿宋" w:hint="eastAsia"/>
          <w:szCs w:val="21"/>
        </w:rPr>
        <w:t>kPa）、检验内容（安装位置、方向、标识、密封性、空气间隙尺寸等）和验收要求（产品合格证、施工记录、调试记录、检验记录、隐蔽工程验收记录等）</w:t>
      </w:r>
      <w:r>
        <w:rPr>
          <w:rFonts w:ascii="仿宋" w:eastAsia="仿宋" w:hAnsi="仿宋" w:cs="仿宋" w:hint="eastAsia"/>
          <w:szCs w:val="21"/>
        </w:rPr>
        <w:t>。</w:t>
      </w:r>
    </w:p>
    <w:p w14:paraId="2973DEF7" w14:textId="5EC81FFB" w:rsidR="001A02B7" w:rsidRDefault="001A02B7">
      <w:pPr>
        <w:pStyle w:val="affffffff"/>
        <w:adjustRightInd w:val="0"/>
        <w:snapToGrid w:val="0"/>
        <w:ind w:firstLine="422"/>
        <w:rPr>
          <w:rFonts w:ascii="仿宋" w:eastAsia="仿宋" w:hAnsi="仿宋" w:cs="仿宋" w:hint="eastAsia"/>
          <w:b/>
          <w:bCs/>
          <w:szCs w:val="21"/>
        </w:rPr>
      </w:pPr>
      <w:r w:rsidRPr="001A02B7">
        <w:rPr>
          <w:rFonts w:ascii="仿宋" w:eastAsia="仿宋" w:hAnsi="仿宋" w:cs="仿宋" w:hint="eastAsia"/>
          <w:b/>
          <w:bCs/>
          <w:szCs w:val="21"/>
        </w:rPr>
        <w:t>（十二）运行维护管理</w:t>
      </w:r>
    </w:p>
    <w:p w14:paraId="2C83A34C" w14:textId="5707424C" w:rsidR="001A02B7" w:rsidRPr="001A02B7" w:rsidRDefault="001A02B7">
      <w:pPr>
        <w:pStyle w:val="affffffff"/>
        <w:adjustRightInd w:val="0"/>
        <w:snapToGrid w:val="0"/>
        <w:ind w:firstLine="420"/>
        <w:rPr>
          <w:rFonts w:ascii="仿宋" w:eastAsia="仿宋" w:hAnsi="仿宋" w:cs="仿宋" w:hint="eastAsia"/>
          <w:szCs w:val="21"/>
        </w:rPr>
      </w:pPr>
      <w:r w:rsidRPr="001A02B7">
        <w:rPr>
          <w:rFonts w:ascii="仿宋" w:eastAsia="仿宋" w:hAnsi="仿宋" w:cs="仿宋" w:hint="eastAsia"/>
          <w:szCs w:val="21"/>
        </w:rPr>
        <w:t>规定了日常巡检（高危害场所每月不少于1次、中危害每季度不少于1次、低危害每半年不少于1次）、定期检验与维护（高危害每年1次、中危害每2年1次、低危害每3年1次）、故障处理与维修、档案管理等内容，并编制了定期检验与维护项目表</w:t>
      </w:r>
      <w:r>
        <w:rPr>
          <w:rFonts w:ascii="仿宋" w:eastAsia="仿宋" w:hAnsi="仿宋" w:cs="仿宋" w:hint="eastAsia"/>
          <w:szCs w:val="21"/>
        </w:rPr>
        <w:t>。</w:t>
      </w:r>
    </w:p>
    <w:p w14:paraId="2545AB1A"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本文件的制定过程中符合现行法律、法规和强制性国家标准的规定。</w:t>
      </w:r>
    </w:p>
    <w:p w14:paraId="433D6DCC"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lastRenderedPageBreak/>
        <w:t>十二、标准作为强制性或推荐性标准的建议</w:t>
      </w:r>
    </w:p>
    <w:p w14:paraId="24C07FB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DD042A" w:rsidRDefault="00DD042A">
      <w:pPr>
        <w:snapToGrid w:val="0"/>
        <w:ind w:firstLineChars="200" w:firstLine="420"/>
        <w:rPr>
          <w:rFonts w:ascii="仿宋" w:eastAsia="仿宋" w:hAnsi="仿宋" w:cs="仿宋" w:hint="eastAsia"/>
          <w:kern w:val="0"/>
          <w:szCs w:val="21"/>
        </w:rPr>
      </w:pPr>
    </w:p>
    <w:p w14:paraId="180512C4" w14:textId="77777777" w:rsidR="00DD042A"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5660A699" w:rsidR="00DD042A"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2026年</w:t>
      </w:r>
      <w:r w:rsidR="004F75DF">
        <w:rPr>
          <w:rFonts w:ascii="仿宋" w:eastAsia="仿宋" w:hAnsi="仿宋" w:cs="仿宋" w:hint="eastAsia"/>
          <w:kern w:val="0"/>
          <w:szCs w:val="21"/>
        </w:rPr>
        <w:t>4</w:t>
      </w:r>
      <w:r>
        <w:rPr>
          <w:rFonts w:ascii="仿宋" w:eastAsia="仿宋" w:hAnsi="仿宋" w:cs="仿宋" w:hint="eastAsia"/>
          <w:kern w:val="0"/>
          <w:szCs w:val="21"/>
        </w:rPr>
        <w:t>月</w:t>
      </w:r>
    </w:p>
    <w:sectPr w:rsidR="00DD042A">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2B9A1" w14:textId="77777777" w:rsidR="003A54C5" w:rsidRDefault="003A54C5">
      <w:r>
        <w:separator/>
      </w:r>
    </w:p>
  </w:endnote>
  <w:endnote w:type="continuationSeparator" w:id="0">
    <w:p w14:paraId="33AA5203" w14:textId="77777777" w:rsidR="003A54C5" w:rsidRDefault="003A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DD042A"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DD042A"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A4CD" w14:textId="77777777" w:rsidR="003A54C5" w:rsidRDefault="003A54C5">
      <w:r>
        <w:separator/>
      </w:r>
    </w:p>
  </w:footnote>
  <w:footnote w:type="continuationSeparator" w:id="0">
    <w:p w14:paraId="66640AAF" w14:textId="77777777" w:rsidR="003A54C5" w:rsidRDefault="003A5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DD042A" w:rsidRDefault="00DD042A">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1514957489">
    <w:abstractNumId w:val="4"/>
  </w:num>
  <w:num w:numId="2" w16cid:durableId="1739981881">
    <w:abstractNumId w:val="1"/>
  </w:num>
  <w:num w:numId="3" w16cid:durableId="6760339">
    <w:abstractNumId w:val="11"/>
  </w:num>
  <w:num w:numId="4" w16cid:durableId="792291248">
    <w:abstractNumId w:val="13"/>
  </w:num>
  <w:num w:numId="5" w16cid:durableId="269817939">
    <w:abstractNumId w:val="2"/>
  </w:num>
  <w:num w:numId="6" w16cid:durableId="609094943">
    <w:abstractNumId w:val="9"/>
  </w:num>
  <w:num w:numId="7" w16cid:durableId="1224632721">
    <w:abstractNumId w:val="0"/>
  </w:num>
  <w:num w:numId="8" w16cid:durableId="664162382">
    <w:abstractNumId w:val="3"/>
  </w:num>
  <w:num w:numId="9" w16cid:durableId="1312713355">
    <w:abstractNumId w:val="5"/>
  </w:num>
  <w:num w:numId="10" w16cid:durableId="1961648416">
    <w:abstractNumId w:val="12"/>
  </w:num>
  <w:num w:numId="11" w16cid:durableId="603458181">
    <w:abstractNumId w:val="7"/>
  </w:num>
  <w:num w:numId="12" w16cid:durableId="1696232446">
    <w:abstractNumId w:val="10"/>
  </w:num>
  <w:num w:numId="13" w16cid:durableId="872423693">
    <w:abstractNumId w:val="6"/>
  </w:num>
  <w:num w:numId="14" w16cid:durableId="1802531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mirrorMargins/>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04D8"/>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0CD"/>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13A"/>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2B7"/>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0DF"/>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5802"/>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54C5"/>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5DF"/>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90F"/>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3B8C"/>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4A6"/>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1B3F"/>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500"/>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E1"/>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56F7"/>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4379"/>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316"/>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416"/>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42A"/>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1AF"/>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6217AC"/>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B434407"/>
    <w:rsid w:val="0C122745"/>
    <w:rsid w:val="0C8D427D"/>
    <w:rsid w:val="0C9A023C"/>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3EB653A"/>
    <w:rsid w:val="13F015BE"/>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1C4F1A"/>
    <w:rsid w:val="1C994529"/>
    <w:rsid w:val="1D297145"/>
    <w:rsid w:val="1E3C2C0B"/>
    <w:rsid w:val="1E3F091B"/>
    <w:rsid w:val="1E434ACA"/>
    <w:rsid w:val="1EB81FDE"/>
    <w:rsid w:val="1EC41F7A"/>
    <w:rsid w:val="1EF32FF2"/>
    <w:rsid w:val="1F3A7C37"/>
    <w:rsid w:val="1FAB0A8F"/>
    <w:rsid w:val="20022AF0"/>
    <w:rsid w:val="202A7BF8"/>
    <w:rsid w:val="20C242E2"/>
    <w:rsid w:val="20DF41FE"/>
    <w:rsid w:val="212E7BC9"/>
    <w:rsid w:val="2144119B"/>
    <w:rsid w:val="217D7697"/>
    <w:rsid w:val="22061A13"/>
    <w:rsid w:val="222800C3"/>
    <w:rsid w:val="228026A7"/>
    <w:rsid w:val="237D604C"/>
    <w:rsid w:val="23FE39BD"/>
    <w:rsid w:val="245F4818"/>
    <w:rsid w:val="24786C81"/>
    <w:rsid w:val="24E3455E"/>
    <w:rsid w:val="24FE7AE9"/>
    <w:rsid w:val="255D282B"/>
    <w:rsid w:val="256A59C8"/>
    <w:rsid w:val="267E4497"/>
    <w:rsid w:val="268E3C87"/>
    <w:rsid w:val="27AD772F"/>
    <w:rsid w:val="27B564C5"/>
    <w:rsid w:val="27D551EF"/>
    <w:rsid w:val="2802590C"/>
    <w:rsid w:val="28A16ED3"/>
    <w:rsid w:val="28DB441A"/>
    <w:rsid w:val="29236BB2"/>
    <w:rsid w:val="29287901"/>
    <w:rsid w:val="2935321D"/>
    <w:rsid w:val="29BB2216"/>
    <w:rsid w:val="2A677F6B"/>
    <w:rsid w:val="2AF459E0"/>
    <w:rsid w:val="2B717030"/>
    <w:rsid w:val="2BBA5A9A"/>
    <w:rsid w:val="2C386CC9"/>
    <w:rsid w:val="2C581F9E"/>
    <w:rsid w:val="2C5B2595"/>
    <w:rsid w:val="2CE00993"/>
    <w:rsid w:val="2D830B39"/>
    <w:rsid w:val="2E257B1B"/>
    <w:rsid w:val="2E677AE4"/>
    <w:rsid w:val="2F10090E"/>
    <w:rsid w:val="2F4635EA"/>
    <w:rsid w:val="2FD87AD3"/>
    <w:rsid w:val="30CA5BDB"/>
    <w:rsid w:val="30DB6CFA"/>
    <w:rsid w:val="30E86825"/>
    <w:rsid w:val="311961A0"/>
    <w:rsid w:val="326655EE"/>
    <w:rsid w:val="327B69E7"/>
    <w:rsid w:val="33C34EFC"/>
    <w:rsid w:val="34366F6E"/>
    <w:rsid w:val="344F3C87"/>
    <w:rsid w:val="351F18AB"/>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C4E2A76"/>
    <w:rsid w:val="3D8739B6"/>
    <w:rsid w:val="3F0E0FB1"/>
    <w:rsid w:val="3F575F4A"/>
    <w:rsid w:val="404053CE"/>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0F755D"/>
    <w:rsid w:val="48120A86"/>
    <w:rsid w:val="486A6E89"/>
    <w:rsid w:val="48895562"/>
    <w:rsid w:val="48A028AB"/>
    <w:rsid w:val="49187E48"/>
    <w:rsid w:val="49D514FA"/>
    <w:rsid w:val="49F66C27"/>
    <w:rsid w:val="4A742353"/>
    <w:rsid w:val="4A9F67FA"/>
    <w:rsid w:val="4AB8769B"/>
    <w:rsid w:val="4ADD58CC"/>
    <w:rsid w:val="4AFA44F5"/>
    <w:rsid w:val="4B9F046A"/>
    <w:rsid w:val="4BDA60D4"/>
    <w:rsid w:val="4BE6053A"/>
    <w:rsid w:val="4C362B3D"/>
    <w:rsid w:val="4CA47D11"/>
    <w:rsid w:val="4CE600FB"/>
    <w:rsid w:val="4CED47CD"/>
    <w:rsid w:val="4CF219AF"/>
    <w:rsid w:val="4D065771"/>
    <w:rsid w:val="4D190D53"/>
    <w:rsid w:val="4D4C78BC"/>
    <w:rsid w:val="4DD3727F"/>
    <w:rsid w:val="4DE052E3"/>
    <w:rsid w:val="4DE337D5"/>
    <w:rsid w:val="4E700F79"/>
    <w:rsid w:val="4EB470B0"/>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053371"/>
    <w:rsid w:val="5F8D65FE"/>
    <w:rsid w:val="5FC36A67"/>
    <w:rsid w:val="5FF64B64"/>
    <w:rsid w:val="6055781B"/>
    <w:rsid w:val="615A7643"/>
    <w:rsid w:val="61846885"/>
    <w:rsid w:val="61F4714D"/>
    <w:rsid w:val="6200468F"/>
    <w:rsid w:val="6298186E"/>
    <w:rsid w:val="62D559AF"/>
    <w:rsid w:val="63136946"/>
    <w:rsid w:val="634E0BFD"/>
    <w:rsid w:val="639C78BD"/>
    <w:rsid w:val="645D37AF"/>
    <w:rsid w:val="64BE00A4"/>
    <w:rsid w:val="64CE3BD1"/>
    <w:rsid w:val="65144950"/>
    <w:rsid w:val="65422D4F"/>
    <w:rsid w:val="656C6332"/>
    <w:rsid w:val="65B86EE6"/>
    <w:rsid w:val="65CE23AE"/>
    <w:rsid w:val="6635242D"/>
    <w:rsid w:val="66952ECC"/>
    <w:rsid w:val="66AA2D4C"/>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DB30687"/>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8E3908"/>
    <w:rsid w:val="75F705EE"/>
    <w:rsid w:val="76276979"/>
    <w:rsid w:val="767173B7"/>
    <w:rsid w:val="76A74C81"/>
    <w:rsid w:val="76AC5DF9"/>
    <w:rsid w:val="774A5188"/>
    <w:rsid w:val="77BB1D0C"/>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 w:val="7F91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0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02_GZBD标准模板.dotx</Template>
  <TotalTime>0</TotalTime>
  <Pages>5</Pages>
  <Words>809</Words>
  <Characters>4614</Characters>
  <Application>Microsoft Office Word</Application>
  <DocSecurity>0</DocSecurity>
  <Lines>38</Lines>
  <Paragraphs>10</Paragraphs>
  <ScaleCrop>false</ScaleCrop>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2018-07-04T02:56:00Z</cp:lastPrinted>
  <dcterms:created xsi:type="dcterms:W3CDTF">2020-10-14T08:16:00Z</dcterms:created>
  <dcterms:modified xsi:type="dcterms:W3CDTF">2026-04-20T01:02:00Z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608A21E422A548188DE29CDB6EA66B1A_13</vt:lpwstr>
  </property>
  <property fmtid="{D5CDD505-2E9C-101B-9397-08002B2CF9AE}" pid="4" name="KSOTemplateDocerSaveRecord">
    <vt:lpwstr>eyJoZGlkIjoiMWZhNTcyM2U2YzRlYWE4MjlhMDViYTZkNGQyYTdjMzIiLCJ1c2VySWQiOiIyMzA3NDIwMDYifQ==</vt:lpwstr>
  </property>
</Properties>
</file>