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90F060">
      <w:pPr>
        <w:pStyle w:val="139"/>
        <w:keepNext w:val="0"/>
        <w:keepLines w:val="0"/>
        <w:pageBreakBefore w:val="0"/>
        <w:widowControl/>
        <w:numPr>
          <w:ilvl w:val="0"/>
          <w:numId w:val="0"/>
        </w:numPr>
        <w:kinsoku/>
        <w:wordWrap/>
        <w:overflowPunct/>
        <w:topLinePunct w:val="0"/>
        <w:autoSpaceDE/>
        <w:autoSpaceDN/>
        <w:bidi w:val="0"/>
        <w:adjustRightInd/>
        <w:snapToGrid/>
        <w:spacing w:beforeLines="0" w:afterLines="0"/>
        <w:jc w:val="center"/>
        <w:textAlignment w:val="auto"/>
        <w:rPr>
          <w:rFonts w:hint="eastAsia" w:ascii="方正小标宋简体" w:hAnsi="方正小标宋简体" w:eastAsia="方正小标宋简体" w:cs="方正小标宋简体"/>
          <w:b w:val="0"/>
          <w:bCs w:val="0"/>
          <w:sz w:val="36"/>
          <w:szCs w:val="36"/>
        </w:rPr>
      </w:pPr>
      <w:bookmarkStart w:id="0" w:name="_Toc309995472"/>
      <w:bookmarkStart w:id="1" w:name="_Toc6138"/>
      <w:bookmarkStart w:id="2" w:name="_Toc298936924"/>
      <w:bookmarkStart w:id="3" w:name="_Toc298923383"/>
      <w:bookmarkStart w:id="4" w:name="_Toc309995578"/>
      <w:bookmarkStart w:id="5" w:name="_Toc309994551"/>
      <w:bookmarkStart w:id="6" w:name="_Toc298937188"/>
      <w:bookmarkStart w:id="7" w:name="_Toc298938783"/>
      <w:bookmarkStart w:id="8" w:name="_Toc309995999"/>
      <w:bookmarkStart w:id="9" w:name="_Toc37234703"/>
      <w:bookmarkStart w:id="10" w:name="_Toc298937100"/>
      <w:bookmarkStart w:id="11" w:name="_Toc309995390"/>
      <w:bookmarkStart w:id="12" w:name="_Toc304825008"/>
      <w:bookmarkStart w:id="13" w:name="_Toc499110426"/>
      <w:bookmarkStart w:id="14" w:name="_Toc298937201"/>
      <w:bookmarkStart w:id="15" w:name="_Toc298937609"/>
      <w:bookmarkStart w:id="16" w:name="_Toc304828066"/>
      <w:bookmarkStart w:id="17" w:name="_Toc298937276"/>
      <w:bookmarkStart w:id="18" w:name="_Toc304402664"/>
      <w:bookmarkStart w:id="19" w:name="_Toc298938635"/>
      <w:bookmarkStart w:id="20" w:name="_Toc309993180"/>
      <w:bookmarkStart w:id="21" w:name="_Toc298937152"/>
      <w:bookmarkStart w:id="22" w:name="_Toc298937462"/>
      <w:bookmarkStart w:id="23" w:name="_Toc298937322"/>
      <w:bookmarkStart w:id="24" w:name="_Toc310002637"/>
      <w:bookmarkStart w:id="25" w:name="_Toc298937357"/>
      <w:bookmarkStart w:id="26" w:name="_Toc309997040"/>
      <w:bookmarkStart w:id="27" w:name="_Toc304824969"/>
      <w:bookmarkStart w:id="28" w:name="_Toc298937167"/>
      <w:bookmarkStart w:id="29" w:name="_Toc304825081"/>
      <w:bookmarkStart w:id="30" w:name="_Toc298937419"/>
      <w:bookmarkStart w:id="31" w:name="_Toc298936801"/>
      <w:r>
        <w:rPr>
          <w:rFonts w:hint="eastAsia" w:ascii="方正小标宋简体" w:hAnsi="方正小标宋简体" w:eastAsia="方正小标宋简体" w:cs="方正小标宋简体"/>
          <w:b w:val="0"/>
          <w:bCs w:val="0"/>
          <w:sz w:val="36"/>
          <w:szCs w:val="36"/>
        </w:rPr>
        <w:t>《</w:t>
      </w:r>
      <w:sdt>
        <w:sdtPr>
          <w:rPr>
            <w:rFonts w:hint="eastAsia" w:ascii="方正小标宋简体" w:hAnsi="方正小标宋简体" w:eastAsia="方正小标宋简体" w:cs="方正小标宋简体"/>
            <w:b w:val="0"/>
            <w:bCs w:val="0"/>
            <w:sz w:val="36"/>
            <w:szCs w:val="36"/>
          </w:rPr>
          <w:tag w:val="NEW_STAND_NAME"/>
          <w:id w:val="595910757"/>
          <w:placeholder>
            <w:docPart w:val="{bdec89b2-61f7-4ca6-98e2-c36374a47443}"/>
          </w:placeholder>
        </w:sdtPr>
        <w:sdtEndPr>
          <w:rPr>
            <w:rFonts w:hint="eastAsia" w:ascii="方正小标宋简体" w:hAnsi="方正小标宋简体" w:eastAsia="方正小标宋简体" w:cs="方正小标宋简体"/>
            <w:b w:val="0"/>
            <w:bCs w:val="0"/>
            <w:sz w:val="36"/>
            <w:szCs w:val="36"/>
          </w:rPr>
        </w:sdtEndPr>
        <w:sdtContent>
          <w:sdt>
            <w:sdtPr>
              <w:rPr>
                <w:rFonts w:hint="eastAsia" w:ascii="方正小标宋简体" w:hAnsi="方正小标宋简体" w:eastAsia="方正小标宋简体" w:cs="方正小标宋简体"/>
                <w:sz w:val="36"/>
                <w:szCs w:val="36"/>
              </w:rPr>
              <w:tag w:val="NEW_STAND_NAME"/>
              <w:id w:val="147456813"/>
              <w:placeholder>
                <w:docPart w:val="{f1aee2fc-ea09-446a-b702-29121f50a82f}"/>
              </w:placeholder>
            </w:sdtPr>
            <w:sdtEndPr>
              <w:rPr>
                <w:rFonts w:hint="eastAsia" w:ascii="方正小标宋简体" w:hAnsi="方正小标宋简体" w:eastAsia="方正小标宋简体" w:cs="方正小标宋简体"/>
                <w:sz w:val="36"/>
                <w:szCs w:val="36"/>
                <w:lang w:val="en-US" w:eastAsia="zh-CN"/>
              </w:rPr>
            </w:sdtEndPr>
            <w:sdtContent>
              <w:r>
                <w:rPr>
                  <w:rFonts w:hint="eastAsia" w:ascii="方正小标宋简体" w:hAnsi="方正小标宋简体" w:eastAsia="方正小标宋简体" w:cs="方正小标宋简体"/>
                  <w:sz w:val="36"/>
                  <w:szCs w:val="36"/>
                  <w:lang w:val="en-US" w:eastAsia="zh-CN"/>
                </w:rPr>
                <w:t>高纯液化特气用大容积钢质无缝气瓶技术规范</w:t>
              </w:r>
            </w:sdtContent>
          </w:sdt>
        </w:sdtContent>
      </w:sdt>
      <w:r>
        <w:rPr>
          <w:rFonts w:hint="eastAsia" w:ascii="方正小标宋简体" w:hAnsi="方正小标宋简体" w:eastAsia="方正小标宋简体" w:cs="方正小标宋简体"/>
          <w:b w:val="0"/>
          <w:bCs w:val="0"/>
          <w:sz w:val="36"/>
          <w:szCs w:val="36"/>
        </w:rPr>
        <w:t>》</w:t>
      </w:r>
    </w:p>
    <w:p w14:paraId="36CE64D8">
      <w:pPr>
        <w:pStyle w:val="139"/>
        <w:keepNext w:val="0"/>
        <w:keepLines w:val="0"/>
        <w:pageBreakBefore w:val="0"/>
        <w:widowControl/>
        <w:numPr>
          <w:ilvl w:val="0"/>
          <w:numId w:val="0"/>
        </w:numPr>
        <w:kinsoku/>
        <w:wordWrap/>
        <w:overflowPunct/>
        <w:topLinePunct w:val="0"/>
        <w:autoSpaceDE/>
        <w:autoSpaceDN/>
        <w:bidi w:val="0"/>
        <w:adjustRightInd/>
        <w:snapToGrid/>
        <w:spacing w:beforeLines="0" w:afterLines="0"/>
        <w:jc w:val="center"/>
        <w:textAlignment w:val="auto"/>
        <w:rPr>
          <w:rFonts w:hint="eastAsia" w:ascii="方正小标宋简体" w:hAnsi="方正小标宋简体" w:eastAsia="方正小标宋简体" w:cs="方正小标宋简体"/>
          <w:b w:val="0"/>
          <w:bCs w:val="0"/>
          <w:sz w:val="36"/>
          <w:szCs w:val="36"/>
          <w:highlight w:val="none"/>
        </w:rPr>
      </w:pPr>
      <w:r>
        <w:rPr>
          <w:rFonts w:hint="eastAsia" w:ascii="方正小标宋简体" w:hAnsi="方正小标宋简体" w:eastAsia="方正小标宋简体" w:cs="方正小标宋简体"/>
          <w:b w:val="0"/>
          <w:bCs w:val="0"/>
          <w:sz w:val="36"/>
          <w:szCs w:val="36"/>
          <w:highlight w:val="none"/>
          <w:lang w:eastAsia="zh-CN"/>
        </w:rPr>
        <w:t>征求意见稿</w:t>
      </w:r>
      <w:r>
        <w:rPr>
          <w:rFonts w:hint="eastAsia" w:ascii="方正小标宋简体" w:hAnsi="方正小标宋简体" w:eastAsia="方正小标宋简体" w:cs="方正小标宋简体"/>
          <w:b w:val="0"/>
          <w:bCs w:val="0"/>
          <w:sz w:val="36"/>
          <w:szCs w:val="36"/>
          <w:highlight w:val="none"/>
          <w:lang w:val="en-US" w:eastAsia="zh-CN"/>
        </w:rPr>
        <w:t xml:space="preserve"> </w:t>
      </w:r>
      <w:r>
        <w:rPr>
          <w:rFonts w:hint="eastAsia" w:ascii="方正小标宋简体" w:hAnsi="方正小标宋简体" w:eastAsia="方正小标宋简体" w:cs="方正小标宋简体"/>
          <w:b w:val="0"/>
          <w:bCs w:val="0"/>
          <w:sz w:val="36"/>
          <w:szCs w:val="36"/>
          <w:highlight w:val="none"/>
        </w:rPr>
        <w:t>团体标准编制说明</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7C42FC17">
      <w:pPr>
        <w:pStyle w:val="139"/>
        <w:numPr>
          <w:ilvl w:val="0"/>
          <w:numId w:val="0"/>
        </w:numPr>
        <w:spacing w:before="312" w:after="312"/>
        <w:rPr>
          <w:rFonts w:ascii="仿宋" w:hAnsi="仿宋" w:eastAsia="仿宋" w:cs="仿宋"/>
          <w:b/>
          <w:bCs/>
          <w:color w:val="000000"/>
          <w:sz w:val="32"/>
          <w:szCs w:val="32"/>
        </w:rPr>
      </w:pPr>
      <w:bookmarkStart w:id="32" w:name="_Toc298937549"/>
      <w:bookmarkEnd w:id="32"/>
      <w:bookmarkStart w:id="33" w:name="BT1"/>
      <w:bookmarkEnd w:id="33"/>
      <w:r>
        <w:rPr>
          <w:rFonts w:hint="eastAsia" w:ascii="仿宋" w:hAnsi="仿宋" w:eastAsia="仿宋" w:cs="仿宋"/>
          <w:b/>
          <w:bCs/>
          <w:color w:val="000000"/>
          <w:sz w:val="32"/>
          <w:szCs w:val="32"/>
        </w:rPr>
        <w:t>一、任务来源</w:t>
      </w:r>
    </w:p>
    <w:p w14:paraId="4F88D1F1">
      <w:pPr>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随着半导体、光伏及新能源等战略性新兴产业快速发展，高纯液化特种气体的储运需求持续攀升。此类介质对储运容器的内壁洁净度、耐腐蚀性及密封性能有着极为严苛的要求，普通工业气瓶已难以满足其高纯度保障需求。目前现有标准多侧重于通用压力容器的安全底线，缺乏对高纯环境下内壁处理工艺、杂质控制及材料相容性的针对性规定，导致行业内产品质量参差不齐，供需双方在技术对接与验收环节存在较大壁垒，亟需建立统一的专项技术规范。</w:t>
      </w:r>
    </w:p>
    <w:p w14:paraId="07330B12">
      <w:pPr>
        <w:pStyle w:val="36"/>
        <w:keepNext w:val="0"/>
        <w:keepLines w:val="0"/>
        <w:pageBreakBefore w:val="0"/>
        <w:widowControl w:val="0"/>
        <w:numPr>
          <w:ilvl w:val="0"/>
          <w:numId w:val="0"/>
        </w:numPr>
        <w:kinsoku/>
        <w:wordWrap/>
        <w:overflowPunct/>
        <w:topLinePunct w:val="0"/>
        <w:autoSpaceDE/>
        <w:autoSpaceDN/>
        <w:bidi w:val="0"/>
        <w:adjustRightInd/>
        <w:snapToGrid/>
        <w:spacing w:after="0"/>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rPr>
        <w:t>制定《高纯液化特气用大容积钢质无缝气瓶技术规范》，旨在明确该类产品的专项技术指标与检测方法，填补高纯特气储运装备领域的标准空白。标准的实施将有效引导上游原材料冶炼、气瓶制造及内壁处理工艺的协同升级，从源头保障特气储运环节的纯度稳定性与服役安全性，大幅降低下游用户的选型验证成本，推动国产高纯特气供应链的规范化与集约化发展，为相关战略产业的自主可控提供坚实的配套支撑</w:t>
      </w:r>
      <w:r>
        <w:rPr>
          <w:rFonts w:hint="eastAsia" w:ascii="仿宋" w:hAnsi="仿宋" w:eastAsia="仿宋" w:cs="仿宋"/>
          <w:kern w:val="2"/>
          <w:sz w:val="32"/>
          <w:szCs w:val="32"/>
          <w:lang w:val="en-US" w:eastAsia="zh-CN" w:bidi="ar-SA"/>
        </w:rPr>
        <w:t>。</w:t>
      </w:r>
    </w:p>
    <w:p w14:paraId="2021A9BA">
      <w:pPr>
        <w:pStyle w:val="36"/>
        <w:keepNext w:val="0"/>
        <w:keepLines w:val="0"/>
        <w:pageBreakBefore w:val="0"/>
        <w:widowControl w:val="0"/>
        <w:numPr>
          <w:ilvl w:val="0"/>
          <w:numId w:val="0"/>
        </w:numPr>
        <w:kinsoku/>
        <w:wordWrap/>
        <w:overflowPunct/>
        <w:topLinePunct w:val="0"/>
        <w:autoSpaceDE/>
        <w:autoSpaceDN/>
        <w:bidi w:val="0"/>
        <w:adjustRightInd/>
        <w:snapToGrid/>
        <w:spacing w:after="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kern w:val="2"/>
          <w:sz w:val="32"/>
          <w:szCs w:val="32"/>
          <w:lang w:val="en-US" w:eastAsia="zh-CN" w:bidi="ar-SA"/>
        </w:rPr>
        <w:t>综上所述，《高纯液化特气用大容积钢质无缝气瓶技术规范》团体标准的编制是行业内的一项重要工作，对于规范市场秩序、提高产品质量、促进技术创新和推动行业发展具有重要意义</w:t>
      </w:r>
      <w:r>
        <w:rPr>
          <w:rFonts w:hint="eastAsia" w:ascii="仿宋" w:hAnsi="仿宋" w:eastAsia="仿宋" w:cs="仿宋"/>
          <w:kern w:val="2"/>
          <w:sz w:val="32"/>
          <w:szCs w:val="32"/>
          <w:highlight w:val="none"/>
          <w:lang w:val="en-US" w:eastAsia="zh-CN" w:bidi="ar-SA"/>
        </w:rPr>
        <w:t>。</w:t>
      </w:r>
      <w:r>
        <w:rPr>
          <w:rFonts w:hint="eastAsia" w:ascii="仿宋" w:hAnsi="仿宋" w:eastAsia="仿宋" w:cs="仿宋"/>
          <w:sz w:val="32"/>
          <w:szCs w:val="32"/>
          <w:highlight w:val="none"/>
          <w:lang w:val="en-US" w:eastAsia="zh-CN"/>
        </w:rPr>
        <w:t>根据《团体标准管理规定》、《</w:t>
      </w:r>
      <w:r>
        <w:rPr>
          <w:rFonts w:hint="eastAsia" w:ascii="仿宋" w:hAnsi="仿宋" w:eastAsia="仿宋" w:cs="仿宋"/>
          <w:color w:val="auto"/>
          <w:sz w:val="32"/>
          <w:szCs w:val="32"/>
          <w:highlight w:val="none"/>
          <w:lang w:eastAsia="zh-CN"/>
        </w:rPr>
        <w:t>中国西部开发促进会</w:t>
      </w:r>
      <w:r>
        <w:rPr>
          <w:rFonts w:hint="eastAsia" w:ascii="仿宋" w:hAnsi="仿宋" w:eastAsia="仿宋" w:cs="仿宋"/>
          <w:sz w:val="32"/>
          <w:szCs w:val="32"/>
          <w:highlight w:val="none"/>
          <w:lang w:val="en-US" w:eastAsia="zh-CN"/>
        </w:rPr>
        <w:t>团体标准管理办法》有关规定，特立项本标准。本标</w:t>
      </w:r>
      <w:r>
        <w:rPr>
          <w:rFonts w:hint="eastAsia" w:ascii="仿宋" w:hAnsi="仿宋" w:eastAsia="仿宋" w:cs="仿宋"/>
          <w:sz w:val="32"/>
          <w:szCs w:val="32"/>
          <w:lang w:val="en-US" w:eastAsia="zh-CN"/>
        </w:rPr>
        <w:t>准项目计划编号</w:t>
      </w:r>
      <w:r>
        <w:rPr>
          <w:rFonts w:hint="eastAsia" w:ascii="仿宋" w:hAnsi="仿宋" w:eastAsia="仿宋" w:cs="仿宋"/>
          <w:sz w:val="32"/>
          <w:szCs w:val="32"/>
          <w:highlight w:val="none"/>
          <w:lang w:val="en-US" w:eastAsia="zh-CN"/>
        </w:rPr>
        <w:t>为</w:t>
      </w:r>
      <w:r>
        <w:rPr>
          <w:rFonts w:hint="eastAsia" w:ascii="仿宋" w:hAnsi="仿宋" w:eastAsia="仿宋" w:cs="仿宋"/>
          <w:kern w:val="0"/>
          <w:sz w:val="32"/>
          <w:szCs w:val="32"/>
        </w:rPr>
        <w:t>2026-49</w:t>
      </w: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-CWDPA</w:t>
      </w:r>
      <w:r>
        <w:rPr>
          <w:rFonts w:hint="eastAsia" w:ascii="仿宋" w:hAnsi="仿宋" w:eastAsia="仿宋" w:cs="仿宋"/>
          <w:sz w:val="32"/>
          <w:szCs w:val="32"/>
          <w:highlight w:val="none"/>
          <w:lang w:val="en-US" w:eastAsia="zh-CN"/>
        </w:rPr>
        <w:t>。</w:t>
      </w:r>
    </w:p>
    <w:p w14:paraId="75F60046">
      <w:pPr>
        <w:pStyle w:val="139"/>
        <w:numPr>
          <w:ilvl w:val="0"/>
          <w:numId w:val="11"/>
        </w:numPr>
        <w:spacing w:before="312" w:after="312"/>
        <w:rPr>
          <w:rFonts w:ascii="仿宋" w:hAnsi="仿宋" w:eastAsia="仿宋" w:cs="仿宋"/>
          <w:b/>
          <w:bCs/>
          <w:color w:val="000000"/>
          <w:sz w:val="32"/>
          <w:szCs w:val="32"/>
        </w:rPr>
      </w:pPr>
      <w:bookmarkStart w:id="34" w:name="BT3"/>
      <w:bookmarkEnd w:id="34"/>
      <w:r>
        <w:rPr>
          <w:rFonts w:hint="eastAsia" w:ascii="仿宋" w:hAnsi="仿宋" w:eastAsia="仿宋" w:cs="仿宋"/>
          <w:b/>
          <w:bCs/>
          <w:color w:val="000000"/>
          <w:sz w:val="32"/>
          <w:szCs w:val="32"/>
        </w:rPr>
        <w:t>起草单位</w:t>
      </w:r>
    </w:p>
    <w:p w14:paraId="6EE4183C">
      <w:pPr>
        <w:pStyle w:val="26"/>
        <w:spacing w:line="360" w:lineRule="auto"/>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rPr>
        <w:t>本标准</w:t>
      </w:r>
      <w:r>
        <w:rPr>
          <w:rFonts w:hint="eastAsia" w:ascii="仿宋" w:hAnsi="仿宋" w:eastAsia="仿宋" w:cs="仿宋"/>
          <w:sz w:val="32"/>
          <w:szCs w:val="32"/>
          <w:highlight w:val="none"/>
        </w:rPr>
        <w:t>由</w:t>
      </w:r>
      <w:r>
        <w:rPr>
          <w:rFonts w:hint="eastAsia" w:ascii="仿宋" w:hAnsi="仿宋" w:eastAsia="仿宋" w:cs="仿宋"/>
          <w:color w:val="auto"/>
          <w:sz w:val="32"/>
          <w:szCs w:val="32"/>
          <w:highlight w:val="none"/>
          <w:lang w:eastAsia="zh-CN"/>
        </w:rPr>
        <w:t>鲁西新能源装备集团有限公司提出，</w:t>
      </w:r>
      <w:r>
        <w:rPr>
          <w:rFonts w:hint="eastAsia" w:ascii="仿宋" w:hAnsi="仿宋" w:eastAsia="仿宋" w:cs="仿宋"/>
          <w:color w:val="auto"/>
          <w:sz w:val="32"/>
          <w:szCs w:val="32"/>
          <w:highlight w:val="none"/>
          <w:lang w:val="en-US" w:eastAsia="zh-CN"/>
        </w:rPr>
        <w:t>由</w:t>
      </w:r>
      <w:r>
        <w:rPr>
          <w:rFonts w:hint="eastAsia" w:ascii="仿宋" w:hAnsi="仿宋" w:eastAsia="仿宋" w:cs="仿宋"/>
          <w:color w:val="auto"/>
          <w:sz w:val="32"/>
          <w:szCs w:val="32"/>
          <w:highlight w:val="none"/>
          <w:lang w:eastAsia="zh-CN"/>
        </w:rPr>
        <w:t>中国西部开发促进会归口。</w:t>
      </w:r>
      <w:r>
        <w:rPr>
          <w:rFonts w:hint="eastAsia" w:ascii="仿宋" w:hAnsi="仿宋" w:eastAsia="仿宋" w:cs="仿宋"/>
          <w:color w:val="auto"/>
          <w:sz w:val="32"/>
          <w:szCs w:val="32"/>
          <w:highlight w:val="none"/>
        </w:rPr>
        <w:t>本标准由鲁西新能源装备集团有限公司</w:t>
      </w:r>
      <w:r>
        <w:rPr>
          <w:rFonts w:hint="eastAsia" w:ascii="仿宋" w:hAnsi="仿宋" w:eastAsia="仿宋" w:cs="仿宋"/>
          <w:color w:val="auto"/>
          <w:sz w:val="32"/>
          <w:szCs w:val="32"/>
          <w:highlight w:val="none"/>
          <w:lang w:eastAsia="zh-CN"/>
        </w:rPr>
        <w:t>、</w:t>
      </w:r>
      <w:bookmarkStart w:id="114" w:name="_GoBack"/>
      <w:bookmarkEnd w:id="114"/>
      <w:r>
        <w:rPr>
          <w:rFonts w:hint="eastAsia" w:ascii="仿宋" w:hAnsi="仿宋" w:eastAsia="仿宋" w:cs="仿宋"/>
          <w:color w:val="auto"/>
          <w:sz w:val="32"/>
          <w:szCs w:val="32"/>
          <w:highlight w:val="none"/>
        </w:rPr>
        <w:t>安徽大盘特种装备车辆有限公司</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郑州三道特气钢瓶技术有限公司</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南亮压力容器技术（上海）有限公司</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新兴能源装备股份有限公司</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燕山大学</w:t>
      </w:r>
      <w:r>
        <w:rPr>
          <w:rFonts w:hint="eastAsia" w:ascii="仿宋" w:hAnsi="仿宋" w:eastAsia="仿宋" w:cs="仿宋"/>
          <w:color w:val="auto"/>
          <w:sz w:val="32"/>
          <w:szCs w:val="32"/>
          <w:highlight w:val="none"/>
          <w:lang w:val="en-US" w:eastAsia="zh-CN"/>
        </w:rPr>
        <w:t>共同</w:t>
      </w:r>
      <w:r>
        <w:rPr>
          <w:rFonts w:hint="eastAsia" w:ascii="仿宋" w:hAnsi="仿宋" w:eastAsia="仿宋" w:cs="仿宋"/>
          <w:sz w:val="32"/>
          <w:szCs w:val="32"/>
          <w:highlight w:val="none"/>
          <w:lang w:val="en-US" w:eastAsia="zh-CN"/>
        </w:rPr>
        <w:t>起草。</w:t>
      </w:r>
    </w:p>
    <w:p w14:paraId="7F2A67D6">
      <w:pPr>
        <w:pStyle w:val="56"/>
        <w:numPr>
          <w:ilvl w:val="1"/>
          <w:numId w:val="0"/>
        </w:numPr>
        <w:spacing w:before="156" w:after="156"/>
        <w:rPr>
          <w:rFonts w:ascii="仿宋" w:hAnsi="仿宋" w:eastAsia="仿宋" w:cs="仿宋"/>
          <w:b/>
          <w:bCs/>
          <w:color w:val="000000"/>
          <w:sz w:val="32"/>
          <w:szCs w:val="32"/>
        </w:rPr>
      </w:pPr>
      <w:r>
        <w:rPr>
          <w:rFonts w:hint="eastAsia" w:ascii="仿宋" w:hAnsi="仿宋" w:eastAsia="仿宋" w:cs="仿宋"/>
          <w:b/>
          <w:bCs/>
          <w:color w:val="000000"/>
          <w:sz w:val="32"/>
          <w:szCs w:val="32"/>
        </w:rPr>
        <w:t>三、标准的编制原则</w:t>
      </w:r>
    </w:p>
    <w:p w14:paraId="0FC59A89">
      <w:pPr>
        <w:pStyle w:val="26"/>
        <w:spacing w:line="360" w:lineRule="auto"/>
        <w:ind w:firstLine="640"/>
        <w:rPr>
          <w:rFonts w:ascii="仿宋" w:hAnsi="仿宋" w:eastAsia="仿宋" w:cs="仿宋"/>
          <w:sz w:val="32"/>
          <w:szCs w:val="32"/>
        </w:rPr>
      </w:pPr>
      <w:r>
        <w:rPr>
          <w:rFonts w:hint="eastAsia" w:ascii="仿宋" w:hAnsi="仿宋" w:eastAsia="仿宋" w:cs="仿宋"/>
          <w:sz w:val="32"/>
          <w:szCs w:val="32"/>
        </w:rPr>
        <w:t>标准起草小组在编制标准过程中，以国家、行业现有的标准为制订基础，结合我国目前行业现状，按照GB/T 1.1-2020《标准化工作导则 第1部分：标准化文件的结构和起草规则》的规定及相关要求编制。</w:t>
      </w:r>
    </w:p>
    <w:p w14:paraId="12A108E8">
      <w:pPr>
        <w:pStyle w:val="56"/>
        <w:numPr>
          <w:ilvl w:val="1"/>
          <w:numId w:val="0"/>
        </w:numPr>
        <w:spacing w:before="156" w:after="156"/>
        <w:rPr>
          <w:rFonts w:ascii="仿宋" w:hAnsi="仿宋" w:eastAsia="仿宋" w:cs="仿宋"/>
          <w:b/>
          <w:bCs/>
          <w:color w:val="000000"/>
          <w:sz w:val="32"/>
          <w:szCs w:val="32"/>
        </w:rPr>
      </w:pPr>
      <w:r>
        <w:rPr>
          <w:rFonts w:hint="eastAsia" w:ascii="仿宋" w:hAnsi="仿宋" w:eastAsia="仿宋" w:cs="仿宋"/>
          <w:b/>
          <w:bCs/>
          <w:color w:val="000000"/>
          <w:sz w:val="32"/>
          <w:szCs w:val="32"/>
        </w:rPr>
        <w:t>四、标准编制过程</w:t>
      </w:r>
    </w:p>
    <w:p w14:paraId="1650E19B">
      <w:pPr>
        <w:pStyle w:val="26"/>
        <w:spacing w:line="360" w:lineRule="auto"/>
        <w:ind w:firstLine="64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1、项目调研阶段</w:t>
      </w:r>
    </w:p>
    <w:p w14:paraId="791567E4">
      <w:pPr>
        <w:pStyle w:val="26"/>
        <w:spacing w:line="360" w:lineRule="auto"/>
        <w:ind w:firstLine="640"/>
        <w:rPr>
          <w:rFonts w:hint="eastAsia" w:ascii="仿宋" w:hAnsi="仿宋" w:eastAsia="仿宋" w:cs="仿宋"/>
          <w:sz w:val="32"/>
          <w:szCs w:val="32"/>
          <w:lang w:eastAsia="zh-CN"/>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月，标准起草工作组高纯液化特气储运产业链开展了系统性技术调研，广泛收集国内外相关技术资料，重点梳理了现有通用气瓶标准在高纯应用场景下的适用性不足问题，围绕内壁洁净度控制、材料相容性及检测验收等关键环节，结合行业技术发展现状与趋势，完成了前期技术论证与资料汇编工作，为标准编制奠定了扎实的技术基础。</w:t>
      </w:r>
    </w:p>
    <w:p w14:paraId="7A3CFD09">
      <w:pPr>
        <w:pStyle w:val="26"/>
        <w:spacing w:line="360" w:lineRule="auto"/>
        <w:ind w:firstLine="64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2、项目立项阶段</w:t>
      </w:r>
    </w:p>
    <w:p w14:paraId="701AD5D9">
      <w:pPr>
        <w:pStyle w:val="26"/>
        <w:spacing w:line="360" w:lineRule="auto"/>
        <w:ind w:firstLine="640"/>
        <w:rPr>
          <w:rFonts w:hint="eastAsia" w:ascii="仿宋" w:hAnsi="仿宋" w:eastAsia="仿宋" w:cs="仿宋"/>
          <w:sz w:val="32"/>
          <w:szCs w:val="32"/>
          <w:lang w:eastAsia="zh-CN"/>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15</w:t>
      </w:r>
      <w:r>
        <w:rPr>
          <w:rFonts w:hint="eastAsia" w:ascii="仿宋" w:hAnsi="仿宋" w:eastAsia="仿宋" w:cs="仿宋"/>
          <w:sz w:val="32"/>
          <w:szCs w:val="32"/>
          <w:lang w:eastAsia="zh-CN"/>
        </w:rPr>
        <w:t>日，中国西部开发促进会正式立项《高纯液化特气用大容积钢质无缝气瓶技术规范》团体标准，明确标准立项获批，正式启动该团体标准的规范化编制流程。</w:t>
      </w:r>
    </w:p>
    <w:p w14:paraId="27D74635">
      <w:pPr>
        <w:pStyle w:val="26"/>
        <w:spacing w:line="360" w:lineRule="auto"/>
        <w:ind w:firstLine="64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3、标准起草阶段</w:t>
      </w:r>
    </w:p>
    <w:p w14:paraId="23412FFD">
      <w:pPr>
        <w:pStyle w:val="26"/>
        <w:spacing w:line="360" w:lineRule="auto"/>
        <w:ind w:firstLine="640"/>
        <w:rPr>
          <w:rFonts w:hint="eastAsia" w:ascii="仿宋" w:hAnsi="仿宋" w:eastAsia="仿宋" w:cs="仿宋"/>
          <w:sz w:val="32"/>
          <w:szCs w:val="32"/>
          <w:lang w:eastAsia="zh-CN"/>
        </w:rPr>
      </w:pPr>
      <w:r>
        <w:rPr>
          <w:rFonts w:hint="eastAsia" w:ascii="仿宋" w:hAnsi="仿宋" w:eastAsia="仿宋" w:cs="仿宋"/>
          <w:sz w:val="32"/>
          <w:szCs w:val="32"/>
          <w:lang w:eastAsia="zh-CN"/>
        </w:rPr>
        <w:t>立项后，成立标准编制工作起草小组，全面统筹标准编制组织工作，同步开展标准起草单位的筹备与征集，经严格征集、评审与筛选，确定标准起草工作组核心成员单位。工作组基于前期调研成果，于202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月完成《高纯液化特气用大容积钢质无缝气瓶技术规范》团体标准草案稿编写；并于</w:t>
      </w:r>
      <w:r>
        <w:rPr>
          <w:rFonts w:hint="eastAsia" w:ascii="仿宋" w:hAnsi="仿宋" w:eastAsia="仿宋" w:cs="仿宋"/>
          <w:sz w:val="32"/>
          <w:szCs w:val="32"/>
          <w:lang w:val="en-US" w:eastAsia="zh-CN"/>
        </w:rPr>
        <w:t>7月27日</w:t>
      </w:r>
      <w:r>
        <w:rPr>
          <w:rFonts w:hint="eastAsia" w:ascii="仿宋" w:hAnsi="仿宋" w:eastAsia="仿宋" w:cs="仿宋"/>
          <w:sz w:val="32"/>
          <w:szCs w:val="32"/>
          <w:lang w:eastAsia="zh-CN"/>
        </w:rPr>
        <w:t>召开标准专题会议，针对草案稿内容研讨优化，完善标准框架与核心条款。</w:t>
      </w:r>
    </w:p>
    <w:p w14:paraId="3A1619F7">
      <w:pPr>
        <w:pStyle w:val="26"/>
        <w:spacing w:line="360" w:lineRule="auto"/>
        <w:ind w:firstLine="64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4、意见征集阶段</w:t>
      </w:r>
    </w:p>
    <w:p w14:paraId="44F248F2">
      <w:pPr>
        <w:pStyle w:val="26"/>
        <w:spacing w:line="360" w:lineRule="auto"/>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2026年7月30日，中国西部开发促进会发布通知，面向行业公开征集《高纯液化特气用大容积钢质无缝气瓶技术规范》团体标准修改意见，广泛吸纳各方专业建议，对标准内容进行全面优化完善。</w:t>
      </w:r>
    </w:p>
    <w:p w14:paraId="6B9AD321">
      <w:pPr>
        <w:pStyle w:val="26"/>
        <w:keepNext w:val="0"/>
        <w:keepLines w:val="0"/>
        <w:pageBreakBefore w:val="0"/>
        <w:widowControl w:val="0"/>
        <w:kinsoku/>
        <w:wordWrap/>
        <w:overflowPunct/>
        <w:topLinePunct w:val="0"/>
        <w:autoSpaceDE w:val="0"/>
        <w:autoSpaceDN w:val="0"/>
        <w:bidi w:val="0"/>
        <w:adjustRightInd/>
        <w:snapToGrid/>
        <w:spacing w:line="360" w:lineRule="auto"/>
        <w:ind w:firstLine="64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后续，标准起草工作组将结合意见征集阶段收集的反馈建议，对标准草案稿进行修订完善，并按流程进行送审及报批等工作。</w:t>
      </w:r>
    </w:p>
    <w:p w14:paraId="2E71ACF5">
      <w:pPr>
        <w:pStyle w:val="56"/>
        <w:numPr>
          <w:ilvl w:val="1"/>
          <w:numId w:val="0"/>
        </w:numPr>
        <w:spacing w:before="156" w:after="156"/>
        <w:rPr>
          <w:rFonts w:ascii="仿宋" w:hAnsi="仿宋" w:eastAsia="仿宋" w:cs="仿宋"/>
          <w:b/>
          <w:bCs/>
          <w:color w:val="000000"/>
          <w:sz w:val="32"/>
          <w:szCs w:val="32"/>
        </w:rPr>
      </w:pPr>
      <w:r>
        <w:rPr>
          <w:rFonts w:hint="eastAsia" w:ascii="仿宋" w:hAnsi="仿宋" w:eastAsia="仿宋" w:cs="仿宋"/>
          <w:b/>
          <w:bCs/>
          <w:color w:val="000000"/>
          <w:sz w:val="32"/>
          <w:szCs w:val="32"/>
        </w:rPr>
        <w:t>五、标准主要内容</w:t>
      </w:r>
    </w:p>
    <w:p w14:paraId="472B0CAB">
      <w:pPr>
        <w:pStyle w:val="26"/>
        <w:ind w:firstLine="0" w:firstLineChars="0"/>
        <w:rPr>
          <w:rFonts w:ascii="仿宋" w:hAnsi="仿宋" w:eastAsia="仿宋" w:cs="仿宋"/>
          <w:b/>
          <w:bCs/>
          <w:sz w:val="32"/>
          <w:szCs w:val="32"/>
        </w:rPr>
      </w:pPr>
      <w:r>
        <w:rPr>
          <w:rFonts w:hint="eastAsia" w:ascii="仿宋" w:hAnsi="仿宋" w:eastAsia="仿宋" w:cs="仿宋"/>
          <w:b/>
          <w:bCs/>
          <w:sz w:val="32"/>
          <w:szCs w:val="32"/>
        </w:rPr>
        <w:t>1、范围</w:t>
      </w:r>
    </w:p>
    <w:p w14:paraId="158A7FA6">
      <w:pPr>
        <w:pStyle w:val="33"/>
        <w:keepNext w:val="0"/>
        <w:keepLines w:val="0"/>
        <w:pageBreakBefore w:val="0"/>
        <w:widowControl/>
        <w:kinsoku/>
        <w:wordWrap/>
        <w:overflowPunct/>
        <w:topLinePunct w:val="0"/>
        <w:autoSpaceDE w:val="0"/>
        <w:autoSpaceDN w:val="0"/>
        <w:bidi w:val="0"/>
        <w:adjustRightInd/>
        <w:snapToGrid/>
        <w:spacing w:beforeAutospacing="0" w:line="240" w:lineRule="auto"/>
        <w:ind w:firstLine="640" w:firstLineChars="200"/>
        <w:textAlignment w:val="auto"/>
        <w:rPr>
          <w:rFonts w:hint="eastAsia" w:ascii="仿宋" w:hAnsi="仿宋" w:eastAsia="仿宋" w:cs="仿宋"/>
          <w:kern w:val="0"/>
          <w:sz w:val="32"/>
          <w:szCs w:val="32"/>
          <w:highlight w:val="none"/>
          <w:lang w:val="zh-CN" w:eastAsia="zh-CN" w:bidi="ar-SA"/>
        </w:rPr>
      </w:pPr>
      <w:bookmarkStart w:id="35" w:name="_Toc298937358"/>
      <w:bookmarkStart w:id="36" w:name="_Toc309996000"/>
      <w:bookmarkStart w:id="37" w:name="_Toc309995391"/>
      <w:bookmarkStart w:id="38" w:name="_Toc298937610"/>
      <w:bookmarkStart w:id="39" w:name="_Toc304825009"/>
      <w:bookmarkStart w:id="40" w:name="_Toc309997041"/>
      <w:bookmarkStart w:id="41" w:name="_Toc304825082"/>
      <w:bookmarkStart w:id="42" w:name="_Toc298937463"/>
      <w:bookmarkStart w:id="43" w:name="_Toc304828067"/>
      <w:bookmarkStart w:id="44" w:name="_Toc298937550"/>
      <w:bookmarkStart w:id="45" w:name="_Toc304824970"/>
      <w:bookmarkStart w:id="46" w:name="_Toc309995579"/>
      <w:bookmarkStart w:id="47" w:name="_Toc298938636"/>
      <w:bookmarkStart w:id="48" w:name="_Toc298937202"/>
      <w:bookmarkStart w:id="49" w:name="_Toc310002638"/>
      <w:bookmarkStart w:id="50" w:name="_Toc298923384"/>
      <w:bookmarkStart w:id="51" w:name="_Toc304402665"/>
      <w:bookmarkStart w:id="52" w:name="_Toc298936802"/>
      <w:bookmarkStart w:id="53" w:name="_Toc309993181"/>
      <w:bookmarkStart w:id="54" w:name="_Toc298937189"/>
      <w:bookmarkStart w:id="55" w:name="_Toc298936925"/>
      <w:bookmarkStart w:id="56" w:name="_Toc298937323"/>
      <w:bookmarkStart w:id="57" w:name="_Toc499110427"/>
      <w:bookmarkStart w:id="58" w:name="_Toc309994552"/>
      <w:bookmarkStart w:id="59" w:name="_Toc298937168"/>
      <w:bookmarkStart w:id="60" w:name="_Toc298937277"/>
      <w:bookmarkStart w:id="61" w:name="_Toc309995473"/>
      <w:bookmarkStart w:id="62" w:name="_Toc17330"/>
      <w:bookmarkStart w:id="63" w:name="_Toc298937101"/>
      <w:bookmarkStart w:id="64" w:name="_Toc15783"/>
      <w:bookmarkStart w:id="65" w:name="_Toc298938784"/>
      <w:bookmarkStart w:id="66" w:name="_Toc298937153"/>
      <w:bookmarkStart w:id="67" w:name="_Toc298937420"/>
      <w:r>
        <w:rPr>
          <w:rFonts w:hint="eastAsia" w:ascii="仿宋" w:hAnsi="仿宋" w:eastAsia="仿宋" w:cs="仿宋"/>
          <w:kern w:val="0"/>
          <w:sz w:val="32"/>
          <w:szCs w:val="32"/>
          <w:highlight w:val="none"/>
          <w:lang w:val="zh-CN" w:eastAsia="zh-CN" w:bidi="ar-SA"/>
        </w:rPr>
        <w:t>本文件规定了高纯液化特种气体（以下简称“高纯特气”）用大容积钢质无缝气瓶（以下简称“气瓶”）的型式、参数、型号、技术要求、试验方法、检验规则、标志、涂敷、包装、运输、储存和出厂文件及质量证明书。</w:t>
      </w:r>
    </w:p>
    <w:p w14:paraId="43DBF8A4">
      <w:pPr>
        <w:pStyle w:val="33"/>
        <w:keepNext w:val="0"/>
        <w:keepLines w:val="0"/>
        <w:pageBreakBefore w:val="0"/>
        <w:widowControl/>
        <w:kinsoku/>
        <w:wordWrap/>
        <w:overflowPunct/>
        <w:topLinePunct w:val="0"/>
        <w:autoSpaceDE w:val="0"/>
        <w:autoSpaceDN w:val="0"/>
        <w:bidi w:val="0"/>
        <w:adjustRightInd/>
        <w:snapToGrid/>
        <w:spacing w:beforeAutospacing="0" w:line="240" w:lineRule="auto"/>
        <w:ind w:firstLine="640" w:firstLineChars="200"/>
        <w:textAlignment w:val="auto"/>
        <w:rPr>
          <w:rFonts w:hint="eastAsia" w:ascii="仿宋" w:hAnsi="仿宋" w:eastAsia="仿宋" w:cs="仿宋"/>
          <w:kern w:val="0"/>
          <w:sz w:val="32"/>
          <w:szCs w:val="32"/>
          <w:lang w:val="en-US" w:eastAsia="zh-CN" w:bidi="ar-SA"/>
        </w:rPr>
      </w:pPr>
      <w:r>
        <w:rPr>
          <w:rFonts w:hint="eastAsia" w:ascii="仿宋" w:hAnsi="仿宋" w:eastAsia="仿宋" w:cs="仿宋"/>
          <w:sz w:val="32"/>
          <w:szCs w:val="32"/>
          <w:lang w:val="en-US" w:eastAsia="zh-CN"/>
        </w:rPr>
        <w:t>本文件适用于</w:t>
      </w:r>
      <w:sdt>
        <w:sdtPr>
          <w:rPr>
            <w:rFonts w:hint="eastAsia" w:ascii="仿宋" w:hAnsi="仿宋" w:eastAsia="仿宋" w:cs="仿宋"/>
            <w:sz w:val="32"/>
            <w:szCs w:val="32"/>
            <w:lang w:val="en-US" w:eastAsia="zh-CN"/>
          </w:rPr>
          <w:tag w:val="NEW_STAND_NAME"/>
          <w:id w:val="147465211"/>
          <w:lock w:val="sdtLocked"/>
          <w:placeholder>
            <w:docPart w:val="{173d583d-cbfa-4aff-83ee-894fff15f632}"/>
          </w:placeholder>
        </w:sdtPr>
        <w:sdtEndPr>
          <w:rPr>
            <w:rFonts w:hint="eastAsia" w:ascii="仿宋" w:hAnsi="仿宋" w:eastAsia="仿宋" w:cs="仿宋"/>
            <w:sz w:val="32"/>
            <w:szCs w:val="32"/>
            <w:lang w:val="en-US" w:eastAsia="zh-CN"/>
          </w:rPr>
        </w:sdtEndPr>
        <w:sdtContent>
          <w:r>
            <w:rPr>
              <w:rFonts w:hint="eastAsia" w:ascii="仿宋" w:hAnsi="仿宋" w:eastAsia="仿宋" w:cs="仿宋"/>
              <w:kern w:val="0"/>
              <w:sz w:val="32"/>
              <w:szCs w:val="32"/>
              <w:highlight w:val="none"/>
              <w:lang w:val="zh-CN" w:eastAsia="zh-CN" w:bidi="ar-SA"/>
            </w:rPr>
            <w:t>高纯液化特气用大容积钢质无缝气瓶的研发、设计、制造、检验与应用管理</w:t>
          </w:r>
        </w:sdtContent>
      </w:sdt>
      <w:r>
        <w:rPr>
          <w:rFonts w:hint="eastAsia" w:ascii="仿宋" w:hAnsi="仿宋" w:eastAsia="仿宋" w:cs="仿宋"/>
          <w:sz w:val="32"/>
          <w:szCs w:val="32"/>
          <w:lang w:val="en-US" w:eastAsia="zh-CN"/>
        </w:rPr>
        <w:t>。</w:t>
      </w:r>
    </w:p>
    <w:p w14:paraId="0A84BCA1">
      <w:pPr>
        <w:pStyle w:val="26"/>
        <w:numPr>
          <w:ilvl w:val="0"/>
          <w:numId w:val="0"/>
        </w:numPr>
        <w:rPr>
          <w:rFonts w:hint="eastAsia" w:ascii="仿宋" w:hAnsi="仿宋" w:eastAsia="仿宋" w:cs="仿宋"/>
          <w:b/>
          <w:bCs/>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规范性引用文件</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Start w:id="68" w:name="BT2"/>
      <w:bookmarkEnd w:id="68"/>
      <w:bookmarkStart w:id="69" w:name="_Toc298938637"/>
      <w:bookmarkStart w:id="70" w:name="_Toc298937324"/>
      <w:bookmarkStart w:id="71" w:name="_Toc298937421"/>
      <w:bookmarkStart w:id="72" w:name="_Toc310002639"/>
      <w:bookmarkStart w:id="73" w:name="_Toc304402666"/>
      <w:bookmarkStart w:id="74" w:name="_Toc20407"/>
      <w:bookmarkStart w:id="75" w:name="_Toc309995580"/>
      <w:bookmarkStart w:id="76" w:name="_Toc298936803"/>
      <w:bookmarkStart w:id="77" w:name="_Toc304828068"/>
      <w:bookmarkStart w:id="78" w:name="_Toc309996001"/>
      <w:bookmarkStart w:id="79" w:name="_Toc304824971"/>
      <w:bookmarkStart w:id="80" w:name="_Toc499110428"/>
      <w:bookmarkStart w:id="81" w:name="_Toc309994553"/>
      <w:bookmarkStart w:id="82" w:name="_Toc309995474"/>
      <w:bookmarkStart w:id="83" w:name="_Toc304825010"/>
      <w:bookmarkStart w:id="84" w:name="_Toc309995392"/>
      <w:bookmarkStart w:id="85" w:name="_Toc298937203"/>
      <w:bookmarkStart w:id="86" w:name="_Toc298937359"/>
      <w:bookmarkStart w:id="87" w:name="_Toc298938785"/>
      <w:bookmarkStart w:id="88" w:name="_Toc298937102"/>
      <w:bookmarkStart w:id="89" w:name="_Toc298937278"/>
      <w:bookmarkStart w:id="90" w:name="_Toc309993182"/>
      <w:bookmarkStart w:id="91" w:name="_Toc309997042"/>
      <w:bookmarkStart w:id="92" w:name="_Toc298937154"/>
      <w:bookmarkStart w:id="93" w:name="_Toc298937611"/>
      <w:bookmarkStart w:id="94" w:name="_Toc304825083"/>
      <w:bookmarkStart w:id="95" w:name="_Toc298937551"/>
      <w:bookmarkStart w:id="96" w:name="_Toc298937190"/>
      <w:bookmarkStart w:id="97" w:name="_Toc298936926"/>
      <w:bookmarkStart w:id="98" w:name="_Toc298937169"/>
      <w:bookmarkStart w:id="99" w:name="_Toc298937464"/>
      <w:bookmarkStart w:id="100" w:name="_Toc14492"/>
    </w:p>
    <w:p w14:paraId="4D197148">
      <w:pPr>
        <w:pStyle w:val="26"/>
        <w:numPr>
          <w:ilvl w:val="0"/>
          <w:numId w:val="0"/>
        </w:numPr>
        <w:ind w:firstLine="640" w:firstLineChars="200"/>
        <w:rPr>
          <w:rFonts w:hint="eastAsia" w:ascii="仿宋" w:hAnsi="仿宋" w:eastAsia="仿宋" w:cs="仿宋"/>
          <w:color w:val="auto"/>
          <w:kern w:val="0"/>
          <w:sz w:val="32"/>
          <w:szCs w:val="32"/>
          <w:lang w:val="en-US" w:eastAsia="zh-CN" w:bidi="zh-CN"/>
        </w:rPr>
      </w:pPr>
      <w:r>
        <w:rPr>
          <w:rFonts w:hint="eastAsia" w:ascii="仿宋" w:hAnsi="仿宋" w:eastAsia="仿宋" w:cs="仿宋"/>
          <w:color w:val="auto"/>
          <w:kern w:val="0"/>
          <w:sz w:val="32"/>
          <w:szCs w:val="32"/>
          <w:lang w:val="en-US" w:eastAsia="zh-CN" w:bidi="zh-C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463DB11">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default" w:ascii="仿宋" w:hAnsi="仿宋" w:eastAsia="仿宋" w:cs="仿宋"/>
          <w:color w:val="auto"/>
          <w:kern w:val="0"/>
          <w:sz w:val="32"/>
          <w:szCs w:val="32"/>
          <w:lang w:val="en-US" w:eastAsia="zh-CN" w:bidi="zh-CN"/>
        </w:rPr>
      </w:pPr>
      <w:r>
        <w:rPr>
          <w:rFonts w:hint="default" w:ascii="仿宋" w:hAnsi="仿宋" w:eastAsia="仿宋" w:cs="仿宋"/>
          <w:color w:val="auto"/>
          <w:kern w:val="0"/>
          <w:sz w:val="32"/>
          <w:szCs w:val="32"/>
          <w:lang w:val="en-US" w:eastAsia="zh-CN" w:bidi="zh-CN"/>
        </w:rPr>
        <w:t>GB/T 228.1</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 xml:space="preserve">金属材料 </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拉伸试验</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 xml:space="preserve"> 第1部分</w:t>
      </w:r>
      <w:r>
        <w:rPr>
          <w:rFonts w:hint="eastAsia" w:ascii="仿宋" w:hAnsi="仿宋" w:eastAsia="仿宋" w:cs="仿宋"/>
          <w:color w:val="auto"/>
          <w:kern w:val="0"/>
          <w:sz w:val="32"/>
          <w:szCs w:val="32"/>
          <w:lang w:val="en-US" w:eastAsia="zh-CN" w:bidi="zh-CN"/>
        </w:rPr>
        <w:t>：</w:t>
      </w:r>
      <w:r>
        <w:rPr>
          <w:rFonts w:hint="default" w:ascii="仿宋" w:hAnsi="仿宋" w:eastAsia="仿宋" w:cs="仿宋"/>
          <w:color w:val="auto"/>
          <w:kern w:val="0"/>
          <w:sz w:val="32"/>
          <w:szCs w:val="32"/>
          <w:lang w:val="en-US" w:eastAsia="zh-CN" w:bidi="zh-CN"/>
        </w:rPr>
        <w:t>室温试验方法</w:t>
      </w:r>
    </w:p>
    <w:p w14:paraId="7719815F">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default" w:ascii="仿宋" w:hAnsi="仿宋" w:eastAsia="仿宋" w:cs="仿宋"/>
          <w:color w:val="auto"/>
          <w:kern w:val="0"/>
          <w:sz w:val="32"/>
          <w:szCs w:val="32"/>
          <w:lang w:val="en-US" w:eastAsia="zh-CN" w:bidi="zh-CN"/>
        </w:rPr>
      </w:pPr>
      <w:r>
        <w:rPr>
          <w:rFonts w:hint="default" w:ascii="仿宋" w:hAnsi="仿宋" w:eastAsia="仿宋" w:cs="仿宋"/>
          <w:color w:val="auto"/>
          <w:kern w:val="0"/>
          <w:sz w:val="32"/>
          <w:szCs w:val="32"/>
          <w:lang w:val="en-US" w:eastAsia="zh-CN" w:bidi="zh-CN"/>
        </w:rPr>
        <w:t>GB/T 229</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 xml:space="preserve"> 金属材料 </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夏比摆锤冲击试验方法</w:t>
      </w:r>
    </w:p>
    <w:p w14:paraId="460C037B">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default" w:ascii="仿宋" w:hAnsi="仿宋" w:eastAsia="仿宋" w:cs="仿宋"/>
          <w:color w:val="auto"/>
          <w:kern w:val="0"/>
          <w:sz w:val="32"/>
          <w:szCs w:val="32"/>
          <w:lang w:val="en-US" w:eastAsia="zh-CN" w:bidi="zh-CN"/>
        </w:rPr>
      </w:pPr>
      <w:r>
        <w:rPr>
          <w:rFonts w:hint="default" w:ascii="仿宋" w:hAnsi="仿宋" w:eastAsia="仿宋" w:cs="仿宋"/>
          <w:color w:val="auto"/>
          <w:kern w:val="0"/>
          <w:sz w:val="32"/>
          <w:szCs w:val="32"/>
          <w:lang w:val="en-US" w:eastAsia="zh-CN" w:bidi="zh-CN"/>
        </w:rPr>
        <w:t>GB/T 1031</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 xml:space="preserve"> 产品几何技术规范</w:t>
      </w:r>
      <w:r>
        <w:rPr>
          <w:rFonts w:hint="eastAsia" w:ascii="仿宋" w:hAnsi="仿宋" w:eastAsia="仿宋" w:cs="仿宋"/>
          <w:color w:val="auto"/>
          <w:kern w:val="0"/>
          <w:sz w:val="32"/>
          <w:szCs w:val="32"/>
          <w:lang w:val="en-US" w:eastAsia="zh-CN" w:bidi="zh-CN"/>
        </w:rPr>
        <w:t>（</w:t>
      </w:r>
      <w:r>
        <w:rPr>
          <w:rFonts w:hint="default" w:ascii="仿宋" w:hAnsi="仿宋" w:eastAsia="仿宋" w:cs="仿宋"/>
          <w:color w:val="auto"/>
          <w:kern w:val="0"/>
          <w:sz w:val="32"/>
          <w:szCs w:val="32"/>
          <w:lang w:val="en-US" w:eastAsia="zh-CN" w:bidi="zh-CN"/>
        </w:rPr>
        <w:t>GPS</w:t>
      </w:r>
      <w:r>
        <w:rPr>
          <w:rFonts w:hint="eastAsia" w:ascii="仿宋" w:hAnsi="仿宋" w:eastAsia="仿宋" w:cs="仿宋"/>
          <w:color w:val="auto"/>
          <w:kern w:val="0"/>
          <w:sz w:val="32"/>
          <w:szCs w:val="32"/>
          <w:lang w:val="en-US" w:eastAsia="zh-CN" w:bidi="zh-CN"/>
        </w:rPr>
        <w:t>）</w:t>
      </w:r>
      <w:r>
        <w:rPr>
          <w:rFonts w:hint="default" w:ascii="仿宋" w:hAnsi="仿宋" w:eastAsia="仿宋" w:cs="仿宋"/>
          <w:color w:val="auto"/>
          <w:kern w:val="0"/>
          <w:sz w:val="32"/>
          <w:szCs w:val="32"/>
          <w:lang w:val="en-US" w:eastAsia="zh-CN" w:bidi="zh-CN"/>
        </w:rPr>
        <w:t xml:space="preserve"> </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表面结构</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 xml:space="preserve"> 轮廓法 </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表面粗糙度参数及其数值</w:t>
      </w:r>
    </w:p>
    <w:p w14:paraId="6DA484F5">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default" w:ascii="仿宋" w:hAnsi="仿宋" w:eastAsia="仿宋" w:cs="仿宋"/>
          <w:color w:val="auto"/>
          <w:kern w:val="0"/>
          <w:sz w:val="32"/>
          <w:szCs w:val="32"/>
          <w:lang w:val="en-US" w:eastAsia="zh-CN" w:bidi="zh-CN"/>
        </w:rPr>
      </w:pPr>
      <w:r>
        <w:rPr>
          <w:rFonts w:hint="default" w:ascii="仿宋" w:hAnsi="仿宋" w:eastAsia="仿宋" w:cs="仿宋"/>
          <w:color w:val="auto"/>
          <w:kern w:val="0"/>
          <w:sz w:val="32"/>
          <w:szCs w:val="32"/>
          <w:lang w:val="en-US" w:eastAsia="zh-CN" w:bidi="zh-CN"/>
        </w:rPr>
        <w:t>GB/T 7144</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气瓶颜色标志</w:t>
      </w:r>
    </w:p>
    <w:p w14:paraId="49C25D74">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default" w:ascii="仿宋" w:hAnsi="仿宋" w:eastAsia="仿宋" w:cs="仿宋"/>
          <w:color w:val="auto"/>
          <w:kern w:val="0"/>
          <w:sz w:val="32"/>
          <w:szCs w:val="32"/>
          <w:lang w:val="en-US" w:eastAsia="zh-CN" w:bidi="zh-CN"/>
        </w:rPr>
      </w:pPr>
      <w:r>
        <w:rPr>
          <w:rFonts w:hint="default" w:ascii="仿宋" w:hAnsi="仿宋" w:eastAsia="仿宋" w:cs="仿宋"/>
          <w:color w:val="auto"/>
          <w:kern w:val="0"/>
          <w:sz w:val="32"/>
          <w:szCs w:val="32"/>
          <w:lang w:val="en-US" w:eastAsia="zh-CN" w:bidi="zh-CN"/>
        </w:rPr>
        <w:t>GB/T 9251</w:t>
      </w:r>
      <w:r>
        <w:rPr>
          <w:rFonts w:hint="eastAsia" w:ascii="仿宋" w:hAnsi="仿宋" w:eastAsia="仿宋" w:cs="仿宋"/>
          <w:color w:val="auto"/>
          <w:kern w:val="0"/>
          <w:sz w:val="32"/>
          <w:szCs w:val="32"/>
          <w:lang w:val="en-US" w:eastAsia="zh-CN" w:bidi="zh-CN"/>
        </w:rPr>
        <w:t>—</w:t>
      </w:r>
      <w:r>
        <w:rPr>
          <w:rFonts w:hint="default" w:ascii="仿宋" w:hAnsi="仿宋" w:eastAsia="仿宋" w:cs="仿宋"/>
          <w:color w:val="auto"/>
          <w:kern w:val="0"/>
          <w:sz w:val="32"/>
          <w:szCs w:val="32"/>
          <w:lang w:val="en-US" w:eastAsia="zh-CN" w:bidi="zh-CN"/>
        </w:rPr>
        <w:t>2022</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气瓶水压试验方法</w:t>
      </w:r>
    </w:p>
    <w:p w14:paraId="5E35FF7F">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default" w:ascii="仿宋" w:hAnsi="仿宋" w:eastAsia="仿宋" w:cs="仿宋"/>
          <w:color w:val="auto"/>
          <w:kern w:val="0"/>
          <w:sz w:val="32"/>
          <w:szCs w:val="32"/>
          <w:lang w:val="en-US" w:eastAsia="zh-CN" w:bidi="zh-CN"/>
        </w:rPr>
      </w:pPr>
      <w:r>
        <w:rPr>
          <w:rFonts w:hint="default" w:ascii="仿宋" w:hAnsi="仿宋" w:eastAsia="仿宋" w:cs="仿宋"/>
          <w:color w:val="auto"/>
          <w:kern w:val="0"/>
          <w:sz w:val="32"/>
          <w:szCs w:val="32"/>
          <w:lang w:val="en-US" w:eastAsia="zh-CN" w:bidi="zh-CN"/>
        </w:rPr>
        <w:t>GB/T 12137</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 xml:space="preserve"> 气瓶气密性试验方法</w:t>
      </w:r>
    </w:p>
    <w:p w14:paraId="60F4BCCE">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default" w:ascii="仿宋" w:hAnsi="仿宋" w:eastAsia="仿宋" w:cs="仿宋"/>
          <w:color w:val="auto"/>
          <w:kern w:val="0"/>
          <w:sz w:val="32"/>
          <w:szCs w:val="32"/>
          <w:lang w:val="en-US" w:eastAsia="zh-CN" w:bidi="zh-CN"/>
        </w:rPr>
      </w:pPr>
      <w:r>
        <w:rPr>
          <w:rFonts w:hint="default" w:ascii="仿宋" w:hAnsi="仿宋" w:eastAsia="仿宋" w:cs="仿宋"/>
          <w:color w:val="auto"/>
          <w:kern w:val="0"/>
          <w:sz w:val="32"/>
          <w:szCs w:val="32"/>
          <w:lang w:val="en-US" w:eastAsia="zh-CN" w:bidi="zh-CN"/>
        </w:rPr>
        <w:t>GB/T 15385</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 xml:space="preserve"> 气瓶水压爆破试验方法</w:t>
      </w:r>
    </w:p>
    <w:p w14:paraId="5F2BB255">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default" w:ascii="仿宋" w:hAnsi="仿宋" w:eastAsia="仿宋" w:cs="仿宋"/>
          <w:color w:val="auto"/>
          <w:kern w:val="0"/>
          <w:sz w:val="32"/>
          <w:szCs w:val="32"/>
          <w:lang w:val="en-US" w:eastAsia="zh-CN" w:bidi="zh-CN"/>
        </w:rPr>
      </w:pPr>
      <w:r>
        <w:rPr>
          <w:rFonts w:hint="default" w:ascii="仿宋" w:hAnsi="仿宋" w:eastAsia="仿宋" w:cs="仿宋"/>
          <w:color w:val="auto"/>
          <w:kern w:val="0"/>
          <w:sz w:val="32"/>
          <w:szCs w:val="32"/>
          <w:lang w:val="en-US" w:eastAsia="zh-CN" w:bidi="zh-CN"/>
        </w:rPr>
        <w:t>GB/T 17213.1</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工业过程控制阀</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 xml:space="preserve"> 第1部分：控制阀术语和总则</w:t>
      </w:r>
    </w:p>
    <w:p w14:paraId="32E641F9">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default" w:ascii="仿宋" w:hAnsi="仿宋" w:eastAsia="仿宋" w:cs="仿宋"/>
          <w:color w:val="auto"/>
          <w:kern w:val="0"/>
          <w:sz w:val="32"/>
          <w:szCs w:val="32"/>
          <w:lang w:val="en-US" w:eastAsia="zh-CN" w:bidi="zh-CN"/>
        </w:rPr>
      </w:pPr>
      <w:r>
        <w:rPr>
          <w:rFonts w:hint="default" w:ascii="仿宋" w:hAnsi="仿宋" w:eastAsia="仿宋" w:cs="仿宋"/>
          <w:color w:val="auto"/>
          <w:kern w:val="0"/>
          <w:sz w:val="32"/>
          <w:szCs w:val="32"/>
          <w:lang w:val="en-US" w:eastAsia="zh-CN" w:bidi="zh-CN"/>
        </w:rPr>
        <w:t>GB/T 28884</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大容积气瓶用无缝钢管</w:t>
      </w:r>
    </w:p>
    <w:p w14:paraId="7D700B9D">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default" w:ascii="仿宋" w:hAnsi="仿宋" w:eastAsia="仿宋" w:cs="仿宋"/>
          <w:color w:val="auto"/>
          <w:kern w:val="0"/>
          <w:sz w:val="32"/>
          <w:szCs w:val="32"/>
          <w:lang w:val="en-US" w:eastAsia="zh-CN" w:bidi="zh-CN"/>
        </w:rPr>
      </w:pPr>
      <w:r>
        <w:rPr>
          <w:rFonts w:hint="default" w:ascii="仿宋" w:hAnsi="仿宋" w:eastAsia="仿宋" w:cs="仿宋"/>
          <w:color w:val="auto"/>
          <w:kern w:val="0"/>
          <w:sz w:val="32"/>
          <w:szCs w:val="32"/>
          <w:lang w:val="en-US" w:eastAsia="zh-CN" w:bidi="zh-CN"/>
        </w:rPr>
        <w:t>GB/T 33145</w:t>
      </w:r>
      <w:r>
        <w:rPr>
          <w:rFonts w:hint="eastAsia" w:ascii="仿宋" w:hAnsi="仿宋" w:eastAsia="仿宋" w:cs="仿宋"/>
          <w:color w:val="auto"/>
          <w:kern w:val="0"/>
          <w:sz w:val="32"/>
          <w:szCs w:val="32"/>
          <w:lang w:val="en-US" w:eastAsia="zh-CN" w:bidi="zh-CN"/>
        </w:rPr>
        <w:t>—</w:t>
      </w:r>
      <w:r>
        <w:rPr>
          <w:rFonts w:hint="default" w:ascii="仿宋" w:hAnsi="仿宋" w:eastAsia="仿宋" w:cs="仿宋"/>
          <w:color w:val="auto"/>
          <w:kern w:val="0"/>
          <w:sz w:val="32"/>
          <w:szCs w:val="32"/>
          <w:lang w:val="en-US" w:eastAsia="zh-CN" w:bidi="zh-CN"/>
        </w:rPr>
        <w:t>2023</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 xml:space="preserve"> 大容积钢质无缝气瓶</w:t>
      </w:r>
    </w:p>
    <w:p w14:paraId="16B05C65">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default" w:ascii="仿宋" w:hAnsi="仿宋" w:eastAsia="仿宋" w:cs="仿宋"/>
          <w:color w:val="auto"/>
          <w:kern w:val="0"/>
          <w:sz w:val="32"/>
          <w:szCs w:val="32"/>
          <w:lang w:val="en-US" w:eastAsia="zh-CN" w:bidi="zh-CN"/>
        </w:rPr>
      </w:pPr>
      <w:r>
        <w:rPr>
          <w:rFonts w:hint="default" w:ascii="仿宋" w:hAnsi="仿宋" w:eastAsia="仿宋" w:cs="仿宋"/>
          <w:color w:val="auto"/>
          <w:kern w:val="0"/>
          <w:sz w:val="32"/>
          <w:szCs w:val="32"/>
          <w:lang w:val="en-US" w:eastAsia="zh-CN" w:bidi="zh-CN"/>
        </w:rPr>
        <w:t>GB/T 33215</w:t>
      </w:r>
      <w:r>
        <w:rPr>
          <w:rFonts w:hint="eastAsia" w:ascii="仿宋" w:hAnsi="仿宋" w:eastAsia="仿宋" w:cs="仿宋"/>
          <w:color w:val="auto"/>
          <w:kern w:val="0"/>
          <w:sz w:val="32"/>
          <w:szCs w:val="32"/>
          <w:lang w:val="en-US" w:eastAsia="zh-CN" w:bidi="zh-CN"/>
        </w:rPr>
        <w:t>—</w:t>
      </w:r>
      <w:r>
        <w:rPr>
          <w:rFonts w:hint="default" w:ascii="仿宋" w:hAnsi="仿宋" w:eastAsia="仿宋" w:cs="仿宋"/>
          <w:color w:val="auto"/>
          <w:kern w:val="0"/>
          <w:sz w:val="32"/>
          <w:szCs w:val="32"/>
          <w:lang w:val="en-US" w:eastAsia="zh-CN" w:bidi="zh-CN"/>
        </w:rPr>
        <w:t>2025</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气瓶安全泄压装置</w:t>
      </w:r>
    </w:p>
    <w:p w14:paraId="693814A2">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default" w:ascii="仿宋" w:hAnsi="仿宋" w:eastAsia="仿宋" w:cs="仿宋"/>
          <w:color w:val="auto"/>
          <w:kern w:val="0"/>
          <w:sz w:val="32"/>
          <w:szCs w:val="32"/>
          <w:lang w:val="en-US" w:eastAsia="zh-CN" w:bidi="zh-CN"/>
        </w:rPr>
      </w:pPr>
      <w:r>
        <w:rPr>
          <w:rFonts w:hint="default" w:ascii="仿宋" w:hAnsi="仿宋" w:eastAsia="仿宋" w:cs="仿宋"/>
          <w:color w:val="auto"/>
          <w:kern w:val="0"/>
          <w:sz w:val="32"/>
          <w:szCs w:val="32"/>
          <w:lang w:val="en-US" w:eastAsia="zh-CN" w:bidi="zh-CN"/>
        </w:rPr>
        <w:t>JJF 1101</w:t>
      </w:r>
      <w:r>
        <w:rPr>
          <w:rFonts w:hint="eastAsia" w:ascii="仿宋" w:hAnsi="仿宋" w:eastAsia="仿宋" w:cs="仿宋"/>
          <w:color w:val="auto"/>
          <w:kern w:val="0"/>
          <w:sz w:val="32"/>
          <w:szCs w:val="32"/>
          <w:lang w:val="en-US" w:eastAsia="zh-CN" w:bidi="zh-CN"/>
        </w:rPr>
        <w:t xml:space="preserve"> </w:t>
      </w:r>
      <w:r>
        <w:rPr>
          <w:rFonts w:hint="default" w:ascii="仿宋" w:hAnsi="仿宋" w:eastAsia="仿宋" w:cs="仿宋"/>
          <w:color w:val="auto"/>
          <w:kern w:val="0"/>
          <w:sz w:val="32"/>
          <w:szCs w:val="32"/>
          <w:lang w:val="en-US" w:eastAsia="zh-CN" w:bidi="zh-CN"/>
        </w:rPr>
        <w:t xml:space="preserve"> 环境试验设备温度、湿度参数校准规范</w:t>
      </w:r>
    </w:p>
    <w:p w14:paraId="512B5F76">
      <w:pPr>
        <w:pStyle w:val="139"/>
        <w:numPr>
          <w:ilvl w:val="0"/>
          <w:numId w:val="12"/>
        </w:numPr>
        <w:spacing w:before="312" w:after="312"/>
        <w:rPr>
          <w:rFonts w:hint="eastAsia" w:ascii="仿宋" w:hAnsi="仿宋" w:eastAsia="仿宋" w:cs="仿宋"/>
          <w:b/>
          <w:bCs/>
          <w:sz w:val="32"/>
          <w:szCs w:val="32"/>
          <w:lang w:val="en-US" w:eastAsia="zh-CN" w:bidi="ar-SA"/>
        </w:rPr>
      </w:pPr>
      <w:r>
        <w:rPr>
          <w:rFonts w:hint="eastAsia" w:ascii="仿宋" w:hAnsi="仿宋" w:eastAsia="仿宋" w:cs="仿宋"/>
          <w:b/>
          <w:bCs/>
          <w:sz w:val="32"/>
          <w:szCs w:val="32"/>
          <w:lang w:val="en-US" w:eastAsia="zh-CN" w:bidi="ar-SA"/>
        </w:rPr>
        <w:t>术语和定义</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Start w:id="101" w:name="_Toc28815"/>
      <w:bookmarkEnd w:id="101"/>
      <w:bookmarkStart w:id="102" w:name="_Toc31824"/>
      <w:bookmarkEnd w:id="102"/>
      <w:bookmarkStart w:id="103" w:name="_Toc24305"/>
      <w:bookmarkEnd w:id="103"/>
      <w:bookmarkStart w:id="104" w:name="_Toc27503"/>
      <w:bookmarkStart w:id="105" w:name="_Toc24216"/>
      <w:bookmarkStart w:id="106" w:name="_Toc53501691"/>
      <w:bookmarkStart w:id="107" w:name="_Toc23010"/>
      <w:bookmarkStart w:id="108" w:name="_Toc53480577"/>
      <w:bookmarkStart w:id="109" w:name="_Toc53587167"/>
      <w:bookmarkStart w:id="110" w:name="_Toc53575559"/>
      <w:bookmarkStart w:id="111" w:name="_Toc53480861"/>
      <w:bookmarkStart w:id="112" w:name="_Hlk53576250"/>
      <w:bookmarkStart w:id="113" w:name="_Toc10606"/>
    </w:p>
    <w:bookmarkEnd w:id="104"/>
    <w:bookmarkEnd w:id="105"/>
    <w:bookmarkEnd w:id="106"/>
    <w:bookmarkEnd w:id="107"/>
    <w:bookmarkEnd w:id="108"/>
    <w:bookmarkEnd w:id="109"/>
    <w:bookmarkEnd w:id="110"/>
    <w:bookmarkEnd w:id="111"/>
    <w:bookmarkEnd w:id="112"/>
    <w:bookmarkEnd w:id="113"/>
    <w:p w14:paraId="391469B0">
      <w:pPr>
        <w:pStyle w:val="26"/>
        <w:numPr>
          <w:ilvl w:val="0"/>
          <w:numId w:val="0"/>
        </w:numP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下列术语和定义适用于本文件。</w:t>
      </w:r>
    </w:p>
    <w:p w14:paraId="18EB8F9F">
      <w:pPr>
        <w:pStyle w:val="168"/>
        <w:bidi w:val="0"/>
        <w:ind w:left="0" w:leftChars="0" w:firstLine="0" w:firstLineChars="0"/>
        <w:rPr>
          <w:rFonts w:hint="eastAsia" w:ascii="仿宋" w:hAnsi="仿宋" w:eastAsia="仿宋" w:cs="仿宋"/>
          <w:sz w:val="32"/>
          <w:szCs w:val="32"/>
        </w:rPr>
      </w:pPr>
    </w:p>
    <w:p w14:paraId="5EDEE54F">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大容积钢质无缝气瓶  large capacity steel seamless gas cylinder</w:t>
      </w:r>
    </w:p>
    <w:p w14:paraId="0CCA462F">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水容积大于150 L且小于或等于4200 L，用于可重复充装压缩气体或液化气体的移动式钢质无缝气瓶。</w:t>
      </w:r>
    </w:p>
    <w:p w14:paraId="0C2033AD">
      <w:pPr>
        <w:pStyle w:val="168"/>
        <w:bidi w:val="0"/>
        <w:ind w:left="0" w:leftChars="0" w:firstLine="0" w:firstLineChars="0"/>
        <w:rPr>
          <w:rFonts w:hint="eastAsia" w:ascii="仿宋" w:hAnsi="仿宋" w:eastAsia="仿宋" w:cs="仿宋"/>
          <w:sz w:val="32"/>
          <w:szCs w:val="32"/>
        </w:rPr>
      </w:pPr>
    </w:p>
    <w:p w14:paraId="6682B644">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高纯液化特气  high-purity liquefied special gas</w:t>
      </w:r>
    </w:p>
    <w:p w14:paraId="3DBA41EA">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指纯度不低于99.999%（5.0N）的液化特种气体，用于电子、半导体、光伏等高端制造领域，如高纯氯化氢、三氟化氮、六氟化钨、硅烷等。</w:t>
      </w:r>
    </w:p>
    <w:p w14:paraId="705EA6F6">
      <w:pPr>
        <w:pStyle w:val="168"/>
        <w:bidi w:val="0"/>
        <w:ind w:left="0" w:leftChars="0" w:firstLine="0" w:firstLineChars="0"/>
        <w:rPr>
          <w:rFonts w:hint="eastAsia" w:ascii="仿宋" w:hAnsi="仿宋" w:eastAsia="仿宋" w:cs="仿宋"/>
          <w:sz w:val="32"/>
          <w:szCs w:val="32"/>
        </w:rPr>
      </w:pPr>
    </w:p>
    <w:p w14:paraId="3A75C859">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外测法  water jacket method</w:t>
      </w:r>
    </w:p>
    <w:p w14:paraId="7F065410">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将受试瓶放入特制的专用水套内加压至其水压试验压力且保压规定时间，通过水套溢出的水量和泄压后余下的溢水量来测定受试瓶的容积全变形、容积弹性变形和容积残余变形的试验方法。</w:t>
      </w:r>
    </w:p>
    <w:p w14:paraId="295F5800">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[来源：GB/T 9251—2022，3.3]</w:t>
      </w:r>
    </w:p>
    <w:p w14:paraId="15B5F3BE">
      <w:pPr>
        <w:pStyle w:val="168"/>
        <w:bidi w:val="0"/>
        <w:ind w:left="0" w:leftChars="0" w:firstLine="0" w:firstLineChars="0"/>
        <w:rPr>
          <w:rFonts w:hint="eastAsia" w:ascii="仿宋" w:hAnsi="仿宋" w:eastAsia="仿宋" w:cs="仿宋"/>
          <w:sz w:val="32"/>
          <w:szCs w:val="32"/>
        </w:rPr>
      </w:pPr>
    </w:p>
    <w:p w14:paraId="5129030F">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爆破压力  burst pressure</w:t>
      </w:r>
    </w:p>
    <w:p w14:paraId="607E66E5">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气瓶在内压作用下，瓶体爆破过程中所达到的最高压力。</w:t>
      </w:r>
    </w:p>
    <w:p w14:paraId="6C3FDF9C">
      <w:pPr>
        <w:pStyle w:val="168"/>
        <w:bidi w:val="0"/>
        <w:ind w:left="0" w:leftChars="0" w:firstLine="0" w:firstLineChars="0"/>
        <w:rPr>
          <w:rFonts w:hint="eastAsia" w:ascii="仿宋" w:hAnsi="仿宋" w:eastAsia="仿宋" w:cs="仿宋"/>
          <w:sz w:val="32"/>
          <w:szCs w:val="32"/>
        </w:rPr>
      </w:pPr>
    </w:p>
    <w:p w14:paraId="7DFA5077">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腐蚀裕量  corrosion allowance</w:t>
      </w:r>
    </w:p>
    <w:p w14:paraId="3E23F2C6">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是工程设计中为防止材料因介质腐蚀或磨损导致壁厚减薄而预先增加的壁厚增量。</w:t>
      </w:r>
    </w:p>
    <w:p w14:paraId="1C6FF604">
      <w:pPr>
        <w:pStyle w:val="168"/>
        <w:bidi w:val="0"/>
        <w:ind w:left="0" w:leftChars="0" w:firstLine="0" w:firstLineChars="0"/>
        <w:rPr>
          <w:rFonts w:hint="eastAsia" w:ascii="仿宋" w:hAnsi="仿宋" w:eastAsia="仿宋" w:cs="仿宋"/>
          <w:sz w:val="32"/>
          <w:szCs w:val="32"/>
        </w:rPr>
      </w:pPr>
    </w:p>
    <w:p w14:paraId="416593F6">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水容积  water capacity</w:t>
      </w:r>
    </w:p>
    <w:p w14:paraId="49B205D3">
      <w:pPr>
        <w:pStyle w:val="33"/>
        <w:widowControl/>
        <w:autoSpaceDE w:val="0"/>
        <w:autoSpaceDN w:val="0"/>
        <w:spacing w:beforeAutospacing="0" w:afterAutospacing="0"/>
        <w:ind w:firstLine="640" w:firstLineChars="200"/>
        <w:jc w:val="both"/>
        <w:rPr>
          <w:rFonts w:hint="eastAsia" w:ascii="仿宋" w:hAnsi="仿宋" w:eastAsia="仿宋" w:cs="仿宋"/>
          <w:sz w:val="32"/>
          <w:szCs w:val="32"/>
          <w:lang w:val="en-US" w:eastAsia="zh-CN" w:bidi="zh-CN"/>
        </w:rPr>
      </w:pPr>
      <w:r>
        <w:rPr>
          <w:rFonts w:hint="eastAsia" w:ascii="仿宋" w:hAnsi="仿宋" w:eastAsia="仿宋" w:cs="仿宋"/>
          <w:sz w:val="32"/>
          <w:szCs w:val="32"/>
        </w:rPr>
        <w:t>气瓶内腔的实际容积。</w:t>
      </w:r>
    </w:p>
    <w:p w14:paraId="6A8AE73F">
      <w:pPr>
        <w:pStyle w:val="139"/>
        <w:numPr>
          <w:ilvl w:val="0"/>
          <w:numId w:val="12"/>
        </w:numPr>
        <w:spacing w:before="312" w:after="312"/>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型式、参数和型号</w:t>
      </w:r>
    </w:p>
    <w:p w14:paraId="4C69216F">
      <w:pPr>
        <w:pStyle w:val="33"/>
        <w:widowControl/>
        <w:autoSpaceDE w:val="0"/>
        <w:autoSpaceDN w:val="0"/>
        <w:spacing w:beforeAutospacing="0" w:afterAutospacing="0"/>
        <w:ind w:firstLine="640" w:firstLineChars="200"/>
        <w:jc w:val="both"/>
        <w:rPr>
          <w:rFonts w:hint="default" w:ascii="仿宋" w:hAnsi="仿宋" w:eastAsia="仿宋" w:cs="仿宋"/>
          <w:sz w:val="32"/>
          <w:szCs w:val="32"/>
          <w:lang w:val="en-US" w:eastAsia="zh-CN" w:bidi="zh-CN"/>
        </w:rPr>
      </w:pPr>
      <w:r>
        <w:rPr>
          <w:rFonts w:hint="eastAsia" w:ascii="仿宋" w:hAnsi="仿宋" w:eastAsia="仿宋" w:cs="仿宋"/>
          <w:sz w:val="32"/>
          <w:szCs w:val="32"/>
          <w:lang w:val="en-US" w:eastAsia="zh-CN" w:bidi="zh-CN"/>
        </w:rPr>
        <w:t>规定了高纯液化特气用大容积钢质无缝气瓶的型式、参数和型号。</w:t>
      </w:r>
    </w:p>
    <w:p w14:paraId="3826F8F3">
      <w:pPr>
        <w:pStyle w:val="139"/>
        <w:numPr>
          <w:ilvl w:val="0"/>
          <w:numId w:val="12"/>
        </w:numPr>
        <w:spacing w:before="312" w:after="312"/>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技术要求</w:t>
      </w:r>
    </w:p>
    <w:p w14:paraId="47DEC887">
      <w:pPr>
        <w:pStyle w:val="33"/>
        <w:widowControl/>
        <w:autoSpaceDE w:val="0"/>
        <w:autoSpaceDN w:val="0"/>
        <w:spacing w:beforeAutospacing="0" w:afterAutospacing="0"/>
        <w:ind w:firstLine="640" w:firstLineChars="200"/>
        <w:jc w:val="both"/>
        <w:rPr>
          <w:rFonts w:hint="eastAsia" w:ascii="仿宋" w:hAnsi="仿宋" w:eastAsia="仿宋" w:cs="仿宋"/>
          <w:sz w:val="32"/>
          <w:szCs w:val="32"/>
          <w:lang w:val="en-US" w:eastAsia="zh-CN" w:bidi="zh-CN"/>
        </w:rPr>
      </w:pPr>
      <w:r>
        <w:rPr>
          <w:rFonts w:hint="eastAsia" w:ascii="仿宋" w:hAnsi="仿宋" w:eastAsia="仿宋" w:cs="仿宋"/>
          <w:sz w:val="32"/>
          <w:szCs w:val="32"/>
          <w:lang w:val="en-US" w:eastAsia="zh-CN" w:bidi="zh-CN"/>
        </w:rPr>
        <w:t>规定了高纯液化特气用大容积钢质无缝气瓶的技术要求。</w:t>
      </w:r>
    </w:p>
    <w:p w14:paraId="12D5C999">
      <w:pPr>
        <w:pStyle w:val="139"/>
        <w:numPr>
          <w:ilvl w:val="0"/>
          <w:numId w:val="12"/>
        </w:numPr>
        <w:spacing w:before="312" w:after="312"/>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试验方法</w:t>
      </w:r>
    </w:p>
    <w:p w14:paraId="7CEAFA38">
      <w:pPr>
        <w:pStyle w:val="33"/>
        <w:widowControl/>
        <w:autoSpaceDE w:val="0"/>
        <w:autoSpaceDN w:val="0"/>
        <w:spacing w:beforeAutospacing="0" w:afterAutospacing="0"/>
        <w:ind w:firstLine="640" w:firstLineChars="200"/>
        <w:jc w:val="both"/>
        <w:rPr>
          <w:rFonts w:hint="default"/>
          <w:highlight w:val="none"/>
          <w:lang w:val="en-US" w:eastAsia="zh-CN"/>
        </w:rPr>
      </w:pPr>
      <w:r>
        <w:rPr>
          <w:rFonts w:hint="eastAsia" w:ascii="仿宋" w:hAnsi="仿宋" w:eastAsia="仿宋" w:cs="仿宋"/>
          <w:sz w:val="32"/>
          <w:szCs w:val="32"/>
          <w:lang w:val="en-US" w:eastAsia="zh-CN" w:bidi="zh-CN"/>
        </w:rPr>
        <w:t>规定了高纯液化特气用大容积钢质无缝气瓶的试验方法。</w:t>
      </w:r>
    </w:p>
    <w:p w14:paraId="2D7FAAC5">
      <w:pPr>
        <w:pStyle w:val="139"/>
        <w:numPr>
          <w:ilvl w:val="0"/>
          <w:numId w:val="12"/>
        </w:numPr>
        <w:spacing w:before="312" w:after="312"/>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检验规则</w:t>
      </w:r>
    </w:p>
    <w:p w14:paraId="17E20874">
      <w:pPr>
        <w:pStyle w:val="33"/>
        <w:widowControl/>
        <w:autoSpaceDE w:val="0"/>
        <w:autoSpaceDN w:val="0"/>
        <w:spacing w:beforeAutospacing="0" w:afterAutospacing="0"/>
        <w:ind w:firstLine="640" w:firstLineChars="200"/>
        <w:jc w:val="both"/>
        <w:rPr>
          <w:rFonts w:hint="default" w:ascii="仿宋" w:hAnsi="仿宋" w:eastAsia="仿宋" w:cs="仿宋"/>
          <w:sz w:val="32"/>
          <w:szCs w:val="32"/>
          <w:lang w:val="en-US" w:eastAsia="zh-CN" w:bidi="zh-CN"/>
        </w:rPr>
      </w:pPr>
      <w:r>
        <w:rPr>
          <w:rFonts w:hint="eastAsia" w:ascii="仿宋" w:hAnsi="仿宋" w:eastAsia="仿宋" w:cs="仿宋"/>
          <w:sz w:val="32"/>
          <w:szCs w:val="32"/>
          <w:lang w:val="en-US" w:eastAsia="zh-CN" w:bidi="zh-CN"/>
        </w:rPr>
        <w:t>规定了高纯液化特气用大容积钢质无缝气瓶的检验规则。</w:t>
      </w:r>
    </w:p>
    <w:p w14:paraId="058622E8">
      <w:pPr>
        <w:pStyle w:val="139"/>
        <w:numPr>
          <w:ilvl w:val="0"/>
          <w:numId w:val="12"/>
        </w:numPr>
        <w:spacing w:before="312" w:after="312"/>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标志、涂敷、包装、运输和储存</w:t>
      </w:r>
    </w:p>
    <w:p w14:paraId="4F71F31C">
      <w:pPr>
        <w:pStyle w:val="26"/>
        <w:rPr>
          <w:rFonts w:hint="eastAsia" w:ascii="仿宋" w:hAnsi="仿宋" w:eastAsia="仿宋" w:cs="仿宋"/>
          <w:sz w:val="32"/>
          <w:szCs w:val="32"/>
          <w:lang w:val="en-US" w:eastAsia="zh-CN" w:bidi="zh-CN"/>
        </w:rPr>
      </w:pPr>
      <w:r>
        <w:rPr>
          <w:rFonts w:hint="eastAsia" w:ascii="仿宋" w:hAnsi="仿宋" w:eastAsia="仿宋" w:cs="仿宋"/>
          <w:sz w:val="32"/>
          <w:szCs w:val="32"/>
          <w:lang w:val="en-US" w:eastAsia="zh-CN" w:bidi="zh-CN"/>
        </w:rPr>
        <w:t>规定了高纯液化特气用大容积钢质无缝气瓶的标志、涂敷、包装、运输和储存。</w:t>
      </w:r>
    </w:p>
    <w:p w14:paraId="3D1801B1">
      <w:pPr>
        <w:pStyle w:val="139"/>
        <w:numPr>
          <w:ilvl w:val="0"/>
          <w:numId w:val="12"/>
        </w:numPr>
        <w:spacing w:before="312" w:after="312"/>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出厂文件及质量证明书</w:t>
      </w:r>
    </w:p>
    <w:p w14:paraId="78F53EB7">
      <w:pPr>
        <w:pStyle w:val="26"/>
        <w:rPr>
          <w:rFonts w:hint="eastAsia"/>
          <w:lang w:val="en-US" w:eastAsia="zh-CN"/>
        </w:rPr>
      </w:pPr>
      <w:r>
        <w:rPr>
          <w:rFonts w:hint="eastAsia" w:ascii="仿宋" w:hAnsi="仿宋" w:eastAsia="仿宋" w:cs="仿宋"/>
          <w:sz w:val="32"/>
          <w:szCs w:val="32"/>
          <w:lang w:val="en-US" w:eastAsia="zh-CN" w:bidi="zh-CN"/>
        </w:rPr>
        <w:t>规定了高纯液化特气用大容积钢质无缝气瓶的出厂文件及质量证明书。</w:t>
      </w:r>
    </w:p>
    <w:p w14:paraId="1F323B41">
      <w:pPr>
        <w:pStyle w:val="56"/>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六、标准水平分析</w:t>
      </w:r>
    </w:p>
    <w:p w14:paraId="49D765F3">
      <w:pPr>
        <w:spacing w:before="156" w:beforeLines="50" w:after="156" w:afterLines="50"/>
        <w:rPr>
          <w:rFonts w:ascii="仿宋_GB2312" w:hAnsi="宋体" w:eastAsia="仿宋_GB2312" w:cs="宋体"/>
          <w:color w:val="000000"/>
          <w:sz w:val="32"/>
          <w:szCs w:val="32"/>
        </w:rPr>
      </w:pPr>
      <w:r>
        <w:rPr>
          <w:rFonts w:hint="eastAsia" w:ascii="仿宋_GB2312" w:hAnsi="宋体" w:eastAsia="仿宋_GB2312" w:cs="宋体"/>
          <w:color w:val="000000"/>
          <w:sz w:val="32"/>
          <w:szCs w:val="32"/>
        </w:rPr>
        <w:t>6.1采用国际标准和国外先进标准的程度</w:t>
      </w:r>
    </w:p>
    <w:p w14:paraId="649F3D9F">
      <w:pPr>
        <w:spacing w:before="156" w:beforeLines="50" w:after="156" w:afterLines="50" w:line="360" w:lineRule="auto"/>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经查，国内外无相同类型的标准，故没有相应的国内外标准可采用。</w:t>
      </w:r>
    </w:p>
    <w:p w14:paraId="0E5A0B05">
      <w:pPr>
        <w:spacing w:before="156" w:beforeLines="50" w:after="156" w:afterLines="50"/>
        <w:rPr>
          <w:rFonts w:ascii="仿宋_GB2312" w:hAnsi="宋体" w:eastAsia="仿宋_GB2312" w:cs="宋体"/>
          <w:color w:val="000000"/>
          <w:sz w:val="32"/>
          <w:szCs w:val="32"/>
        </w:rPr>
      </w:pPr>
      <w:r>
        <w:rPr>
          <w:rFonts w:hint="eastAsia" w:ascii="仿宋_GB2312" w:hAnsi="宋体" w:eastAsia="仿宋_GB2312" w:cs="宋体"/>
          <w:color w:val="000000"/>
          <w:sz w:val="32"/>
          <w:szCs w:val="32"/>
        </w:rPr>
        <w:t>6.2与国际标准及国外标准水平对比</w:t>
      </w:r>
    </w:p>
    <w:p w14:paraId="66DFC7E8">
      <w:pPr>
        <w:spacing w:line="360" w:lineRule="auto"/>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本标准达到国内先进水平。</w:t>
      </w:r>
    </w:p>
    <w:p w14:paraId="74ADF87C">
      <w:pPr>
        <w:spacing w:before="156" w:beforeLines="50" w:after="156" w:afterLines="50"/>
        <w:rPr>
          <w:rFonts w:ascii="仿宋_GB2312" w:hAnsi="宋体" w:eastAsia="仿宋_GB2312" w:cs="宋体"/>
          <w:color w:val="000000"/>
          <w:sz w:val="32"/>
          <w:szCs w:val="32"/>
        </w:rPr>
      </w:pPr>
      <w:r>
        <w:rPr>
          <w:rFonts w:hint="eastAsia" w:ascii="仿宋_GB2312" w:hAnsi="宋体" w:eastAsia="仿宋_GB2312" w:cs="宋体"/>
          <w:color w:val="000000"/>
          <w:sz w:val="32"/>
          <w:szCs w:val="32"/>
        </w:rPr>
        <w:t>6.3与现有标准及制定中的标准协调配套情况</w:t>
      </w:r>
    </w:p>
    <w:p w14:paraId="6E68DF36">
      <w:pPr>
        <w:spacing w:line="360" w:lineRule="auto"/>
        <w:ind w:firstLine="480"/>
        <w:rPr>
          <w:rFonts w:ascii="仿宋_GB2312" w:hAnsi="宋体" w:eastAsia="仿宋_GB2312" w:cs="宋体"/>
          <w:color w:val="000000"/>
          <w:sz w:val="32"/>
          <w:szCs w:val="32"/>
        </w:rPr>
      </w:pPr>
      <w:r>
        <w:rPr>
          <w:rFonts w:hint="eastAsia" w:ascii="仿宋_GB2312" w:hAnsi="宋体" w:eastAsia="仿宋_GB2312" w:cs="宋体"/>
          <w:color w:val="000000"/>
          <w:sz w:val="32"/>
          <w:szCs w:val="32"/>
        </w:rPr>
        <w:t>本标准的制定与现有的标准及制定中的标准协调配套，无重复交叉现象。</w:t>
      </w:r>
    </w:p>
    <w:p w14:paraId="3406E990">
      <w:pPr>
        <w:spacing w:before="156" w:beforeLines="50" w:after="156" w:afterLines="50"/>
        <w:rPr>
          <w:rFonts w:ascii="仿宋_GB2312" w:hAnsi="宋体" w:eastAsia="仿宋_GB2312" w:cs="宋体"/>
          <w:color w:val="000000"/>
          <w:sz w:val="32"/>
          <w:szCs w:val="32"/>
        </w:rPr>
      </w:pPr>
      <w:r>
        <w:rPr>
          <w:rFonts w:hint="eastAsia" w:ascii="仿宋_GB2312" w:hAnsi="宋体" w:eastAsia="仿宋_GB2312" w:cs="宋体"/>
          <w:color w:val="000000"/>
          <w:sz w:val="32"/>
          <w:szCs w:val="32"/>
        </w:rPr>
        <w:t>6.4设计国内外专利及处置情况</w:t>
      </w:r>
    </w:p>
    <w:p w14:paraId="57A9E62E">
      <w:pPr>
        <w:spacing w:line="360" w:lineRule="auto"/>
        <w:ind w:firstLine="480"/>
        <w:rPr>
          <w:rFonts w:ascii="仿宋_GB2312" w:hAnsi="宋体" w:eastAsia="仿宋_GB2312" w:cs="宋体"/>
          <w:color w:val="000000"/>
          <w:sz w:val="32"/>
          <w:szCs w:val="32"/>
        </w:rPr>
      </w:pPr>
      <w:r>
        <w:rPr>
          <w:rFonts w:hint="eastAsia" w:ascii="仿宋_GB2312" w:hAnsi="宋体" w:eastAsia="仿宋_GB2312" w:cs="宋体"/>
          <w:color w:val="000000"/>
          <w:sz w:val="32"/>
          <w:szCs w:val="32"/>
        </w:rPr>
        <w:t>经查，本标准没有涉及国内外专利。</w:t>
      </w:r>
    </w:p>
    <w:p w14:paraId="0E3AEC7C">
      <w:pPr>
        <w:pStyle w:val="56"/>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七、与有关的现行法律、法规和强制性国家标准及相关标准协调配套情况</w:t>
      </w:r>
    </w:p>
    <w:p w14:paraId="176ED774">
      <w:pPr>
        <w:spacing w:line="360" w:lineRule="auto"/>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本标准的制定过程、技术指标的选定、检验项目的设置符合现行法律、法规和强制性国家标准的规定。</w:t>
      </w:r>
    </w:p>
    <w:p w14:paraId="419DD82C">
      <w:pPr>
        <w:pStyle w:val="56"/>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八、重大分歧意见的处理经过和依据</w:t>
      </w:r>
    </w:p>
    <w:p w14:paraId="7B06D915">
      <w:pPr>
        <w:spacing w:line="360" w:lineRule="auto"/>
        <w:ind w:firstLine="480"/>
        <w:rPr>
          <w:rFonts w:ascii="仿宋_GB2312" w:hAnsi="宋体" w:eastAsia="仿宋_GB2312" w:cs="宋体"/>
          <w:color w:val="000000"/>
          <w:sz w:val="32"/>
          <w:szCs w:val="32"/>
        </w:rPr>
      </w:pPr>
      <w:r>
        <w:rPr>
          <w:rFonts w:hint="eastAsia" w:ascii="仿宋_GB2312" w:hAnsi="宋体" w:eastAsia="仿宋_GB2312" w:cs="宋体"/>
          <w:color w:val="000000"/>
          <w:sz w:val="32"/>
          <w:szCs w:val="32"/>
        </w:rPr>
        <w:t>无。</w:t>
      </w:r>
    </w:p>
    <w:p w14:paraId="77C45D7B">
      <w:pPr>
        <w:pStyle w:val="56"/>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九、标准作为强制性或推荐性标准的建议</w:t>
      </w:r>
    </w:p>
    <w:p w14:paraId="5C138B44">
      <w:pPr>
        <w:spacing w:line="360" w:lineRule="auto"/>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建议该标准作为推荐性团体标准。</w:t>
      </w:r>
    </w:p>
    <w:p w14:paraId="7FAA26F1">
      <w:pPr>
        <w:pStyle w:val="56"/>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十、贯彻标准的要求和措施建议，包括（组织措施、技术措施、过渡办法）</w:t>
      </w:r>
    </w:p>
    <w:p w14:paraId="32925B1B">
      <w:pPr>
        <w:pStyle w:val="56"/>
        <w:numPr>
          <w:ilvl w:val="1"/>
          <w:numId w:val="0"/>
        </w:numPr>
        <w:spacing w:before="156" w:after="156"/>
        <w:ind w:leftChars="0"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由于本标准首次制定，没有</w:t>
      </w:r>
      <w:r>
        <w:rPr>
          <w:rFonts w:hint="eastAsia" w:ascii="仿宋_GB2312" w:hAnsi="宋体" w:eastAsia="仿宋_GB2312" w:cs="宋体"/>
          <w:color w:val="000000"/>
          <w:sz w:val="32"/>
          <w:szCs w:val="32"/>
          <w:lang w:val="en-US" w:eastAsia="zh-CN"/>
        </w:rPr>
        <w:t>特殊</w:t>
      </w:r>
      <w:r>
        <w:rPr>
          <w:rFonts w:hint="eastAsia" w:ascii="仿宋_GB2312" w:hAnsi="宋体" w:eastAsia="仿宋_GB2312" w:cs="宋体"/>
          <w:color w:val="000000"/>
          <w:sz w:val="32"/>
          <w:szCs w:val="32"/>
        </w:rPr>
        <w:t>要求。</w:t>
      </w:r>
    </w:p>
    <w:p w14:paraId="35E4CE26">
      <w:pPr>
        <w:pStyle w:val="56"/>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十一、废止现有有关标准的建议</w:t>
      </w:r>
    </w:p>
    <w:p w14:paraId="0C2E30F2">
      <w:pPr>
        <w:spacing w:line="360" w:lineRule="auto"/>
        <w:ind w:firstLine="48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无。</w:t>
      </w:r>
    </w:p>
    <w:p w14:paraId="42D507BE">
      <w:pPr>
        <w:spacing w:line="360" w:lineRule="auto"/>
        <w:rPr>
          <w:rFonts w:hint="eastAsia" w:ascii="仿宋_GB2312" w:hAnsi="宋体" w:eastAsia="仿宋_GB2312" w:cs="宋体"/>
          <w:color w:val="000000"/>
          <w:sz w:val="32"/>
          <w:szCs w:val="32"/>
        </w:rPr>
      </w:pPr>
    </w:p>
    <w:p w14:paraId="48482C18">
      <w:pPr>
        <w:pStyle w:val="26"/>
        <w:numPr>
          <w:ilvl w:val="255"/>
          <w:numId w:val="0"/>
        </w:numPr>
        <w:wordWrap/>
        <w:jc w:val="right"/>
        <w:rPr>
          <w:rFonts w:hint="eastAsia" w:ascii="仿宋" w:hAnsi="仿宋" w:eastAsia="仿宋" w:cs="仿宋"/>
          <w:kern w:val="0"/>
          <w:sz w:val="32"/>
          <w:szCs w:val="32"/>
          <w:highlight w:val="none"/>
        </w:rPr>
      </w:pPr>
    </w:p>
    <w:p w14:paraId="15AA6302">
      <w:pPr>
        <w:pStyle w:val="26"/>
        <w:numPr>
          <w:ilvl w:val="255"/>
          <w:numId w:val="0"/>
        </w:numPr>
        <w:wordWrap/>
        <w:jc w:val="righ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val="en-US" w:eastAsia="zh-CN"/>
        </w:rPr>
        <w:t>高纯液化特气用大容积钢质无缝气瓶技术规范</w:t>
      </w:r>
      <w:r>
        <w:rPr>
          <w:rFonts w:hint="eastAsia" w:ascii="仿宋" w:hAnsi="仿宋" w:eastAsia="仿宋" w:cs="仿宋"/>
          <w:kern w:val="0"/>
          <w:sz w:val="32"/>
          <w:szCs w:val="32"/>
          <w:highlight w:val="none"/>
        </w:rPr>
        <w:t>》</w:t>
      </w:r>
    </w:p>
    <w:p w14:paraId="1113CCFE">
      <w:pPr>
        <w:pStyle w:val="26"/>
        <w:numPr>
          <w:ilvl w:val="255"/>
          <w:numId w:val="0"/>
        </w:numPr>
        <w:wordWrap w:val="0"/>
        <w:jc w:val="center"/>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lang w:val="en-US" w:eastAsia="zh-CN"/>
        </w:rPr>
        <w:t xml:space="preserve">                             </w:t>
      </w:r>
      <w:r>
        <w:rPr>
          <w:rFonts w:hint="eastAsia" w:ascii="仿宋" w:hAnsi="仿宋" w:eastAsia="仿宋" w:cs="仿宋"/>
          <w:kern w:val="0"/>
          <w:sz w:val="32"/>
          <w:szCs w:val="32"/>
          <w:highlight w:val="none"/>
        </w:rPr>
        <w:t>团体标准起草组</w:t>
      </w:r>
    </w:p>
    <w:p w14:paraId="312BC785">
      <w:pPr>
        <w:pStyle w:val="26"/>
        <w:numPr>
          <w:ilvl w:val="255"/>
          <w:numId w:val="0"/>
        </w:numPr>
        <w:wordWrap w:val="0"/>
        <w:ind w:firstLine="5760" w:firstLineChars="1800"/>
        <w:jc w:val="both"/>
        <w:rPr>
          <w:rFonts w:ascii="仿宋" w:hAnsi="仿宋" w:eastAsia="仿宋" w:cs="仿宋"/>
          <w:color w:val="000000"/>
          <w:sz w:val="32"/>
          <w:szCs w:val="32"/>
          <w:highlight w:val="none"/>
        </w:rPr>
      </w:pPr>
      <w:r>
        <w:rPr>
          <w:rFonts w:hint="eastAsia" w:ascii="仿宋" w:hAnsi="仿宋" w:eastAsia="仿宋" w:cs="仿宋"/>
          <w:kern w:val="0"/>
          <w:sz w:val="32"/>
          <w:szCs w:val="32"/>
          <w:highlight w:val="none"/>
        </w:rPr>
        <w:t>202</w:t>
      </w:r>
      <w:r>
        <w:rPr>
          <w:rFonts w:hint="eastAsia" w:ascii="仿宋" w:hAnsi="仿宋" w:eastAsia="仿宋" w:cs="仿宋"/>
          <w:kern w:val="0"/>
          <w:sz w:val="32"/>
          <w:szCs w:val="32"/>
          <w:highlight w:val="none"/>
          <w:lang w:val="en-US" w:eastAsia="zh-CN"/>
        </w:rPr>
        <w:t>6</w:t>
      </w:r>
      <w:r>
        <w:rPr>
          <w:rFonts w:hint="eastAsia" w:ascii="仿宋" w:hAnsi="仿宋" w:eastAsia="仿宋" w:cs="仿宋"/>
          <w:kern w:val="0"/>
          <w:sz w:val="32"/>
          <w:szCs w:val="32"/>
          <w:highlight w:val="none"/>
        </w:rPr>
        <w:t>年</w:t>
      </w:r>
      <w:r>
        <w:rPr>
          <w:rFonts w:hint="eastAsia" w:ascii="仿宋" w:hAnsi="仿宋" w:eastAsia="仿宋" w:cs="仿宋"/>
          <w:kern w:val="0"/>
          <w:sz w:val="32"/>
          <w:szCs w:val="32"/>
          <w:highlight w:val="none"/>
          <w:lang w:val="en-US" w:eastAsia="zh-CN"/>
        </w:rPr>
        <w:t>7</w:t>
      </w:r>
      <w:r>
        <w:rPr>
          <w:rFonts w:hint="eastAsia" w:ascii="仿宋" w:hAnsi="仿宋" w:eastAsia="仿宋" w:cs="仿宋"/>
          <w:kern w:val="0"/>
          <w:sz w:val="32"/>
          <w:szCs w:val="32"/>
          <w:highlight w:val="none"/>
        </w:rPr>
        <w:t xml:space="preserve">月    </w:t>
      </w:r>
    </w:p>
    <w:sectPr>
      <w:footerReference r:id="rId4" w:type="default"/>
      <w:headerReference r:id="rId3" w:type="even"/>
      <w:footerReference r:id="rId5" w:type="even"/>
      <w:pgSz w:w="11906" w:h="16838"/>
      <w:pgMar w:top="1440" w:right="1800" w:bottom="1440" w:left="1800"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E5213">
    <w:pPr>
      <w:pStyle w:val="20"/>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48615">
    <w:pPr>
      <w:pStyle w:val="20"/>
      <w:ind w:firstLine="180" w:firstLineChars="100"/>
      <w:jc w:val="left"/>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B38AF">
    <w:pPr>
      <w:pStyle w:val="87"/>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D81ACD"/>
    <w:multiLevelType w:val="singleLevel"/>
    <w:tmpl w:val="F2D81ACD"/>
    <w:lvl w:ilvl="0" w:tentative="0">
      <w:start w:val="2"/>
      <w:numFmt w:val="chineseCounting"/>
      <w:suff w:val="nothing"/>
      <w:lvlText w:val="%1、"/>
      <w:lvlJc w:val="left"/>
      <w:rPr>
        <w:rFonts w:hint="eastAsia"/>
      </w:rPr>
    </w:lvl>
  </w:abstractNum>
  <w:abstractNum w:abstractNumId="1">
    <w:nsid w:val="FA49A52F"/>
    <w:multiLevelType w:val="singleLevel"/>
    <w:tmpl w:val="FA49A52F"/>
    <w:lvl w:ilvl="0" w:tentative="0">
      <w:start w:val="3"/>
      <w:numFmt w:val="decimal"/>
      <w:suff w:val="nothing"/>
      <w:lvlText w:val="%1、"/>
      <w:lvlJc w:val="left"/>
    </w:lvl>
  </w:abstractNum>
  <w:abstractNum w:abstractNumId="2">
    <w:nsid w:val="0F3812E5"/>
    <w:multiLevelType w:val="multilevel"/>
    <w:tmpl w:val="0F3812E5"/>
    <w:lvl w:ilvl="0" w:tentative="0">
      <w:start w:val="1"/>
      <w:numFmt w:val="none"/>
      <w:suff w:val="nothing"/>
      <w:lvlText w:val="%1"/>
      <w:lvlJc w:val="left"/>
      <w:pPr>
        <w:ind w:left="0" w:firstLine="0"/>
      </w:pPr>
      <w:rPr>
        <w:rFonts w:hint="eastAsia"/>
      </w:rPr>
    </w:lvl>
    <w:lvl w:ilvl="1" w:tentative="0">
      <w:start w:val="3"/>
      <w:numFmt w:val="decimal"/>
      <w:pStyle w:val="169"/>
      <w:suff w:val="nothing"/>
      <w:lvlText w:val="%1%2　"/>
      <w:lvlJc w:val="left"/>
      <w:pPr>
        <w:ind w:left="0" w:firstLine="0"/>
      </w:pPr>
      <w:rPr>
        <w:rFonts w:hint="default" w:ascii="黑体" w:eastAsia="黑体"/>
        <w:b w:val="0"/>
        <w:i w:val="0"/>
        <w:sz w:val="21"/>
      </w:rPr>
    </w:lvl>
    <w:lvl w:ilvl="2" w:tentative="0">
      <w:start w:val="1"/>
      <w:numFmt w:val="decimal"/>
      <w:pStyle w:val="168"/>
      <w:suff w:val="nothing"/>
      <w:lvlText w:val="%1%2.%3　"/>
      <w:lvlJc w:val="left"/>
      <w:pPr>
        <w:tabs>
          <w:tab w:val="left" w:pos="0"/>
        </w:tabs>
        <w:ind w:left="0" w:firstLine="0"/>
      </w:pPr>
      <w:rPr>
        <w:rFonts w:hint="default" w:ascii="黑体" w:hAnsi="Times New Roman" w:eastAsia="黑体" w:cs="Times New Roman"/>
        <w:b w:val="0"/>
        <w:bCs w:val="0"/>
        <w:i w:val="0"/>
        <w:iCs w:val="0"/>
        <w:caps w:val="0"/>
        <w:smallCaps w:val="0"/>
        <w:strike w:val="0"/>
        <w:dstrike w:val="0"/>
        <w:vanish w:val="0"/>
        <w:color w:val="000000"/>
        <w:spacing w:val="0"/>
        <w:kern w:val="0"/>
        <w:position w:val="0"/>
        <w:sz w:val="28"/>
        <w:szCs w:val="28"/>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1DBF583A"/>
    <w:multiLevelType w:val="multilevel"/>
    <w:tmpl w:val="1DBF583A"/>
    <w:lvl w:ilvl="0" w:tentative="0">
      <w:start w:val="1"/>
      <w:numFmt w:val="decimal"/>
      <w:pStyle w:val="101"/>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4">
    <w:nsid w:val="1FC91163"/>
    <w:multiLevelType w:val="multilevel"/>
    <w:tmpl w:val="1FC91163"/>
    <w:lvl w:ilvl="0" w:tentative="0">
      <w:start w:val="1"/>
      <w:numFmt w:val="decimal"/>
      <w:pStyle w:val="13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5"/>
      <w:suff w:val="nothing"/>
      <w:lvlText w:val="%1.%2.%3　"/>
      <w:lvlJc w:val="left"/>
      <w:pPr>
        <w:ind w:left="0" w:firstLine="0"/>
      </w:pPr>
      <w:rPr>
        <w:rFonts w:hint="eastAsia" w:ascii="黑体" w:hAnsi="Times New Roman" w:eastAsia="黑体"/>
        <w:b w:val="0"/>
        <w:i w:val="0"/>
        <w:sz w:val="21"/>
      </w:rPr>
    </w:lvl>
    <w:lvl w:ilvl="3" w:tentative="0">
      <w:start w:val="1"/>
      <w:numFmt w:val="decimal"/>
      <w:pStyle w:val="58"/>
      <w:suff w:val="nothing"/>
      <w:lvlText w:val="%1.%2.%3.%4　"/>
      <w:lvlJc w:val="left"/>
      <w:pPr>
        <w:ind w:left="283" w:firstLine="0"/>
      </w:pPr>
      <w:rPr>
        <w:rFonts w:hint="eastAsia" w:ascii="黑体" w:hAnsi="Times New Roman" w:eastAsia="黑体"/>
        <w:b w:val="0"/>
        <w:i w:val="0"/>
        <w:sz w:val="21"/>
      </w:rPr>
    </w:lvl>
    <w:lvl w:ilvl="4" w:tentative="0">
      <w:start w:val="1"/>
      <w:numFmt w:val="decimal"/>
      <w:pStyle w:val="91"/>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2A8F7113"/>
    <w:multiLevelType w:val="multilevel"/>
    <w:tmpl w:val="2A8F7113"/>
    <w:lvl w:ilvl="0" w:tentative="0">
      <w:start w:val="1"/>
      <w:numFmt w:val="upperLetter"/>
      <w:pStyle w:val="96"/>
      <w:suff w:val="space"/>
      <w:lvlText w:val="%1"/>
      <w:lvlJc w:val="left"/>
      <w:pPr>
        <w:ind w:left="623" w:hanging="425"/>
      </w:pPr>
      <w:rPr>
        <w:rFonts w:hint="eastAsia"/>
      </w:rPr>
    </w:lvl>
    <w:lvl w:ilvl="1" w:tentative="0">
      <w:start w:val="1"/>
      <w:numFmt w:val="decimal"/>
      <w:pStyle w:val="141"/>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6">
    <w:nsid w:val="2C5917C3"/>
    <w:multiLevelType w:val="multilevel"/>
    <w:tmpl w:val="2C5917C3"/>
    <w:lvl w:ilvl="0" w:tentative="0">
      <w:start w:val="1"/>
      <w:numFmt w:val="none"/>
      <w:pStyle w:val="132"/>
      <w:suff w:val="nothing"/>
      <w:lvlText w:val="%1——"/>
      <w:lvlJc w:val="left"/>
      <w:pPr>
        <w:ind w:left="833" w:hanging="408"/>
      </w:pPr>
      <w:rPr>
        <w:rFonts w:hint="eastAsia"/>
      </w:rPr>
    </w:lvl>
    <w:lvl w:ilvl="1" w:tentative="0">
      <w:start w:val="1"/>
      <w:numFmt w:val="bullet"/>
      <w:pStyle w:val="114"/>
      <w:lvlText w:val=""/>
      <w:lvlJc w:val="left"/>
      <w:pPr>
        <w:tabs>
          <w:tab w:val="left" w:pos="760"/>
        </w:tabs>
        <w:ind w:left="1264" w:hanging="413"/>
      </w:pPr>
      <w:rPr>
        <w:rFonts w:hint="default" w:ascii="Symbol" w:hAnsi="Symbol"/>
        <w:color w:val="auto"/>
      </w:rPr>
    </w:lvl>
    <w:lvl w:ilvl="2" w:tentative="0">
      <w:start w:val="1"/>
      <w:numFmt w:val="bullet"/>
      <w:pStyle w:val="105"/>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7">
    <w:nsid w:val="3D733618"/>
    <w:multiLevelType w:val="multilevel"/>
    <w:tmpl w:val="3D733618"/>
    <w:lvl w:ilvl="0" w:tentative="0">
      <w:start w:val="1"/>
      <w:numFmt w:val="decimal"/>
      <w:pStyle w:val="27"/>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8">
    <w:nsid w:val="44C50F90"/>
    <w:multiLevelType w:val="multilevel"/>
    <w:tmpl w:val="44C50F90"/>
    <w:lvl w:ilvl="0" w:tentative="0">
      <w:start w:val="1"/>
      <w:numFmt w:val="lowerLetter"/>
      <w:pStyle w:val="111"/>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2"/>
      <w:lvlText w:val="%2)"/>
      <w:lvlJc w:val="left"/>
      <w:pPr>
        <w:tabs>
          <w:tab w:val="left" w:pos="1260"/>
        </w:tabs>
        <w:ind w:left="1259" w:hanging="419"/>
      </w:pPr>
      <w:rPr>
        <w:rFonts w:hint="eastAsia"/>
      </w:rPr>
    </w:lvl>
    <w:lvl w:ilvl="2" w:tentative="0">
      <w:start w:val="1"/>
      <w:numFmt w:val="decimal"/>
      <w:pStyle w:val="130"/>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
    <w:nsid w:val="60B55DC2"/>
    <w:multiLevelType w:val="multilevel"/>
    <w:tmpl w:val="60B55DC2"/>
    <w:lvl w:ilvl="0" w:tentative="0">
      <w:start w:val="1"/>
      <w:numFmt w:val="upperLetter"/>
      <w:pStyle w:val="152"/>
      <w:lvlText w:val="%1"/>
      <w:lvlJc w:val="left"/>
      <w:pPr>
        <w:tabs>
          <w:tab w:val="left" w:pos="0"/>
        </w:tabs>
        <w:ind w:left="0" w:hanging="425"/>
      </w:pPr>
      <w:rPr>
        <w:rFonts w:hint="eastAsia"/>
      </w:rPr>
    </w:lvl>
    <w:lvl w:ilvl="1" w:tentative="0">
      <w:start w:val="1"/>
      <w:numFmt w:val="decimal"/>
      <w:pStyle w:val="97"/>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0">
    <w:nsid w:val="657D3FBC"/>
    <w:multiLevelType w:val="multilevel"/>
    <w:tmpl w:val="657D3FBC"/>
    <w:lvl w:ilvl="0" w:tentative="0">
      <w:start w:val="1"/>
      <w:numFmt w:val="upperLetter"/>
      <w:pStyle w:val="100"/>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6D6C07CD"/>
    <w:multiLevelType w:val="multilevel"/>
    <w:tmpl w:val="6D6C07CD"/>
    <w:lvl w:ilvl="0" w:tentative="0">
      <w:start w:val="1"/>
      <w:numFmt w:val="lowerLetter"/>
      <w:pStyle w:val="129"/>
      <w:lvlText w:val="%1)"/>
      <w:lvlJc w:val="left"/>
      <w:pPr>
        <w:tabs>
          <w:tab w:val="left" w:pos="839"/>
        </w:tabs>
        <w:ind w:left="839" w:hanging="419"/>
      </w:pPr>
      <w:rPr>
        <w:rFonts w:hint="eastAsia" w:ascii="宋体" w:eastAsia="宋体"/>
        <w:b w:val="0"/>
        <w:i w:val="0"/>
        <w:sz w:val="21"/>
      </w:rPr>
    </w:lvl>
    <w:lvl w:ilvl="1" w:tentative="0">
      <w:start w:val="1"/>
      <w:numFmt w:val="decimal"/>
      <w:pStyle w:val="8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7"/>
  </w:num>
  <w:num w:numId="2">
    <w:abstractNumId w:val="4"/>
  </w:num>
  <w:num w:numId="3">
    <w:abstractNumId w:val="10"/>
  </w:num>
  <w:num w:numId="4">
    <w:abstractNumId w:val="11"/>
  </w:num>
  <w:num w:numId="5">
    <w:abstractNumId w:val="5"/>
  </w:num>
  <w:num w:numId="6">
    <w:abstractNumId w:val="9"/>
  </w:num>
  <w:num w:numId="7">
    <w:abstractNumId w:val="3"/>
  </w:num>
  <w:num w:numId="8">
    <w:abstractNumId w:val="6"/>
  </w:num>
  <w:num w:numId="9">
    <w:abstractNumId w:val="8"/>
  </w:num>
  <w:num w:numId="10">
    <w:abstractNumId w:val="2"/>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removePersonalInformation/>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3OGJiOTVkZTA3ZGVkZWNiZTFjYzA0ZGYxNjRjZjUifQ=="/>
  </w:docVars>
  <w:rsids>
    <w:rsidRoot w:val="00650531"/>
    <w:rsid w:val="00000244"/>
    <w:rsid w:val="0000025A"/>
    <w:rsid w:val="0000185F"/>
    <w:rsid w:val="00002107"/>
    <w:rsid w:val="00002850"/>
    <w:rsid w:val="00002B97"/>
    <w:rsid w:val="000050B2"/>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2D8F"/>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0A8"/>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5B5"/>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4D9F"/>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1EDB"/>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BCF"/>
    <w:rsid w:val="00F075D1"/>
    <w:rsid w:val="00F11139"/>
    <w:rsid w:val="00F11296"/>
    <w:rsid w:val="00F11BB5"/>
    <w:rsid w:val="00F122E2"/>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260E98"/>
    <w:rsid w:val="018B718A"/>
    <w:rsid w:val="01927D66"/>
    <w:rsid w:val="01B22FF0"/>
    <w:rsid w:val="02057360"/>
    <w:rsid w:val="02194A13"/>
    <w:rsid w:val="02626557"/>
    <w:rsid w:val="02DA1673"/>
    <w:rsid w:val="036A76D3"/>
    <w:rsid w:val="03962305"/>
    <w:rsid w:val="03F9277D"/>
    <w:rsid w:val="042E630D"/>
    <w:rsid w:val="047459CF"/>
    <w:rsid w:val="04A037AB"/>
    <w:rsid w:val="04B769D7"/>
    <w:rsid w:val="04D4494D"/>
    <w:rsid w:val="0537491E"/>
    <w:rsid w:val="057B5C57"/>
    <w:rsid w:val="05904C71"/>
    <w:rsid w:val="059C64D5"/>
    <w:rsid w:val="05F23A3F"/>
    <w:rsid w:val="066162C0"/>
    <w:rsid w:val="06D74774"/>
    <w:rsid w:val="06EB3D51"/>
    <w:rsid w:val="071B7D16"/>
    <w:rsid w:val="07352AE7"/>
    <w:rsid w:val="07504EC1"/>
    <w:rsid w:val="07634114"/>
    <w:rsid w:val="07D4164E"/>
    <w:rsid w:val="083245C7"/>
    <w:rsid w:val="086452DB"/>
    <w:rsid w:val="089C18DA"/>
    <w:rsid w:val="08D5292B"/>
    <w:rsid w:val="094B2BCC"/>
    <w:rsid w:val="09D01CF6"/>
    <w:rsid w:val="0AC4273A"/>
    <w:rsid w:val="0AE4604C"/>
    <w:rsid w:val="0B243148"/>
    <w:rsid w:val="0B3D2AD9"/>
    <w:rsid w:val="0B536728"/>
    <w:rsid w:val="0BA13D85"/>
    <w:rsid w:val="0C122745"/>
    <w:rsid w:val="0C157BD6"/>
    <w:rsid w:val="0C1A784C"/>
    <w:rsid w:val="0C8D427D"/>
    <w:rsid w:val="0CD342B6"/>
    <w:rsid w:val="0DA9093F"/>
    <w:rsid w:val="0E290DBD"/>
    <w:rsid w:val="0E4D4CDF"/>
    <w:rsid w:val="0E8A2A67"/>
    <w:rsid w:val="0E9B6AB7"/>
    <w:rsid w:val="0F8B22AC"/>
    <w:rsid w:val="0F942BDE"/>
    <w:rsid w:val="0FED6A04"/>
    <w:rsid w:val="102A64CE"/>
    <w:rsid w:val="10F07A96"/>
    <w:rsid w:val="1132553A"/>
    <w:rsid w:val="116D7696"/>
    <w:rsid w:val="119500A0"/>
    <w:rsid w:val="11D95B65"/>
    <w:rsid w:val="11EF2883"/>
    <w:rsid w:val="11F36B75"/>
    <w:rsid w:val="12512550"/>
    <w:rsid w:val="12CD45BC"/>
    <w:rsid w:val="12CF6372"/>
    <w:rsid w:val="13F54E26"/>
    <w:rsid w:val="148D41AD"/>
    <w:rsid w:val="14CF174C"/>
    <w:rsid w:val="14E47D71"/>
    <w:rsid w:val="150A274F"/>
    <w:rsid w:val="153C0D7C"/>
    <w:rsid w:val="15483208"/>
    <w:rsid w:val="159B1B8F"/>
    <w:rsid w:val="15F97F17"/>
    <w:rsid w:val="162735CA"/>
    <w:rsid w:val="16C70262"/>
    <w:rsid w:val="16F84A8E"/>
    <w:rsid w:val="172D440A"/>
    <w:rsid w:val="173B6C95"/>
    <w:rsid w:val="178D48F7"/>
    <w:rsid w:val="189E24DB"/>
    <w:rsid w:val="18E11E1D"/>
    <w:rsid w:val="196E7664"/>
    <w:rsid w:val="198F7ACB"/>
    <w:rsid w:val="19C51C3C"/>
    <w:rsid w:val="19D4303C"/>
    <w:rsid w:val="1A2067E1"/>
    <w:rsid w:val="1A6A4539"/>
    <w:rsid w:val="1BCD48DA"/>
    <w:rsid w:val="1C056A2C"/>
    <w:rsid w:val="1C994529"/>
    <w:rsid w:val="1CFF27DF"/>
    <w:rsid w:val="1D0410D7"/>
    <w:rsid w:val="1D2F4832"/>
    <w:rsid w:val="1D5D45C4"/>
    <w:rsid w:val="1D697189"/>
    <w:rsid w:val="1DEE7BCD"/>
    <w:rsid w:val="1E2B3732"/>
    <w:rsid w:val="1E3C2C0B"/>
    <w:rsid w:val="1E3F091B"/>
    <w:rsid w:val="1EB06519"/>
    <w:rsid w:val="1EF32FF2"/>
    <w:rsid w:val="1F3A7C37"/>
    <w:rsid w:val="20022AF0"/>
    <w:rsid w:val="202A7BF8"/>
    <w:rsid w:val="20482782"/>
    <w:rsid w:val="20DF41FE"/>
    <w:rsid w:val="211B39F2"/>
    <w:rsid w:val="212E7BC9"/>
    <w:rsid w:val="2144119B"/>
    <w:rsid w:val="21DC5877"/>
    <w:rsid w:val="22061A13"/>
    <w:rsid w:val="222800C3"/>
    <w:rsid w:val="23290648"/>
    <w:rsid w:val="237D604C"/>
    <w:rsid w:val="238B7253"/>
    <w:rsid w:val="23BF6121"/>
    <w:rsid w:val="23FE39BD"/>
    <w:rsid w:val="24211C07"/>
    <w:rsid w:val="245F4818"/>
    <w:rsid w:val="24786C81"/>
    <w:rsid w:val="24816262"/>
    <w:rsid w:val="24B248A8"/>
    <w:rsid w:val="24D757B6"/>
    <w:rsid w:val="256D62F8"/>
    <w:rsid w:val="262F241A"/>
    <w:rsid w:val="266933D7"/>
    <w:rsid w:val="267E4497"/>
    <w:rsid w:val="268E3C87"/>
    <w:rsid w:val="26E94DE4"/>
    <w:rsid w:val="27AD772F"/>
    <w:rsid w:val="27D551EF"/>
    <w:rsid w:val="27FC37CC"/>
    <w:rsid w:val="281D5833"/>
    <w:rsid w:val="287348EA"/>
    <w:rsid w:val="288B02DF"/>
    <w:rsid w:val="2935321D"/>
    <w:rsid w:val="2A070FB7"/>
    <w:rsid w:val="2CE00993"/>
    <w:rsid w:val="2CF27B34"/>
    <w:rsid w:val="2D3E73E6"/>
    <w:rsid w:val="2D830B39"/>
    <w:rsid w:val="2D99286E"/>
    <w:rsid w:val="2E257B1B"/>
    <w:rsid w:val="2E4B20C4"/>
    <w:rsid w:val="2E4E23FE"/>
    <w:rsid w:val="2E677AE4"/>
    <w:rsid w:val="2E6B483B"/>
    <w:rsid w:val="2E8E6ECC"/>
    <w:rsid w:val="2EF75DDF"/>
    <w:rsid w:val="2F335142"/>
    <w:rsid w:val="308552DA"/>
    <w:rsid w:val="30C469DC"/>
    <w:rsid w:val="30CA5BDB"/>
    <w:rsid w:val="30E86825"/>
    <w:rsid w:val="318178A1"/>
    <w:rsid w:val="31E26BEB"/>
    <w:rsid w:val="335F00B6"/>
    <w:rsid w:val="33C346B6"/>
    <w:rsid w:val="33C34EFC"/>
    <w:rsid w:val="34CC177B"/>
    <w:rsid w:val="35946891"/>
    <w:rsid w:val="35AB7232"/>
    <w:rsid w:val="35D61655"/>
    <w:rsid w:val="362A1092"/>
    <w:rsid w:val="36461B5D"/>
    <w:rsid w:val="36AD56C5"/>
    <w:rsid w:val="36DC5408"/>
    <w:rsid w:val="37797999"/>
    <w:rsid w:val="37905325"/>
    <w:rsid w:val="387D1AEA"/>
    <w:rsid w:val="38822CFA"/>
    <w:rsid w:val="38E402E7"/>
    <w:rsid w:val="38E9737D"/>
    <w:rsid w:val="38F850C2"/>
    <w:rsid w:val="390D500F"/>
    <w:rsid w:val="393B42B2"/>
    <w:rsid w:val="39DA644F"/>
    <w:rsid w:val="39E73A42"/>
    <w:rsid w:val="3A186B09"/>
    <w:rsid w:val="3A5D3A88"/>
    <w:rsid w:val="3A6F11F3"/>
    <w:rsid w:val="3AAF1923"/>
    <w:rsid w:val="3AC950C9"/>
    <w:rsid w:val="3B0C28D2"/>
    <w:rsid w:val="3B3011F7"/>
    <w:rsid w:val="3B47283E"/>
    <w:rsid w:val="3B6561D5"/>
    <w:rsid w:val="3B963D3A"/>
    <w:rsid w:val="3B976570"/>
    <w:rsid w:val="3CD36411"/>
    <w:rsid w:val="3D4F499E"/>
    <w:rsid w:val="3D8739B6"/>
    <w:rsid w:val="3E500D27"/>
    <w:rsid w:val="3ED96E09"/>
    <w:rsid w:val="3F273070"/>
    <w:rsid w:val="3F575F4A"/>
    <w:rsid w:val="40624A0E"/>
    <w:rsid w:val="40657ACF"/>
    <w:rsid w:val="41233E23"/>
    <w:rsid w:val="41BF5866"/>
    <w:rsid w:val="41D4737F"/>
    <w:rsid w:val="41F16D17"/>
    <w:rsid w:val="42397461"/>
    <w:rsid w:val="42FB3CA3"/>
    <w:rsid w:val="43DB2C4A"/>
    <w:rsid w:val="4476626D"/>
    <w:rsid w:val="44A7686B"/>
    <w:rsid w:val="44B66A11"/>
    <w:rsid w:val="45126EB0"/>
    <w:rsid w:val="4539127E"/>
    <w:rsid w:val="4571647E"/>
    <w:rsid w:val="46037733"/>
    <w:rsid w:val="465D414E"/>
    <w:rsid w:val="46845B8C"/>
    <w:rsid w:val="46FB6942"/>
    <w:rsid w:val="470E0400"/>
    <w:rsid w:val="47303087"/>
    <w:rsid w:val="474B478B"/>
    <w:rsid w:val="47A550C1"/>
    <w:rsid w:val="47D74267"/>
    <w:rsid w:val="48120A86"/>
    <w:rsid w:val="48256D81"/>
    <w:rsid w:val="48895562"/>
    <w:rsid w:val="49187E48"/>
    <w:rsid w:val="496B4C67"/>
    <w:rsid w:val="499A4B7B"/>
    <w:rsid w:val="49D514FA"/>
    <w:rsid w:val="4A742353"/>
    <w:rsid w:val="4AB8769B"/>
    <w:rsid w:val="4ADD58CC"/>
    <w:rsid w:val="4B7342A7"/>
    <w:rsid w:val="4BE6053A"/>
    <w:rsid w:val="4C362B3D"/>
    <w:rsid w:val="4C73309C"/>
    <w:rsid w:val="4C813CAB"/>
    <w:rsid w:val="4CA47D11"/>
    <w:rsid w:val="4CE600FB"/>
    <w:rsid w:val="4CED47CD"/>
    <w:rsid w:val="4CF219AF"/>
    <w:rsid w:val="4D065771"/>
    <w:rsid w:val="4D0B0C3B"/>
    <w:rsid w:val="4D1602E1"/>
    <w:rsid w:val="4D190D53"/>
    <w:rsid w:val="4D430291"/>
    <w:rsid w:val="4DE052E3"/>
    <w:rsid w:val="4DE337D5"/>
    <w:rsid w:val="4E9D0E82"/>
    <w:rsid w:val="4ED400DC"/>
    <w:rsid w:val="4F1D47D7"/>
    <w:rsid w:val="4F6221DE"/>
    <w:rsid w:val="4FAE1D52"/>
    <w:rsid w:val="50BE4216"/>
    <w:rsid w:val="50BE68C4"/>
    <w:rsid w:val="52047523"/>
    <w:rsid w:val="53B37335"/>
    <w:rsid w:val="53EC3BAC"/>
    <w:rsid w:val="549A6186"/>
    <w:rsid w:val="55281DAF"/>
    <w:rsid w:val="55D66C88"/>
    <w:rsid w:val="566702F9"/>
    <w:rsid w:val="568B0C91"/>
    <w:rsid w:val="56975989"/>
    <w:rsid w:val="56DC7EC7"/>
    <w:rsid w:val="56E768AC"/>
    <w:rsid w:val="570975B4"/>
    <w:rsid w:val="576222A2"/>
    <w:rsid w:val="578F7888"/>
    <w:rsid w:val="57A53DBE"/>
    <w:rsid w:val="583166A5"/>
    <w:rsid w:val="58D05DE7"/>
    <w:rsid w:val="58FA1C02"/>
    <w:rsid w:val="592316E9"/>
    <w:rsid w:val="593E4146"/>
    <w:rsid w:val="59E0617E"/>
    <w:rsid w:val="59FE7432"/>
    <w:rsid w:val="5A3A490E"/>
    <w:rsid w:val="5A5F7132"/>
    <w:rsid w:val="5A790E13"/>
    <w:rsid w:val="5A9329EF"/>
    <w:rsid w:val="5B076365"/>
    <w:rsid w:val="5BAA161F"/>
    <w:rsid w:val="5C10118B"/>
    <w:rsid w:val="5C2A169D"/>
    <w:rsid w:val="5CA05EB7"/>
    <w:rsid w:val="5D963292"/>
    <w:rsid w:val="5DCD5B82"/>
    <w:rsid w:val="5DEA30CB"/>
    <w:rsid w:val="5DEF5A0F"/>
    <w:rsid w:val="5E420235"/>
    <w:rsid w:val="5E6C7D00"/>
    <w:rsid w:val="5EBE1A6C"/>
    <w:rsid w:val="5EFA28BD"/>
    <w:rsid w:val="5F340E12"/>
    <w:rsid w:val="5FC36A67"/>
    <w:rsid w:val="60116111"/>
    <w:rsid w:val="60B84EF1"/>
    <w:rsid w:val="613B66F7"/>
    <w:rsid w:val="61846885"/>
    <w:rsid w:val="61E37639"/>
    <w:rsid w:val="61E75027"/>
    <w:rsid w:val="61F4714D"/>
    <w:rsid w:val="6263198D"/>
    <w:rsid w:val="6298186E"/>
    <w:rsid w:val="62D559AF"/>
    <w:rsid w:val="634E0BFD"/>
    <w:rsid w:val="639C78BD"/>
    <w:rsid w:val="643653B8"/>
    <w:rsid w:val="645D37AF"/>
    <w:rsid w:val="646832B1"/>
    <w:rsid w:val="648B05D1"/>
    <w:rsid w:val="64CD1E40"/>
    <w:rsid w:val="64CE3BD1"/>
    <w:rsid w:val="65144950"/>
    <w:rsid w:val="65422D4F"/>
    <w:rsid w:val="656C6332"/>
    <w:rsid w:val="6615691A"/>
    <w:rsid w:val="662C7ADB"/>
    <w:rsid w:val="66551508"/>
    <w:rsid w:val="66E11A66"/>
    <w:rsid w:val="674C6DED"/>
    <w:rsid w:val="67770352"/>
    <w:rsid w:val="67AE2497"/>
    <w:rsid w:val="67C41CBB"/>
    <w:rsid w:val="67F86871"/>
    <w:rsid w:val="684318AA"/>
    <w:rsid w:val="69DD7EFB"/>
    <w:rsid w:val="6A3E7097"/>
    <w:rsid w:val="6A516F28"/>
    <w:rsid w:val="6A802926"/>
    <w:rsid w:val="6A88563D"/>
    <w:rsid w:val="6AB9187F"/>
    <w:rsid w:val="6B3D24B0"/>
    <w:rsid w:val="6B965E5B"/>
    <w:rsid w:val="6C2E10A7"/>
    <w:rsid w:val="6C9A5295"/>
    <w:rsid w:val="6CDE34BF"/>
    <w:rsid w:val="6D572222"/>
    <w:rsid w:val="6E5B2E86"/>
    <w:rsid w:val="6EB54BA2"/>
    <w:rsid w:val="6EBB4295"/>
    <w:rsid w:val="7045716D"/>
    <w:rsid w:val="704C5591"/>
    <w:rsid w:val="70B10931"/>
    <w:rsid w:val="718E48CE"/>
    <w:rsid w:val="71D76797"/>
    <w:rsid w:val="71EA249C"/>
    <w:rsid w:val="72576487"/>
    <w:rsid w:val="72996EE2"/>
    <w:rsid w:val="72DC06A1"/>
    <w:rsid w:val="73272C99"/>
    <w:rsid w:val="732857F3"/>
    <w:rsid w:val="73590446"/>
    <w:rsid w:val="73D47B1B"/>
    <w:rsid w:val="73E34BA4"/>
    <w:rsid w:val="73E57241"/>
    <w:rsid w:val="73E76BB2"/>
    <w:rsid w:val="7402551C"/>
    <w:rsid w:val="740B247D"/>
    <w:rsid w:val="743D4B16"/>
    <w:rsid w:val="75605DEF"/>
    <w:rsid w:val="7561536D"/>
    <w:rsid w:val="75E65458"/>
    <w:rsid w:val="75F705EE"/>
    <w:rsid w:val="762553A5"/>
    <w:rsid w:val="76276979"/>
    <w:rsid w:val="76A74C81"/>
    <w:rsid w:val="76AC5DF9"/>
    <w:rsid w:val="7758241F"/>
    <w:rsid w:val="784813C5"/>
    <w:rsid w:val="78775C06"/>
    <w:rsid w:val="78782D79"/>
    <w:rsid w:val="790F4618"/>
    <w:rsid w:val="791A798E"/>
    <w:rsid w:val="798006BC"/>
    <w:rsid w:val="79C25BC5"/>
    <w:rsid w:val="79DF5F38"/>
    <w:rsid w:val="7A86111E"/>
    <w:rsid w:val="7A8E3E47"/>
    <w:rsid w:val="7B223D6B"/>
    <w:rsid w:val="7C1728A9"/>
    <w:rsid w:val="7C260CFC"/>
    <w:rsid w:val="7CD76B5A"/>
    <w:rsid w:val="7CD90CCA"/>
    <w:rsid w:val="7D3905FD"/>
    <w:rsid w:val="7D453845"/>
    <w:rsid w:val="7D754A9C"/>
    <w:rsid w:val="7DDF2F52"/>
    <w:rsid w:val="7DE44C08"/>
    <w:rsid w:val="7E082795"/>
    <w:rsid w:val="7E520CE5"/>
    <w:rsid w:val="7F637BB3"/>
    <w:rsid w:val="7F8768A0"/>
    <w:rsid w:val="7F8A5242"/>
    <w:rsid w:val="7FF86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6"/>
    <w:basedOn w:val="1"/>
    <w:next w:val="1"/>
    <w:link w:val="161"/>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39">
    <w:name w:val="Default Paragraph Font"/>
    <w:autoRedefine/>
    <w:semiHidden/>
    <w:unhideWhenUsed/>
    <w:qFormat/>
    <w:uiPriority w:val="1"/>
  </w:style>
  <w:style w:type="table" w:default="1" w:styleId="37">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5">
    <w:name w:val="index 8"/>
    <w:basedOn w:val="1"/>
    <w:next w:val="1"/>
    <w:autoRedefine/>
    <w:qFormat/>
    <w:uiPriority w:val="0"/>
    <w:pPr>
      <w:ind w:left="1680" w:hanging="210"/>
      <w:jc w:val="left"/>
    </w:pPr>
    <w:rPr>
      <w:rFonts w:ascii="Calibri" w:hAnsi="Calibri"/>
      <w:sz w:val="20"/>
      <w:szCs w:val="20"/>
    </w:rPr>
  </w:style>
  <w:style w:type="paragraph" w:styleId="6">
    <w:name w:val="caption"/>
    <w:basedOn w:val="1"/>
    <w:next w:val="1"/>
    <w:autoRedefine/>
    <w:qFormat/>
    <w:uiPriority w:val="0"/>
    <w:pPr>
      <w:spacing w:before="152" w:after="160"/>
    </w:pPr>
    <w:rPr>
      <w:rFonts w:ascii="Arial" w:hAnsi="Arial" w:eastAsia="黑体" w:cs="Arial"/>
      <w:sz w:val="20"/>
      <w:szCs w:val="20"/>
    </w:rPr>
  </w:style>
  <w:style w:type="paragraph" w:styleId="7">
    <w:name w:val="index 5"/>
    <w:basedOn w:val="1"/>
    <w:next w:val="1"/>
    <w:autoRedefine/>
    <w:qFormat/>
    <w:uiPriority w:val="0"/>
    <w:pPr>
      <w:ind w:left="1050" w:hanging="210"/>
      <w:jc w:val="left"/>
    </w:pPr>
    <w:rPr>
      <w:rFonts w:ascii="Calibri" w:hAnsi="Calibri"/>
      <w:sz w:val="20"/>
      <w:szCs w:val="20"/>
    </w:rPr>
  </w:style>
  <w:style w:type="paragraph" w:styleId="8">
    <w:name w:val="Document Map"/>
    <w:basedOn w:val="1"/>
    <w:autoRedefine/>
    <w:semiHidden/>
    <w:qFormat/>
    <w:uiPriority w:val="0"/>
    <w:pPr>
      <w:shd w:val="clear" w:color="auto" w:fill="000080"/>
    </w:pPr>
  </w:style>
  <w:style w:type="paragraph" w:styleId="9">
    <w:name w:val="annotation text"/>
    <w:basedOn w:val="1"/>
    <w:autoRedefine/>
    <w:qFormat/>
    <w:uiPriority w:val="0"/>
    <w:pPr>
      <w:jc w:val="left"/>
    </w:pPr>
  </w:style>
  <w:style w:type="paragraph" w:styleId="10">
    <w:name w:val="index 6"/>
    <w:basedOn w:val="1"/>
    <w:next w:val="1"/>
    <w:autoRedefine/>
    <w:qFormat/>
    <w:uiPriority w:val="0"/>
    <w:pPr>
      <w:ind w:left="1260" w:hanging="210"/>
      <w:jc w:val="left"/>
    </w:pPr>
    <w:rPr>
      <w:rFonts w:ascii="Calibri" w:hAnsi="Calibri"/>
      <w:sz w:val="20"/>
      <w:szCs w:val="20"/>
    </w:rPr>
  </w:style>
  <w:style w:type="paragraph" w:styleId="11">
    <w:name w:val="Body Text"/>
    <w:basedOn w:val="1"/>
    <w:autoRedefine/>
    <w:semiHidden/>
    <w:unhideWhenUsed/>
    <w:qFormat/>
    <w:uiPriority w:val="99"/>
    <w:pPr>
      <w:spacing w:after="120"/>
    </w:pPr>
  </w:style>
  <w:style w:type="paragraph" w:styleId="12">
    <w:name w:val="index 4"/>
    <w:basedOn w:val="1"/>
    <w:next w:val="1"/>
    <w:autoRedefine/>
    <w:qFormat/>
    <w:uiPriority w:val="0"/>
    <w:pPr>
      <w:ind w:left="840" w:hanging="210"/>
      <w:jc w:val="left"/>
    </w:pPr>
    <w:rPr>
      <w:rFonts w:ascii="Calibri" w:hAnsi="Calibri"/>
      <w:sz w:val="20"/>
      <w:szCs w:val="20"/>
    </w:rPr>
  </w:style>
  <w:style w:type="paragraph" w:styleId="13">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4">
    <w:name w:val="toc 3"/>
    <w:basedOn w:val="1"/>
    <w:next w:val="1"/>
    <w:autoRedefine/>
    <w:qFormat/>
    <w:uiPriority w:val="39"/>
    <w:pPr>
      <w:tabs>
        <w:tab w:val="right" w:leader="dot" w:pos="9242"/>
      </w:tabs>
      <w:ind w:firstLine="1252" w:firstLineChars="100"/>
      <w:jc w:val="left"/>
    </w:pPr>
    <w:rPr>
      <w:rFonts w:ascii="宋体"/>
      <w:szCs w:val="21"/>
    </w:rPr>
  </w:style>
  <w:style w:type="paragraph" w:styleId="15">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16">
    <w:name w:val="index 3"/>
    <w:basedOn w:val="1"/>
    <w:next w:val="1"/>
    <w:autoRedefine/>
    <w:qFormat/>
    <w:uiPriority w:val="0"/>
    <w:pPr>
      <w:ind w:left="630" w:hanging="210"/>
      <w:jc w:val="left"/>
    </w:pPr>
    <w:rPr>
      <w:rFonts w:ascii="Calibri" w:hAnsi="Calibri"/>
      <w:sz w:val="20"/>
      <w:szCs w:val="20"/>
    </w:rPr>
  </w:style>
  <w:style w:type="paragraph" w:styleId="17">
    <w:name w:val="Body Text Indent 2"/>
    <w:basedOn w:val="1"/>
    <w:link w:val="164"/>
    <w:autoRedefine/>
    <w:unhideWhenUsed/>
    <w:qFormat/>
    <w:uiPriority w:val="99"/>
    <w:pPr>
      <w:spacing w:after="120" w:line="480" w:lineRule="auto"/>
      <w:ind w:left="420" w:leftChars="200"/>
      <w:jc w:val="left"/>
    </w:pPr>
    <w:rPr>
      <w:rFonts w:eastAsia="PMingLiU-ExtB"/>
      <w:sz w:val="24"/>
      <w:lang w:eastAsia="zh-TW"/>
    </w:rPr>
  </w:style>
  <w:style w:type="paragraph" w:styleId="18">
    <w:name w:val="endnote text"/>
    <w:basedOn w:val="1"/>
    <w:autoRedefine/>
    <w:semiHidden/>
    <w:qFormat/>
    <w:uiPriority w:val="0"/>
    <w:pPr>
      <w:snapToGrid w:val="0"/>
      <w:jc w:val="left"/>
    </w:pPr>
  </w:style>
  <w:style w:type="paragraph" w:styleId="19">
    <w:name w:val="Balloon Text"/>
    <w:basedOn w:val="1"/>
    <w:autoRedefine/>
    <w:semiHidden/>
    <w:qFormat/>
    <w:uiPriority w:val="0"/>
    <w:rPr>
      <w:sz w:val="18"/>
      <w:szCs w:val="18"/>
    </w:rPr>
  </w:style>
  <w:style w:type="paragraph" w:styleId="20">
    <w:name w:val="footer"/>
    <w:basedOn w:val="1"/>
    <w:link w:val="162"/>
    <w:autoRedefine/>
    <w:qFormat/>
    <w:uiPriority w:val="99"/>
    <w:pPr>
      <w:snapToGrid w:val="0"/>
      <w:ind w:right="210" w:rightChars="100"/>
      <w:jc w:val="right"/>
    </w:pPr>
    <w:rPr>
      <w:sz w:val="18"/>
      <w:szCs w:val="18"/>
    </w:rPr>
  </w:style>
  <w:style w:type="paragraph" w:styleId="21">
    <w:name w:val="header"/>
    <w:basedOn w:val="1"/>
    <w:link w:val="59"/>
    <w:autoRedefine/>
    <w:qFormat/>
    <w:uiPriority w:val="99"/>
    <w:pPr>
      <w:snapToGrid w:val="0"/>
      <w:jc w:val="left"/>
    </w:pPr>
    <w:rPr>
      <w:sz w:val="18"/>
      <w:szCs w:val="18"/>
    </w:rPr>
  </w:style>
  <w:style w:type="paragraph" w:styleId="22">
    <w:name w:val="toc 1"/>
    <w:basedOn w:val="1"/>
    <w:next w:val="1"/>
    <w:autoRedefine/>
    <w:qFormat/>
    <w:uiPriority w:val="39"/>
    <w:pPr>
      <w:tabs>
        <w:tab w:val="right" w:leader="dot" w:pos="9242"/>
      </w:tabs>
      <w:spacing w:beforeLines="25" w:afterLines="25"/>
      <w:jc w:val="left"/>
    </w:pPr>
    <w:rPr>
      <w:rFonts w:ascii="宋体"/>
      <w:szCs w:val="21"/>
    </w:rPr>
  </w:style>
  <w:style w:type="paragraph" w:styleId="23">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4">
    <w:name w:val="index heading"/>
    <w:basedOn w:val="1"/>
    <w:next w:val="25"/>
    <w:autoRedefine/>
    <w:qFormat/>
    <w:uiPriority w:val="0"/>
    <w:pPr>
      <w:spacing w:before="120" w:after="120"/>
      <w:jc w:val="center"/>
    </w:pPr>
    <w:rPr>
      <w:rFonts w:ascii="Calibri" w:hAnsi="Calibri"/>
      <w:b/>
      <w:bCs/>
      <w:iCs/>
      <w:szCs w:val="20"/>
    </w:rPr>
  </w:style>
  <w:style w:type="paragraph" w:styleId="25">
    <w:name w:val="index 1"/>
    <w:basedOn w:val="1"/>
    <w:next w:val="26"/>
    <w:autoRedefine/>
    <w:qFormat/>
    <w:uiPriority w:val="0"/>
    <w:pPr>
      <w:tabs>
        <w:tab w:val="right" w:leader="dot" w:pos="9299"/>
      </w:tabs>
      <w:jc w:val="left"/>
    </w:pPr>
    <w:rPr>
      <w:rFonts w:ascii="宋体"/>
      <w:szCs w:val="21"/>
    </w:rPr>
  </w:style>
  <w:style w:type="paragraph" w:customStyle="1" w:styleId="26">
    <w:name w:val="段"/>
    <w:link w:val="64"/>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7">
    <w:name w:val="footnote text"/>
    <w:basedOn w:val="1"/>
    <w:autoRedefine/>
    <w:qFormat/>
    <w:uiPriority w:val="0"/>
    <w:pPr>
      <w:numPr>
        <w:ilvl w:val="0"/>
        <w:numId w:val="1"/>
      </w:numPr>
      <w:snapToGrid w:val="0"/>
      <w:jc w:val="left"/>
    </w:pPr>
    <w:rPr>
      <w:rFonts w:ascii="宋体"/>
      <w:sz w:val="18"/>
      <w:szCs w:val="18"/>
    </w:rPr>
  </w:style>
  <w:style w:type="paragraph" w:styleId="28">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29">
    <w:name w:val="index 7"/>
    <w:basedOn w:val="1"/>
    <w:next w:val="1"/>
    <w:autoRedefine/>
    <w:qFormat/>
    <w:uiPriority w:val="0"/>
    <w:pPr>
      <w:ind w:left="1470" w:hanging="210"/>
      <w:jc w:val="left"/>
    </w:pPr>
    <w:rPr>
      <w:rFonts w:ascii="Calibri" w:hAnsi="Calibri"/>
      <w:sz w:val="20"/>
      <w:szCs w:val="20"/>
    </w:rPr>
  </w:style>
  <w:style w:type="paragraph" w:styleId="30">
    <w:name w:val="index 9"/>
    <w:basedOn w:val="1"/>
    <w:next w:val="1"/>
    <w:autoRedefine/>
    <w:qFormat/>
    <w:uiPriority w:val="0"/>
    <w:pPr>
      <w:ind w:left="1890" w:hanging="210"/>
      <w:jc w:val="left"/>
    </w:pPr>
    <w:rPr>
      <w:rFonts w:ascii="Calibri" w:hAnsi="Calibri"/>
      <w:sz w:val="20"/>
      <w:szCs w:val="20"/>
    </w:rPr>
  </w:style>
  <w:style w:type="paragraph" w:styleId="31">
    <w:name w:val="toc 2"/>
    <w:basedOn w:val="1"/>
    <w:next w:val="1"/>
    <w:autoRedefine/>
    <w:qFormat/>
    <w:uiPriority w:val="39"/>
    <w:pPr>
      <w:tabs>
        <w:tab w:val="right" w:leader="dot" w:pos="9242"/>
      </w:tabs>
    </w:pPr>
    <w:rPr>
      <w:rFonts w:ascii="宋体"/>
      <w:szCs w:val="21"/>
    </w:rPr>
  </w:style>
  <w:style w:type="paragraph" w:styleId="32">
    <w:name w:val="toc 9"/>
    <w:basedOn w:val="1"/>
    <w:next w:val="1"/>
    <w:autoRedefine/>
    <w:semiHidden/>
    <w:qFormat/>
    <w:uiPriority w:val="0"/>
    <w:pPr>
      <w:ind w:left="1470"/>
      <w:jc w:val="left"/>
    </w:pPr>
    <w:rPr>
      <w:sz w:val="20"/>
      <w:szCs w:val="20"/>
    </w:rPr>
  </w:style>
  <w:style w:type="paragraph" w:styleId="33">
    <w:name w:val="Normal (Web)"/>
    <w:basedOn w:val="1"/>
    <w:autoRedefine/>
    <w:qFormat/>
    <w:uiPriority w:val="0"/>
    <w:pPr>
      <w:spacing w:beforeAutospacing="1" w:afterAutospacing="1"/>
      <w:jc w:val="left"/>
    </w:pPr>
    <w:rPr>
      <w:kern w:val="0"/>
      <w:sz w:val="24"/>
    </w:rPr>
  </w:style>
  <w:style w:type="paragraph" w:styleId="34">
    <w:name w:val="index 2"/>
    <w:basedOn w:val="1"/>
    <w:next w:val="1"/>
    <w:autoRedefine/>
    <w:qFormat/>
    <w:uiPriority w:val="0"/>
    <w:pPr>
      <w:ind w:left="420" w:hanging="210"/>
      <w:jc w:val="left"/>
    </w:pPr>
    <w:rPr>
      <w:rFonts w:ascii="Calibri" w:hAnsi="Calibri"/>
      <w:sz w:val="20"/>
      <w:szCs w:val="20"/>
    </w:rPr>
  </w:style>
  <w:style w:type="paragraph" w:styleId="35">
    <w:name w:val="annotation subject"/>
    <w:basedOn w:val="9"/>
    <w:next w:val="9"/>
    <w:autoRedefine/>
    <w:semiHidden/>
    <w:qFormat/>
    <w:uiPriority w:val="0"/>
    <w:rPr>
      <w:b/>
      <w:bCs/>
    </w:rPr>
  </w:style>
  <w:style w:type="paragraph" w:styleId="36">
    <w:name w:val="Body Text First Indent"/>
    <w:basedOn w:val="11"/>
    <w:autoRedefine/>
    <w:qFormat/>
    <w:uiPriority w:val="0"/>
    <w:pPr>
      <w:ind w:firstLine="420" w:firstLineChars="100"/>
    </w:pPr>
  </w:style>
  <w:style w:type="table" w:styleId="38">
    <w:name w:val="Table Grid"/>
    <w:basedOn w:val="37"/>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0">
    <w:name w:val="Strong"/>
    <w:basedOn w:val="39"/>
    <w:autoRedefine/>
    <w:qFormat/>
    <w:uiPriority w:val="0"/>
    <w:rPr>
      <w:b/>
    </w:rPr>
  </w:style>
  <w:style w:type="character" w:styleId="41">
    <w:name w:val="endnote reference"/>
    <w:autoRedefine/>
    <w:semiHidden/>
    <w:qFormat/>
    <w:uiPriority w:val="0"/>
    <w:rPr>
      <w:vertAlign w:val="superscript"/>
    </w:rPr>
  </w:style>
  <w:style w:type="character" w:styleId="42">
    <w:name w:val="page number"/>
    <w:autoRedefine/>
    <w:qFormat/>
    <w:uiPriority w:val="0"/>
    <w:rPr>
      <w:rFonts w:ascii="Times New Roman" w:hAnsi="Times New Roman" w:eastAsia="宋体"/>
      <w:sz w:val="18"/>
    </w:rPr>
  </w:style>
  <w:style w:type="character" w:styleId="43">
    <w:name w:val="FollowedHyperlink"/>
    <w:autoRedefine/>
    <w:qFormat/>
    <w:uiPriority w:val="0"/>
    <w:rPr>
      <w:color w:val="800080"/>
      <w:u w:val="single"/>
    </w:rPr>
  </w:style>
  <w:style w:type="character" w:styleId="44">
    <w:name w:val="Emphasis"/>
    <w:autoRedefine/>
    <w:qFormat/>
    <w:uiPriority w:val="20"/>
    <w:rPr>
      <w:i/>
      <w:iCs/>
    </w:rPr>
  </w:style>
  <w:style w:type="character" w:styleId="45">
    <w:name w:val="Hyperlink"/>
    <w:autoRedefine/>
    <w:qFormat/>
    <w:uiPriority w:val="99"/>
    <w:rPr>
      <w:color w:val="0000FF"/>
      <w:spacing w:val="0"/>
      <w:w w:val="100"/>
      <w:szCs w:val="21"/>
      <w:u w:val="single"/>
    </w:rPr>
  </w:style>
  <w:style w:type="character" w:styleId="46">
    <w:name w:val="annotation reference"/>
    <w:autoRedefine/>
    <w:semiHidden/>
    <w:qFormat/>
    <w:uiPriority w:val="0"/>
    <w:rPr>
      <w:sz w:val="21"/>
      <w:szCs w:val="21"/>
    </w:rPr>
  </w:style>
  <w:style w:type="character" w:styleId="47">
    <w:name w:val="footnote reference"/>
    <w:autoRedefine/>
    <w:semiHidden/>
    <w:qFormat/>
    <w:uiPriority w:val="0"/>
    <w:rPr>
      <w:vertAlign w:val="superscript"/>
    </w:rPr>
  </w:style>
  <w:style w:type="paragraph" w:styleId="48">
    <w:name w:val="List Paragraph"/>
    <w:basedOn w:val="1"/>
    <w:autoRedefine/>
    <w:qFormat/>
    <w:uiPriority w:val="34"/>
    <w:pPr>
      <w:ind w:firstLine="420" w:firstLineChars="200"/>
    </w:pPr>
  </w:style>
  <w:style w:type="character" w:styleId="49">
    <w:name w:val="Placeholder Text"/>
    <w:autoRedefine/>
    <w:semiHidden/>
    <w:qFormat/>
    <w:uiPriority w:val="99"/>
    <w:rPr>
      <w:color w:val="808080"/>
    </w:rPr>
  </w:style>
  <w:style w:type="character" w:customStyle="1" w:styleId="50">
    <w:name w:val="font531"/>
    <w:autoRedefine/>
    <w:qFormat/>
    <w:uiPriority w:val="0"/>
    <w:rPr>
      <w:rFonts w:hint="default" w:ascii="Arial" w:hAnsi="Arial" w:cs="Arial"/>
      <w:color w:val="000000"/>
      <w:sz w:val="24"/>
      <w:szCs w:val="24"/>
      <w:u w:val="none"/>
    </w:rPr>
  </w:style>
  <w:style w:type="character" w:customStyle="1" w:styleId="51">
    <w:name w:val="首示例 Char"/>
    <w:link w:val="52"/>
    <w:autoRedefine/>
    <w:qFormat/>
    <w:uiPriority w:val="0"/>
    <w:rPr>
      <w:rFonts w:ascii="宋体" w:hAnsi="宋体"/>
      <w:kern w:val="2"/>
      <w:sz w:val="18"/>
      <w:szCs w:val="18"/>
      <w:lang w:val="en-US" w:eastAsia="zh-CN" w:bidi="ar-SA"/>
    </w:rPr>
  </w:style>
  <w:style w:type="paragraph" w:customStyle="1" w:styleId="52">
    <w:name w:val="首示例"/>
    <w:next w:val="26"/>
    <w:link w:val="51"/>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3">
    <w:name w:val="font451"/>
    <w:autoRedefine/>
    <w:qFormat/>
    <w:uiPriority w:val="0"/>
    <w:rPr>
      <w:rFonts w:hint="eastAsia" w:ascii="等线" w:hAnsi="等线" w:eastAsia="等线"/>
      <w:color w:val="000000"/>
      <w:sz w:val="22"/>
      <w:szCs w:val="22"/>
      <w:u w:val="none"/>
    </w:rPr>
  </w:style>
  <w:style w:type="character" w:customStyle="1" w:styleId="54">
    <w:name w:val="二级条标题 Char"/>
    <w:link w:val="55"/>
    <w:autoRedefine/>
    <w:qFormat/>
    <w:locked/>
    <w:uiPriority w:val="0"/>
    <w:rPr>
      <w:rFonts w:ascii="黑体" w:eastAsia="黑体"/>
      <w:sz w:val="21"/>
      <w:szCs w:val="21"/>
    </w:rPr>
  </w:style>
  <w:style w:type="paragraph" w:customStyle="1" w:styleId="55">
    <w:name w:val="二级条标题"/>
    <w:basedOn w:val="56"/>
    <w:next w:val="26"/>
    <w:link w:val="54"/>
    <w:autoRedefine/>
    <w:qFormat/>
    <w:uiPriority w:val="0"/>
    <w:pPr>
      <w:numPr>
        <w:ilvl w:val="2"/>
      </w:numPr>
      <w:spacing w:before="50" w:after="50"/>
      <w:ind w:left="1843"/>
      <w:outlineLvl w:val="3"/>
    </w:pPr>
  </w:style>
  <w:style w:type="paragraph" w:customStyle="1" w:styleId="56">
    <w:name w:val="一级条标题"/>
    <w:next w:val="1"/>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57">
    <w:name w:val="三级条标题 Char"/>
    <w:link w:val="58"/>
    <w:autoRedefine/>
    <w:qFormat/>
    <w:uiPriority w:val="0"/>
    <w:rPr>
      <w:rFonts w:ascii="黑体" w:eastAsia="黑体"/>
      <w:sz w:val="21"/>
      <w:szCs w:val="21"/>
    </w:rPr>
  </w:style>
  <w:style w:type="paragraph" w:customStyle="1" w:styleId="58">
    <w:name w:val="三级条标题"/>
    <w:basedOn w:val="55"/>
    <w:next w:val="26"/>
    <w:link w:val="57"/>
    <w:autoRedefine/>
    <w:qFormat/>
    <w:uiPriority w:val="0"/>
    <w:pPr>
      <w:numPr>
        <w:ilvl w:val="3"/>
      </w:numPr>
      <w:outlineLvl w:val="4"/>
    </w:pPr>
  </w:style>
  <w:style w:type="character" w:customStyle="1" w:styleId="59">
    <w:name w:val="页眉 字符"/>
    <w:link w:val="21"/>
    <w:autoRedefine/>
    <w:qFormat/>
    <w:uiPriority w:val="99"/>
    <w:rPr>
      <w:kern w:val="2"/>
      <w:sz w:val="18"/>
      <w:szCs w:val="18"/>
    </w:rPr>
  </w:style>
  <w:style w:type="character" w:customStyle="1" w:styleId="60">
    <w:name w:val="样式1 字符"/>
    <w:link w:val="61"/>
    <w:autoRedefine/>
    <w:qFormat/>
    <w:uiPriority w:val="0"/>
    <w:rPr>
      <w:rFonts w:ascii="Cambria Math" w:hAnsi="Cambria Math"/>
      <w:i/>
      <w:sz w:val="28"/>
      <w:szCs w:val="28"/>
      <w:lang w:val="en-US" w:eastAsia="zh-CN" w:bidi="ar-SA"/>
    </w:rPr>
  </w:style>
  <w:style w:type="paragraph" w:customStyle="1" w:styleId="61">
    <w:name w:val="样式1"/>
    <w:basedOn w:val="62"/>
    <w:link w:val="60"/>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2">
    <w:name w:val="附录公式"/>
    <w:basedOn w:val="26"/>
    <w:next w:val="26"/>
    <w:link w:val="63"/>
    <w:autoRedefine/>
    <w:qFormat/>
    <w:uiPriority w:val="0"/>
  </w:style>
  <w:style w:type="character" w:customStyle="1" w:styleId="63">
    <w:name w:val="附录公式 Char"/>
    <w:link w:val="62"/>
    <w:autoRedefine/>
    <w:qFormat/>
    <w:uiPriority w:val="0"/>
    <w:rPr>
      <w:rFonts w:ascii="宋体"/>
      <w:sz w:val="21"/>
      <w:lang w:val="en-US" w:eastAsia="zh-CN" w:bidi="ar-SA"/>
    </w:rPr>
  </w:style>
  <w:style w:type="character" w:customStyle="1" w:styleId="64">
    <w:name w:val="段 Char"/>
    <w:link w:val="26"/>
    <w:autoRedefine/>
    <w:qFormat/>
    <w:uiPriority w:val="0"/>
    <w:rPr>
      <w:rFonts w:ascii="宋体"/>
      <w:sz w:val="21"/>
      <w:lang w:val="en-US" w:eastAsia="zh-CN" w:bidi="ar-SA"/>
    </w:rPr>
  </w:style>
  <w:style w:type="character" w:customStyle="1" w:styleId="65">
    <w:name w:val="font441"/>
    <w:autoRedefine/>
    <w:qFormat/>
    <w:uiPriority w:val="0"/>
    <w:rPr>
      <w:rFonts w:hint="eastAsia" w:ascii="等线" w:hAnsi="等线" w:eastAsia="等线"/>
      <w:color w:val="000000"/>
      <w:sz w:val="24"/>
      <w:szCs w:val="24"/>
      <w:u w:val="none"/>
    </w:rPr>
  </w:style>
  <w:style w:type="character" w:customStyle="1" w:styleId="66">
    <w:name w:val="font541"/>
    <w:autoRedefine/>
    <w:qFormat/>
    <w:uiPriority w:val="0"/>
    <w:rPr>
      <w:rFonts w:hint="default" w:ascii="Arial" w:hAnsi="Arial" w:cs="Arial"/>
      <w:color w:val="000000"/>
      <w:sz w:val="22"/>
      <w:szCs w:val="22"/>
      <w:u w:val="none"/>
    </w:rPr>
  </w:style>
  <w:style w:type="character" w:customStyle="1" w:styleId="67">
    <w:name w:val="发布"/>
    <w:autoRedefine/>
    <w:qFormat/>
    <w:uiPriority w:val="0"/>
    <w:rPr>
      <w:rFonts w:ascii="黑体" w:eastAsia="黑体"/>
      <w:spacing w:val="85"/>
      <w:w w:val="100"/>
      <w:position w:val="3"/>
      <w:sz w:val="28"/>
      <w:szCs w:val="28"/>
    </w:rPr>
  </w:style>
  <w:style w:type="character" w:customStyle="1" w:styleId="68">
    <w:name w:val="apple-style-span"/>
    <w:autoRedefine/>
    <w:qFormat/>
    <w:uiPriority w:val="0"/>
  </w:style>
  <w:style w:type="paragraph" w:customStyle="1" w:styleId="69">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0">
    <w:name w:val="参考文献"/>
    <w:basedOn w:val="1"/>
    <w:next w:val="26"/>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1">
    <w:name w:val="附录五级无"/>
    <w:basedOn w:val="72"/>
    <w:autoRedefine/>
    <w:qFormat/>
    <w:uiPriority w:val="0"/>
    <w:pPr>
      <w:spacing w:beforeLines="0" w:afterLines="0"/>
    </w:pPr>
    <w:rPr>
      <w:rFonts w:ascii="宋体" w:eastAsia="宋体"/>
      <w:szCs w:val="21"/>
    </w:rPr>
  </w:style>
  <w:style w:type="paragraph" w:customStyle="1" w:styleId="72">
    <w:name w:val="附录五级条标题"/>
    <w:basedOn w:val="73"/>
    <w:next w:val="26"/>
    <w:autoRedefine/>
    <w:qFormat/>
    <w:uiPriority w:val="0"/>
    <w:pPr>
      <w:outlineLvl w:val="6"/>
    </w:pPr>
  </w:style>
  <w:style w:type="paragraph" w:customStyle="1" w:styleId="73">
    <w:name w:val="附录四级条标题"/>
    <w:basedOn w:val="74"/>
    <w:next w:val="26"/>
    <w:autoRedefine/>
    <w:qFormat/>
    <w:uiPriority w:val="0"/>
    <w:pPr>
      <w:outlineLvl w:val="5"/>
    </w:pPr>
  </w:style>
  <w:style w:type="paragraph" w:customStyle="1" w:styleId="74">
    <w:name w:val="附录三级条标题"/>
    <w:basedOn w:val="75"/>
    <w:next w:val="26"/>
    <w:autoRedefine/>
    <w:qFormat/>
    <w:uiPriority w:val="0"/>
    <w:pPr>
      <w:outlineLvl w:val="4"/>
    </w:pPr>
  </w:style>
  <w:style w:type="paragraph" w:customStyle="1" w:styleId="75">
    <w:name w:val="附录二级条标题"/>
    <w:basedOn w:val="1"/>
    <w:next w:val="26"/>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76">
    <w:name w:val="附录标题"/>
    <w:basedOn w:val="26"/>
    <w:next w:val="26"/>
    <w:autoRedefine/>
    <w:qFormat/>
    <w:uiPriority w:val="0"/>
    <w:pPr>
      <w:ind w:firstLine="0" w:firstLineChars="0"/>
      <w:jc w:val="center"/>
    </w:pPr>
    <w:rPr>
      <w:rFonts w:ascii="黑体" w:eastAsia="黑体"/>
    </w:rPr>
  </w:style>
  <w:style w:type="paragraph" w:customStyle="1" w:styleId="77">
    <w:name w:val="注：（正文）"/>
    <w:basedOn w:val="78"/>
    <w:next w:val="26"/>
    <w:autoRedefine/>
    <w:qFormat/>
    <w:uiPriority w:val="0"/>
  </w:style>
  <w:style w:type="paragraph" w:customStyle="1" w:styleId="78">
    <w:name w:val="注："/>
    <w:next w:val="26"/>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79">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0">
    <w:name w:val="附录一级无"/>
    <w:basedOn w:val="81"/>
    <w:autoRedefine/>
    <w:qFormat/>
    <w:uiPriority w:val="0"/>
    <w:pPr>
      <w:spacing w:beforeLines="0" w:afterLines="0"/>
    </w:pPr>
    <w:rPr>
      <w:rFonts w:ascii="宋体" w:eastAsia="宋体"/>
      <w:szCs w:val="21"/>
    </w:rPr>
  </w:style>
  <w:style w:type="paragraph" w:customStyle="1" w:styleId="81">
    <w:name w:val="附录一级条标题"/>
    <w:basedOn w:val="82"/>
    <w:next w:val="26"/>
    <w:autoRedefine/>
    <w:qFormat/>
    <w:uiPriority w:val="0"/>
    <w:pPr>
      <w:numPr>
        <w:ilvl w:val="0"/>
        <w:numId w:val="0"/>
      </w:numPr>
      <w:autoSpaceDN w:val="0"/>
      <w:spacing w:beforeLines="50" w:afterLines="50"/>
      <w:outlineLvl w:val="2"/>
    </w:pPr>
  </w:style>
  <w:style w:type="paragraph" w:customStyle="1" w:styleId="82">
    <w:name w:val="附录章标题"/>
    <w:next w:val="26"/>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3">
    <w:name w:val="附录三级无"/>
    <w:basedOn w:val="74"/>
    <w:autoRedefine/>
    <w:qFormat/>
    <w:uiPriority w:val="0"/>
    <w:pPr>
      <w:spacing w:beforeLines="0" w:afterLines="0"/>
    </w:pPr>
    <w:rPr>
      <w:rFonts w:ascii="宋体" w:eastAsia="宋体"/>
      <w:szCs w:val="21"/>
    </w:rPr>
  </w:style>
  <w:style w:type="paragraph" w:customStyle="1" w:styleId="84">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5">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86">
    <w:name w:val="标准书眉_偶数页"/>
    <w:basedOn w:val="87"/>
    <w:next w:val="1"/>
    <w:autoRedefine/>
    <w:qFormat/>
    <w:uiPriority w:val="0"/>
    <w:pPr>
      <w:tabs>
        <w:tab w:val="center" w:pos="4154"/>
        <w:tab w:val="right" w:pos="8306"/>
      </w:tabs>
      <w:jc w:val="left"/>
    </w:pPr>
  </w:style>
  <w:style w:type="paragraph" w:customStyle="1" w:styleId="87">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88">
    <w:name w:val="发布部门"/>
    <w:next w:val="26"/>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89">
    <w:name w:val="五级无"/>
    <w:basedOn w:val="90"/>
    <w:autoRedefine/>
    <w:qFormat/>
    <w:uiPriority w:val="0"/>
    <w:pPr>
      <w:spacing w:beforeLines="0" w:afterLines="0"/>
    </w:pPr>
    <w:rPr>
      <w:rFonts w:ascii="宋体" w:eastAsia="宋体"/>
    </w:rPr>
  </w:style>
  <w:style w:type="paragraph" w:customStyle="1" w:styleId="90">
    <w:name w:val="五级条标题"/>
    <w:basedOn w:val="91"/>
    <w:next w:val="26"/>
    <w:autoRedefine/>
    <w:qFormat/>
    <w:uiPriority w:val="0"/>
    <w:pPr>
      <w:numPr>
        <w:ilvl w:val="0"/>
        <w:numId w:val="0"/>
      </w:numPr>
      <w:outlineLvl w:val="6"/>
    </w:pPr>
  </w:style>
  <w:style w:type="paragraph" w:customStyle="1" w:styleId="91">
    <w:name w:val="四级条标题"/>
    <w:basedOn w:val="58"/>
    <w:next w:val="26"/>
    <w:autoRedefine/>
    <w:qFormat/>
    <w:uiPriority w:val="0"/>
    <w:pPr>
      <w:numPr>
        <w:ilvl w:val="4"/>
      </w:numPr>
      <w:outlineLvl w:val="5"/>
    </w:pPr>
  </w:style>
  <w:style w:type="paragraph" w:customStyle="1" w:styleId="92">
    <w:name w:val="封面一致性程度标识"/>
    <w:basedOn w:val="93"/>
    <w:autoRedefine/>
    <w:qFormat/>
    <w:uiPriority w:val="0"/>
    <w:pPr>
      <w:framePr w:wrap="around"/>
      <w:spacing w:before="440"/>
    </w:pPr>
    <w:rPr>
      <w:rFonts w:ascii="宋体" w:eastAsia="宋体"/>
    </w:rPr>
  </w:style>
  <w:style w:type="paragraph" w:customStyle="1" w:styleId="93">
    <w:name w:val="封面标准英文名称"/>
    <w:basedOn w:val="79"/>
    <w:autoRedefine/>
    <w:qFormat/>
    <w:uiPriority w:val="0"/>
    <w:pPr>
      <w:framePr w:wrap="around"/>
      <w:spacing w:before="370" w:line="400" w:lineRule="exact"/>
    </w:pPr>
    <w:rPr>
      <w:rFonts w:ascii="Times New Roman"/>
      <w:sz w:val="28"/>
      <w:szCs w:val="28"/>
    </w:rPr>
  </w:style>
  <w:style w:type="paragraph" w:customStyle="1" w:styleId="94">
    <w:name w:val="其他发布部门"/>
    <w:basedOn w:val="88"/>
    <w:autoRedefine/>
    <w:qFormat/>
    <w:uiPriority w:val="0"/>
    <w:pPr>
      <w:framePr w:wrap="around" w:y="15310"/>
      <w:spacing w:line="0" w:lineRule="atLeast"/>
    </w:pPr>
    <w:rPr>
      <w:rFonts w:ascii="黑体" w:eastAsia="黑体"/>
      <w:b w:val="0"/>
    </w:rPr>
  </w:style>
  <w:style w:type="paragraph" w:customStyle="1" w:styleId="95">
    <w:name w:val="目次、标准名称标题"/>
    <w:basedOn w:val="1"/>
    <w:next w:val="26"/>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96">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97">
    <w:name w:val="附录表标题"/>
    <w:basedOn w:val="1"/>
    <w:next w:val="26"/>
    <w:autoRedefine/>
    <w:qFormat/>
    <w:uiPriority w:val="0"/>
    <w:pPr>
      <w:numPr>
        <w:ilvl w:val="1"/>
        <w:numId w:val="6"/>
      </w:numPr>
      <w:spacing w:beforeLines="50" w:afterLines="50"/>
      <w:jc w:val="center"/>
    </w:pPr>
    <w:rPr>
      <w:rFonts w:ascii="黑体" w:eastAsia="黑体"/>
      <w:szCs w:val="21"/>
    </w:rPr>
  </w:style>
  <w:style w:type="paragraph" w:customStyle="1" w:styleId="98">
    <w:name w:val="附录公式编号制表符"/>
    <w:basedOn w:val="1"/>
    <w:next w:val="26"/>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99">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0">
    <w:name w:val="附录标识"/>
    <w:basedOn w:val="1"/>
    <w:next w:val="26"/>
    <w:autoRedefine/>
    <w:qFormat/>
    <w:uiPriority w:val="0"/>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101">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2">
    <w:name w:val="封面标准文稿编辑信息"/>
    <w:basedOn w:val="103"/>
    <w:autoRedefine/>
    <w:qFormat/>
    <w:uiPriority w:val="0"/>
    <w:pPr>
      <w:framePr w:wrap="around"/>
      <w:spacing w:before="180" w:line="180" w:lineRule="exact"/>
    </w:pPr>
    <w:rPr>
      <w:sz w:val="21"/>
    </w:rPr>
  </w:style>
  <w:style w:type="paragraph" w:customStyle="1" w:styleId="103">
    <w:name w:val="封面标准文稿类别"/>
    <w:basedOn w:val="92"/>
    <w:autoRedefine/>
    <w:qFormat/>
    <w:uiPriority w:val="0"/>
    <w:pPr>
      <w:framePr w:wrap="around"/>
      <w:spacing w:after="160" w:line="240" w:lineRule="auto"/>
    </w:pPr>
    <w:rPr>
      <w:sz w:val="24"/>
    </w:rPr>
  </w:style>
  <w:style w:type="paragraph" w:customStyle="1" w:styleId="104">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5">
    <w:name w:val="列项◆（三级）"/>
    <w:basedOn w:val="1"/>
    <w:autoRedefine/>
    <w:qFormat/>
    <w:uiPriority w:val="0"/>
    <w:pPr>
      <w:numPr>
        <w:ilvl w:val="2"/>
        <w:numId w:val="8"/>
      </w:numPr>
    </w:pPr>
    <w:rPr>
      <w:rFonts w:ascii="宋体"/>
      <w:szCs w:val="21"/>
    </w:rPr>
  </w:style>
  <w:style w:type="paragraph" w:customStyle="1" w:styleId="106">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07">
    <w:name w:val="附录二级无"/>
    <w:basedOn w:val="75"/>
    <w:autoRedefine/>
    <w:qFormat/>
    <w:uiPriority w:val="0"/>
    <w:pPr>
      <w:spacing w:beforeLines="0" w:afterLines="0"/>
    </w:pPr>
    <w:rPr>
      <w:rFonts w:ascii="宋体" w:eastAsia="宋体"/>
      <w:szCs w:val="21"/>
    </w:rPr>
  </w:style>
  <w:style w:type="paragraph" w:customStyle="1" w:styleId="108">
    <w:name w:val="实施日期"/>
    <w:basedOn w:val="109"/>
    <w:autoRedefine/>
    <w:qFormat/>
    <w:uiPriority w:val="0"/>
    <w:pPr>
      <w:framePr w:wrap="around" w:vAnchor="page" w:hAnchor="text"/>
      <w:jc w:val="right"/>
    </w:pPr>
  </w:style>
  <w:style w:type="paragraph" w:customStyle="1" w:styleId="109">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0">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1">
    <w:name w:val="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paragraph" w:customStyle="1" w:styleId="112">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3">
    <w:name w:val="图表脚注说明"/>
    <w:basedOn w:val="1"/>
    <w:autoRedefine/>
    <w:qFormat/>
    <w:uiPriority w:val="0"/>
    <w:pPr>
      <w:ind w:left="544" w:hanging="181"/>
    </w:pPr>
    <w:rPr>
      <w:rFonts w:ascii="宋体"/>
      <w:sz w:val="18"/>
      <w:szCs w:val="18"/>
    </w:rPr>
  </w:style>
  <w:style w:type="paragraph" w:customStyle="1" w:styleId="114">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5">
    <w:name w:val="示例"/>
    <w:next w:val="116"/>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16">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17">
    <w:name w:val="Char Char"/>
    <w:basedOn w:val="1"/>
    <w:autoRedefine/>
    <w:qFormat/>
    <w:uiPriority w:val="0"/>
    <w:rPr>
      <w:rFonts w:ascii="黑体" w:eastAsia="黑体"/>
      <w:sz w:val="36"/>
      <w:szCs w:val="36"/>
    </w:rPr>
  </w:style>
  <w:style w:type="paragraph" w:customStyle="1" w:styleId="118">
    <w:name w:val="Char Char1"/>
    <w:basedOn w:val="1"/>
    <w:autoRedefine/>
    <w:qFormat/>
    <w:uiPriority w:val="0"/>
    <w:rPr>
      <w:rFonts w:ascii="黑体" w:eastAsia="黑体"/>
      <w:sz w:val="36"/>
      <w:szCs w:val="36"/>
    </w:rPr>
  </w:style>
  <w:style w:type="paragraph" w:customStyle="1" w:styleId="119">
    <w:name w:val="参考文献、索引标题"/>
    <w:basedOn w:val="1"/>
    <w:next w:val="26"/>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0">
    <w:name w:val="正文表标题"/>
    <w:next w:val="26"/>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1">
    <w:name w:val="二级无"/>
    <w:basedOn w:val="55"/>
    <w:autoRedefine/>
    <w:qFormat/>
    <w:uiPriority w:val="0"/>
    <w:pPr>
      <w:spacing w:beforeLines="0" w:afterLines="0"/>
      <w:ind w:left="0"/>
    </w:pPr>
    <w:rPr>
      <w:rFonts w:ascii="宋体" w:eastAsia="宋体"/>
    </w:rPr>
  </w:style>
  <w:style w:type="paragraph" w:customStyle="1" w:styleId="122">
    <w:name w:val="图标脚注说明"/>
    <w:basedOn w:val="26"/>
    <w:autoRedefine/>
    <w:qFormat/>
    <w:uiPriority w:val="0"/>
    <w:pPr>
      <w:ind w:left="840" w:hanging="420" w:firstLineChars="0"/>
    </w:pPr>
    <w:rPr>
      <w:sz w:val="18"/>
      <w:szCs w:val="18"/>
    </w:rPr>
  </w:style>
  <w:style w:type="paragraph" w:customStyle="1" w:styleId="123">
    <w:name w:val="其他标准标志"/>
    <w:basedOn w:val="124"/>
    <w:autoRedefine/>
    <w:qFormat/>
    <w:uiPriority w:val="0"/>
    <w:pPr>
      <w:framePr w:w="6101" w:wrap="around" w:vAnchor="page" w:hAnchor="page" w:x="4673" w:y="942"/>
    </w:pPr>
    <w:rPr>
      <w:w w:val="130"/>
    </w:rPr>
  </w:style>
  <w:style w:type="paragraph" w:customStyle="1" w:styleId="124">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5">
    <w:name w:val="封面一致性程度标识2"/>
    <w:basedOn w:val="92"/>
    <w:autoRedefine/>
    <w:qFormat/>
    <w:uiPriority w:val="0"/>
    <w:pPr>
      <w:framePr w:wrap="around" w:y="4469"/>
    </w:pPr>
  </w:style>
  <w:style w:type="paragraph" w:customStyle="1" w:styleId="126">
    <w:name w:val="标准书眉一"/>
    <w:autoRedefine/>
    <w:qFormat/>
    <w:uiPriority w:val="0"/>
    <w:pPr>
      <w:jc w:val="both"/>
    </w:pPr>
    <w:rPr>
      <w:rFonts w:ascii="Times New Roman" w:hAnsi="Times New Roman" w:eastAsia="宋体" w:cs="Times New Roman"/>
      <w:lang w:val="en-US" w:eastAsia="zh-CN" w:bidi="ar-SA"/>
    </w:rPr>
  </w:style>
  <w:style w:type="paragraph" w:customStyle="1" w:styleId="127">
    <w:name w:val="封面正文"/>
    <w:autoRedefine/>
    <w:qFormat/>
    <w:uiPriority w:val="0"/>
    <w:pPr>
      <w:jc w:val="both"/>
    </w:pPr>
    <w:rPr>
      <w:rFonts w:ascii="Times New Roman" w:hAnsi="Times New Roman" w:eastAsia="宋体" w:cs="Times New Roman"/>
      <w:lang w:val="en-US" w:eastAsia="zh-CN" w:bidi="ar-SA"/>
    </w:rPr>
  </w:style>
  <w:style w:type="paragraph" w:customStyle="1" w:styleId="128">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29">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0">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1">
    <w:name w:val="正文公式编号制表符"/>
    <w:basedOn w:val="26"/>
    <w:next w:val="26"/>
    <w:autoRedefine/>
    <w:qFormat/>
    <w:uiPriority w:val="0"/>
    <w:pPr>
      <w:ind w:firstLine="0" w:firstLineChars="0"/>
    </w:pPr>
  </w:style>
  <w:style w:type="paragraph" w:customStyle="1" w:styleId="132">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33">
    <w:name w:val="四级无"/>
    <w:basedOn w:val="91"/>
    <w:autoRedefine/>
    <w:qFormat/>
    <w:uiPriority w:val="0"/>
    <w:pPr>
      <w:spacing w:beforeLines="0" w:afterLines="0"/>
    </w:pPr>
    <w:rPr>
      <w:rFonts w:ascii="宋体" w:eastAsia="宋体"/>
    </w:rPr>
  </w:style>
  <w:style w:type="paragraph" w:customStyle="1" w:styleId="134">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5">
    <w:name w:val="附录四级无"/>
    <w:basedOn w:val="73"/>
    <w:autoRedefine/>
    <w:qFormat/>
    <w:uiPriority w:val="0"/>
    <w:pPr>
      <w:spacing w:beforeLines="0" w:afterLines="0"/>
    </w:pPr>
    <w:rPr>
      <w:rFonts w:ascii="宋体" w:eastAsia="宋体"/>
      <w:szCs w:val="21"/>
    </w:rPr>
  </w:style>
  <w:style w:type="paragraph" w:customStyle="1" w:styleId="136">
    <w:name w:val="封面标准英文名称2"/>
    <w:basedOn w:val="93"/>
    <w:autoRedefine/>
    <w:qFormat/>
    <w:uiPriority w:val="0"/>
    <w:pPr>
      <w:framePr w:wrap="around" w:y="4469"/>
    </w:pPr>
  </w:style>
  <w:style w:type="paragraph" w:customStyle="1" w:styleId="137">
    <w:name w:val="封面标准文稿类别2"/>
    <w:basedOn w:val="103"/>
    <w:autoRedefine/>
    <w:qFormat/>
    <w:uiPriority w:val="0"/>
    <w:pPr>
      <w:framePr w:wrap="around" w:y="4469"/>
    </w:pPr>
  </w:style>
  <w:style w:type="paragraph" w:customStyle="1" w:styleId="138">
    <w:name w:val="示例×："/>
    <w:basedOn w:val="139"/>
    <w:autoRedefine/>
    <w:qFormat/>
    <w:uiPriority w:val="0"/>
    <w:pPr>
      <w:numPr>
        <w:numId w:val="0"/>
      </w:numPr>
      <w:spacing w:beforeLines="0" w:afterLines="0"/>
      <w:ind w:firstLine="363"/>
      <w:outlineLvl w:val="9"/>
    </w:pPr>
    <w:rPr>
      <w:rFonts w:ascii="宋体" w:eastAsia="宋体"/>
      <w:sz w:val="18"/>
      <w:szCs w:val="18"/>
    </w:rPr>
  </w:style>
  <w:style w:type="paragraph" w:customStyle="1" w:styleId="139">
    <w:name w:val="章标题"/>
    <w:next w:val="26"/>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0">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1">
    <w:name w:val="附录图标题"/>
    <w:basedOn w:val="1"/>
    <w:next w:val="26"/>
    <w:autoRedefine/>
    <w:qFormat/>
    <w:uiPriority w:val="0"/>
    <w:pPr>
      <w:numPr>
        <w:ilvl w:val="1"/>
        <w:numId w:val="5"/>
      </w:numPr>
      <w:spacing w:beforeLines="50" w:afterLines="50"/>
      <w:jc w:val="center"/>
    </w:pPr>
    <w:rPr>
      <w:rFonts w:ascii="黑体" w:eastAsia="黑体"/>
      <w:szCs w:val="21"/>
    </w:rPr>
  </w:style>
  <w:style w:type="paragraph" w:customStyle="1" w:styleId="142">
    <w:name w:val="其他实施日期"/>
    <w:basedOn w:val="108"/>
    <w:autoRedefine/>
    <w:qFormat/>
    <w:uiPriority w:val="0"/>
    <w:pPr>
      <w:framePr w:wrap="around" w:vAnchor="margin" w:hAnchor="page"/>
    </w:pPr>
  </w:style>
  <w:style w:type="paragraph" w:customStyle="1" w:styleId="143">
    <w:name w:val="三级无"/>
    <w:basedOn w:val="58"/>
    <w:autoRedefine/>
    <w:qFormat/>
    <w:uiPriority w:val="0"/>
    <w:pPr>
      <w:spacing w:beforeLines="0" w:afterLines="0"/>
    </w:pPr>
    <w:rPr>
      <w:rFonts w:ascii="宋体" w:eastAsia="宋体"/>
    </w:rPr>
  </w:style>
  <w:style w:type="paragraph" w:customStyle="1" w:styleId="144">
    <w:name w:val="封面标准名称2"/>
    <w:basedOn w:val="79"/>
    <w:autoRedefine/>
    <w:qFormat/>
    <w:uiPriority w:val="0"/>
    <w:pPr>
      <w:framePr w:wrap="around" w:y="4469"/>
      <w:spacing w:beforeLines="630"/>
    </w:pPr>
  </w:style>
  <w:style w:type="paragraph" w:customStyle="1" w:styleId="145">
    <w:name w:val="正文图标题"/>
    <w:next w:val="26"/>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46">
    <w:name w:val="示例后文字"/>
    <w:basedOn w:val="26"/>
    <w:next w:val="26"/>
    <w:autoRedefine/>
    <w:qFormat/>
    <w:uiPriority w:val="0"/>
    <w:pPr>
      <w:ind w:firstLine="360"/>
    </w:pPr>
    <w:rPr>
      <w:sz w:val="18"/>
    </w:rPr>
  </w:style>
  <w:style w:type="paragraph" w:customStyle="1" w:styleId="147">
    <w:name w:val="其他发布日期"/>
    <w:basedOn w:val="109"/>
    <w:autoRedefine/>
    <w:qFormat/>
    <w:uiPriority w:val="0"/>
    <w:pPr>
      <w:framePr w:wrap="around" w:vAnchor="page" w:hAnchor="text" w:x="1419"/>
    </w:pPr>
  </w:style>
  <w:style w:type="paragraph" w:customStyle="1" w:styleId="148">
    <w:name w:val="封面标准文稿编辑信息2"/>
    <w:basedOn w:val="102"/>
    <w:autoRedefine/>
    <w:qFormat/>
    <w:uiPriority w:val="0"/>
    <w:pPr>
      <w:framePr w:wrap="around" w:y="4469"/>
    </w:pPr>
  </w:style>
  <w:style w:type="paragraph" w:customStyle="1" w:styleId="149">
    <w:name w:val="一级无"/>
    <w:basedOn w:val="56"/>
    <w:autoRedefine/>
    <w:qFormat/>
    <w:uiPriority w:val="0"/>
    <w:pPr>
      <w:spacing w:before="156" w:after="156"/>
    </w:pPr>
    <w:rPr>
      <w:rFonts w:ascii="Times New Roman" w:eastAsia="宋体"/>
      <w:color w:val="000000"/>
    </w:rPr>
  </w:style>
  <w:style w:type="paragraph" w:customStyle="1" w:styleId="150">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1">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2">
    <w:name w:val="附录表标号"/>
    <w:basedOn w:val="1"/>
    <w:next w:val="26"/>
    <w:autoRedefine/>
    <w:qFormat/>
    <w:uiPriority w:val="0"/>
    <w:pPr>
      <w:numPr>
        <w:ilvl w:val="0"/>
        <w:numId w:val="6"/>
      </w:numPr>
      <w:spacing w:line="14" w:lineRule="exact"/>
      <w:jc w:val="center"/>
      <w:outlineLvl w:val="0"/>
    </w:pPr>
    <w:rPr>
      <w:color w:val="FFFFFF"/>
    </w:rPr>
  </w:style>
  <w:style w:type="paragraph" w:customStyle="1" w:styleId="153">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4">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5">
    <w:name w:val="条文脚注"/>
    <w:basedOn w:val="27"/>
    <w:autoRedefine/>
    <w:qFormat/>
    <w:uiPriority w:val="0"/>
    <w:pPr>
      <w:numPr>
        <w:numId w:val="0"/>
      </w:numPr>
      <w:jc w:val="both"/>
    </w:pPr>
  </w:style>
  <w:style w:type="paragraph" w:customStyle="1" w:styleId="156">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57">
    <w:name w:val="终结线"/>
    <w:basedOn w:val="1"/>
    <w:autoRedefine/>
    <w:qFormat/>
    <w:uiPriority w:val="0"/>
    <w:pPr>
      <w:framePr w:hSpace="181" w:vSpace="181" w:wrap="around" w:vAnchor="text" w:hAnchor="margin" w:xAlign="center" w:y="285"/>
    </w:pPr>
  </w:style>
  <w:style w:type="paragraph" w:customStyle="1" w:styleId="158">
    <w:name w:val="前言、引言标题"/>
    <w:next w:val="26"/>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59">
    <w:name w:val="图的脚注"/>
    <w:next w:val="26"/>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0">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1">
    <w:name w:val="标题 6 字符"/>
    <w:link w:val="3"/>
    <w:autoRedefine/>
    <w:semiHidden/>
    <w:qFormat/>
    <w:uiPriority w:val="0"/>
    <w:rPr>
      <w:rFonts w:ascii="等线 Light" w:hAnsi="等线 Light" w:eastAsia="等线 Light" w:cs="Times New Roman"/>
      <w:b/>
      <w:bCs/>
      <w:kern w:val="2"/>
      <w:sz w:val="24"/>
      <w:szCs w:val="24"/>
    </w:rPr>
  </w:style>
  <w:style w:type="character" w:customStyle="1" w:styleId="162">
    <w:name w:val="页脚 字符"/>
    <w:link w:val="20"/>
    <w:autoRedefine/>
    <w:qFormat/>
    <w:uiPriority w:val="99"/>
    <w:rPr>
      <w:kern w:val="2"/>
      <w:sz w:val="18"/>
      <w:szCs w:val="18"/>
    </w:rPr>
  </w:style>
  <w:style w:type="paragraph" w:customStyle="1" w:styleId="163">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4">
    <w:name w:val="正文文本缩进 2 字符"/>
    <w:basedOn w:val="39"/>
    <w:link w:val="17"/>
    <w:autoRedefine/>
    <w:qFormat/>
    <w:uiPriority w:val="99"/>
    <w:rPr>
      <w:rFonts w:eastAsia="PMingLiU-ExtB"/>
      <w:kern w:val="2"/>
      <w:sz w:val="24"/>
      <w:szCs w:val="24"/>
      <w:lang w:eastAsia="zh-TW"/>
    </w:rPr>
  </w:style>
  <w:style w:type="paragraph" w:customStyle="1" w:styleId="165">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6">
    <w:name w:val="标准文件_术语条一"/>
    <w:basedOn w:val="167"/>
    <w:next w:val="165"/>
    <w:autoRedefine/>
    <w:qFormat/>
    <w:uiPriority w:val="0"/>
  </w:style>
  <w:style w:type="paragraph" w:customStyle="1" w:styleId="167">
    <w:name w:val="标准文件_一级无标题"/>
    <w:basedOn w:val="168"/>
    <w:autoRedefine/>
    <w:qFormat/>
    <w:uiPriority w:val="0"/>
    <w:pPr>
      <w:spacing w:before="0" w:beforeLines="0" w:after="0" w:afterLines="0"/>
      <w:outlineLvl w:val="9"/>
    </w:pPr>
    <w:rPr>
      <w:rFonts w:ascii="宋体" w:eastAsia="宋体"/>
    </w:rPr>
  </w:style>
  <w:style w:type="paragraph" w:customStyle="1" w:styleId="168">
    <w:name w:val="标准文件_一级条标题"/>
    <w:basedOn w:val="169"/>
    <w:next w:val="165"/>
    <w:autoRedefine/>
    <w:qFormat/>
    <w:uiPriority w:val="0"/>
    <w:pPr>
      <w:numPr>
        <w:ilvl w:val="2"/>
      </w:numPr>
      <w:spacing w:before="50" w:beforeLines="50" w:after="50" w:afterLines="50"/>
      <w:outlineLvl w:val="1"/>
    </w:pPr>
  </w:style>
  <w:style w:type="paragraph" w:customStyle="1" w:styleId="169">
    <w:name w:val="标准文件_章标题"/>
    <w:next w:val="165"/>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 w:type="character" w:customStyle="1" w:styleId="170">
    <w:name w:val="标准文件_段 Char"/>
    <w:basedOn w:val="39"/>
    <w:autoRedefine/>
    <w:qFormat/>
    <w:uiPriority w:val="0"/>
    <w:rPr>
      <w:rFonts w:hint="eastAsia" w:ascii="宋体" w:hAnsi="宋体" w:eastAsia="宋体" w:cs="宋体"/>
      <w:sz w:val="21"/>
    </w:rPr>
  </w:style>
  <w:style w:type="paragraph" w:customStyle="1" w:styleId="17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72">
    <w:name w:val="正文1"/>
    <w:qFormat/>
    <w:uiPriority w:val="0"/>
    <w:pPr>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dec89b2-61f7-4ca6-98e2-c36374a47443}"/>
        <w:style w:val=""/>
        <w:category>
          <w:name w:val="常规"/>
          <w:gallery w:val="placeholder"/>
        </w:category>
        <w:types>
          <w:type w:val="bbPlcHdr"/>
        </w:types>
        <w:behaviors>
          <w:behavior w:val="content"/>
        </w:behaviors>
        <w:description w:val=""/>
        <w:guid w:val="{bdec89b2-61f7-4ca6-98e2-c36374a47443}"/>
      </w:docPartPr>
      <w:docPartBody>
        <w:p w14:paraId="7CCFB5EC">
          <w:pPr>
            <w:pStyle w:val="2"/>
          </w:pPr>
          <w:r>
            <w:rPr>
              <w:rStyle w:val="3"/>
              <w:rFonts w:hint="eastAsia"/>
            </w:rPr>
            <w:t>单击或点击此处输入文字。</w:t>
          </w:r>
        </w:p>
      </w:docPartBody>
    </w:docPart>
    <w:docPart>
      <w:docPartPr>
        <w:name w:val="{f1aee2fc-ea09-446a-b702-29121f50a82f}"/>
        <w:style w:val=""/>
        <w:category>
          <w:name w:val="常规"/>
          <w:gallery w:val="placeholder"/>
        </w:category>
        <w:types>
          <w:type w:val="bbPlcHdr"/>
        </w:types>
        <w:behaviors>
          <w:behavior w:val="content"/>
        </w:behaviors>
        <w:description w:val=""/>
        <w:guid w:val="{f1aee2fc-ea09-446a-b702-29121f50a82f}"/>
      </w:docPartPr>
      <w:docPartBody>
        <w:p w14:paraId="37DDE0A3">
          <w:pPr>
            <w:pStyle w:val="2"/>
          </w:pPr>
          <w:r>
            <w:rPr>
              <w:rStyle w:val="3"/>
              <w:rFonts w:hint="eastAsia"/>
            </w:rPr>
            <w:t>单击或点击此处输入文字。</w:t>
          </w:r>
        </w:p>
      </w:docPartBody>
    </w:docPart>
    <w:docPart>
      <w:docPartPr>
        <w:name w:val="{173d583d-cbfa-4aff-83ee-894fff15f632}"/>
        <w:style w:val=""/>
        <w:category>
          <w:name w:val="常规"/>
          <w:gallery w:val="placeholder"/>
        </w:category>
        <w:types>
          <w:type w:val="bbPlcHdr"/>
        </w:types>
        <w:behaviors>
          <w:behavior w:val="content"/>
        </w:behaviors>
        <w:description w:val=""/>
        <w:guid w:val="{173d583d-cbfa-4aff-83ee-894fff15f632}"/>
      </w:docPartPr>
      <w:docPartBody>
        <w:p w14:paraId="401F625B">
          <w:pPr>
            <w:pStyle w:val="5"/>
            <w:rPr>
              <w:rFonts w:hint="eastAsia"/>
            </w:rPr>
          </w:pPr>
          <w:r>
            <w:rPr>
              <w:rStyle w:val="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nhideWhenUsed="0" w:uiPriority="99" w:name="Placeholder Text"/>
  </w:latentStyles>
  <w:style w:type="character" w:default="1" w:styleId="1">
    <w:name w:val="Default Paragraph Font"/>
    <w:semiHidden/>
    <w:unhideWhenUsed/>
    <w:qFormat/>
    <w:uiPriority w:val="1"/>
  </w:style>
  <w:style w:type="paragraph" w:customStyle="1" w:styleId="2">
    <w:name w:val="AA4200051FB54D44942A687BA6A275D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3">
    <w:name w:val="Placeholder Text"/>
    <w:basedOn w:val="1"/>
    <w:semiHidden/>
    <w:qFormat/>
    <w:uiPriority w:val="99"/>
    <w:rPr>
      <w:color w:val="808080"/>
    </w:rPr>
  </w:style>
  <w:style w:type="paragraph" w:customStyle="1" w:styleId="4">
    <w:name w:val="E9DA8C89D00A44EF9FD662033F27A69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5">
    <w:name w:val="7A472E39B36A4B6DA61809B38FE93C07"/>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02_GZBD标准模板.dotx</Template>
  <Pages>9</Pages>
  <Words>2711</Words>
  <Characters>2985</Characters>
  <Lines>14</Lines>
  <Paragraphs>3</Paragraphs>
  <TotalTime>0</TotalTime>
  <ScaleCrop>false</ScaleCrop>
  <LinksUpToDate>false</LinksUpToDate>
  <CharactersWithSpaces>3099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2024-05-28T07:02:00Z</cp:lastPrinted>
  <dcterms:modified xsi:type="dcterms:W3CDTF">2026-07-29T03:06:50Z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C9288B688AA74D738B0C8191A0AAE3DD_13</vt:lpwstr>
  </property>
  <property fmtid="{D5CDD505-2E9C-101B-9397-08002B2CF9AE}" pid="4" name="KSOTemplateDocerSaveRecord">
    <vt:lpwstr>eyJoZGlkIjoiMjQ2ZTA4YjVlM2RhY2MzNDBlZDIzZmY3YTlmMTk4Y2IiLCJ1c2VySWQiOiI2Nzg0MTk3MDUifQ==</vt:lpwstr>
  </property>
</Properties>
</file>