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90F060">
      <w:pPr>
        <w:pStyle w:val="139"/>
        <w:keepNext w:val="0"/>
        <w:keepLines w:val="0"/>
        <w:pageBreakBefore w:val="0"/>
        <w:widowControl/>
        <w:numPr>
          <w:ilvl w:val="0"/>
          <w:numId w:val="0"/>
        </w:numPr>
        <w:kinsoku/>
        <w:wordWrap/>
        <w:overflowPunct/>
        <w:topLinePunct w:val="0"/>
        <w:autoSpaceDE/>
        <w:autoSpaceDN/>
        <w:bidi w:val="0"/>
        <w:adjustRightInd/>
        <w:snapToGrid/>
        <w:spacing w:beforeLines="0" w:afterLines="0"/>
        <w:jc w:val="center"/>
        <w:textAlignment w:val="auto"/>
        <w:rPr>
          <w:rFonts w:hint="eastAsia" w:ascii="方正小标宋简体" w:hAnsi="方正小标宋简体" w:eastAsia="方正小标宋简体" w:cs="方正小标宋简体"/>
          <w:b w:val="0"/>
          <w:bCs w:val="0"/>
          <w:sz w:val="36"/>
          <w:szCs w:val="36"/>
        </w:rPr>
      </w:pPr>
      <w:bookmarkStart w:id="0" w:name="_Toc309995578"/>
      <w:bookmarkStart w:id="1" w:name="_Toc298937100"/>
      <w:bookmarkStart w:id="2" w:name="_Toc298937609"/>
      <w:bookmarkStart w:id="3" w:name="_Toc309995472"/>
      <w:bookmarkStart w:id="4" w:name="_Toc298938783"/>
      <w:bookmarkStart w:id="5" w:name="_Toc298937201"/>
      <w:bookmarkStart w:id="6" w:name="_Toc304825081"/>
      <w:bookmarkStart w:id="7" w:name="_Toc298936801"/>
      <w:bookmarkStart w:id="8" w:name="_Toc304402664"/>
      <w:bookmarkStart w:id="9" w:name="_Toc304824969"/>
      <w:bookmarkStart w:id="10" w:name="_Toc309995999"/>
      <w:bookmarkStart w:id="11" w:name="_Toc37234703"/>
      <w:bookmarkStart w:id="12" w:name="_Toc298937357"/>
      <w:bookmarkStart w:id="13" w:name="_Toc298937322"/>
      <w:bookmarkStart w:id="14" w:name="_Toc309994551"/>
      <w:bookmarkStart w:id="15" w:name="_Toc309995390"/>
      <w:bookmarkStart w:id="16" w:name="_Toc298936924"/>
      <w:bookmarkStart w:id="17" w:name="_Toc499110426"/>
      <w:bookmarkStart w:id="18" w:name="_Toc298938635"/>
      <w:bookmarkStart w:id="19" w:name="_Toc298937152"/>
      <w:bookmarkStart w:id="20" w:name="_Toc298937276"/>
      <w:bookmarkStart w:id="21" w:name="_Toc298937462"/>
      <w:bookmarkStart w:id="22" w:name="_Toc304828066"/>
      <w:bookmarkStart w:id="23" w:name="_Toc304825008"/>
      <w:bookmarkStart w:id="24" w:name="_Toc6138"/>
      <w:bookmarkStart w:id="25" w:name="_Toc310002637"/>
      <w:bookmarkStart w:id="26" w:name="_Toc309993180"/>
      <w:bookmarkStart w:id="27" w:name="_Toc298923383"/>
      <w:bookmarkStart w:id="28" w:name="_Toc298937188"/>
      <w:bookmarkStart w:id="29" w:name="_Toc298937167"/>
      <w:bookmarkStart w:id="30" w:name="_Toc298937419"/>
      <w:bookmarkStart w:id="31" w:name="_Toc309997040"/>
      <w:r>
        <w:rPr>
          <w:rFonts w:hint="eastAsia" w:ascii="方正小标宋简体" w:hAnsi="方正小标宋简体" w:eastAsia="方正小标宋简体" w:cs="方正小标宋简体"/>
          <w:b w:val="0"/>
          <w:bCs w:val="0"/>
          <w:sz w:val="36"/>
          <w:szCs w:val="36"/>
        </w:rPr>
        <w:t>《</w:t>
      </w:r>
      <w:sdt>
        <w:sdtPr>
          <w:rPr>
            <w:rFonts w:hint="eastAsia" w:ascii="方正小标宋简体" w:hAnsi="方正小标宋简体" w:eastAsia="方正小标宋简体" w:cs="方正小标宋简体"/>
            <w:b w:val="0"/>
            <w:bCs w:val="0"/>
            <w:sz w:val="36"/>
            <w:szCs w:val="36"/>
          </w:rPr>
          <w:tag w:val="NEW_STAND_NAME"/>
          <w:id w:val="595910757"/>
          <w:placeholder>
            <w:docPart w:val="{bdec89b2-61f7-4ca6-98e2-c36374a47443}"/>
          </w:placeholder>
        </w:sdtPr>
        <w:sdtEndPr>
          <w:rPr>
            <w:rFonts w:hint="eastAsia" w:ascii="方正小标宋简体" w:hAnsi="方正小标宋简体" w:eastAsia="方正小标宋简体" w:cs="方正小标宋简体"/>
            <w:b w:val="0"/>
            <w:bCs w:val="0"/>
            <w:sz w:val="36"/>
            <w:szCs w:val="36"/>
          </w:rPr>
        </w:sdtEndPr>
        <w:sdtContent>
          <w:sdt>
            <w:sdtPr>
              <w:rPr>
                <w:rFonts w:hint="eastAsia" w:ascii="方正小标宋简体" w:hAnsi="方正小标宋简体" w:eastAsia="方正小标宋简体" w:cs="方正小标宋简体"/>
                <w:sz w:val="36"/>
                <w:szCs w:val="36"/>
              </w:rPr>
              <w:tag w:val="NEW_STAND_NAME"/>
              <w:id w:val="147456813"/>
              <w:placeholder>
                <w:docPart w:val="{f1aee2fc-ea09-446a-b702-29121f50a82f}"/>
              </w:placeholder>
            </w:sdtPr>
            <w:sdtEndPr>
              <w:rPr>
                <w:rFonts w:hint="eastAsia" w:ascii="方正小标宋简体" w:hAnsi="方正小标宋简体" w:eastAsia="方正小标宋简体" w:cs="方正小标宋简体"/>
                <w:sz w:val="36"/>
                <w:szCs w:val="36"/>
                <w:lang w:val="en-US" w:eastAsia="zh-CN"/>
              </w:rPr>
            </w:sdtEndPr>
            <w:sdtContent>
              <w:r>
                <w:rPr>
                  <w:rFonts w:hint="eastAsia" w:ascii="方正小标宋简体" w:hAnsi="方正小标宋简体" w:eastAsia="方正小标宋简体" w:cs="方正小标宋简体"/>
                  <w:sz w:val="36"/>
                  <w:szCs w:val="36"/>
                  <w:lang w:val="en-US" w:eastAsia="zh-CN"/>
                </w:rPr>
                <w:t>机器人灵巧手驱动用不锈钢微绳通用技术条件</w:t>
              </w:r>
            </w:sdtContent>
          </w:sdt>
        </w:sdtContent>
      </w:sdt>
      <w:r>
        <w:rPr>
          <w:rFonts w:hint="eastAsia" w:ascii="方正小标宋简体" w:hAnsi="方正小标宋简体" w:eastAsia="方正小标宋简体" w:cs="方正小标宋简体"/>
          <w:b w:val="0"/>
          <w:bCs w:val="0"/>
          <w:sz w:val="36"/>
          <w:szCs w:val="36"/>
        </w:rPr>
        <w:t>》</w:t>
      </w:r>
    </w:p>
    <w:p w14:paraId="36CE64D8">
      <w:pPr>
        <w:pStyle w:val="139"/>
        <w:keepNext w:val="0"/>
        <w:keepLines w:val="0"/>
        <w:pageBreakBefore w:val="0"/>
        <w:widowControl/>
        <w:numPr>
          <w:ilvl w:val="0"/>
          <w:numId w:val="0"/>
        </w:numPr>
        <w:kinsoku/>
        <w:wordWrap/>
        <w:overflowPunct/>
        <w:topLinePunct w:val="0"/>
        <w:autoSpaceDE/>
        <w:autoSpaceDN/>
        <w:bidi w:val="0"/>
        <w:adjustRightInd/>
        <w:snapToGrid/>
        <w:spacing w:beforeLines="0" w:afterLines="0"/>
        <w:jc w:val="center"/>
        <w:textAlignment w:val="auto"/>
        <w:rPr>
          <w:rFonts w:hint="eastAsia" w:ascii="方正小标宋简体" w:hAnsi="方正小标宋简体" w:eastAsia="方正小标宋简体" w:cs="方正小标宋简体"/>
          <w:b w:val="0"/>
          <w:bCs w:val="0"/>
          <w:sz w:val="36"/>
          <w:szCs w:val="36"/>
          <w:highlight w:val="none"/>
        </w:rPr>
      </w:pPr>
      <w:r>
        <w:rPr>
          <w:rFonts w:hint="eastAsia" w:ascii="方正小标宋简体" w:hAnsi="方正小标宋简体" w:eastAsia="方正小标宋简体" w:cs="方正小标宋简体"/>
          <w:b w:val="0"/>
          <w:bCs w:val="0"/>
          <w:sz w:val="36"/>
          <w:szCs w:val="36"/>
          <w:highlight w:val="none"/>
          <w:lang w:eastAsia="zh-CN"/>
        </w:rPr>
        <w:t>征求意见稿</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团体标准编制说明</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7C42FC17">
      <w:pPr>
        <w:pStyle w:val="139"/>
        <w:numPr>
          <w:ilvl w:val="0"/>
          <w:numId w:val="0"/>
        </w:numPr>
        <w:spacing w:before="312" w:after="312"/>
        <w:rPr>
          <w:rFonts w:ascii="仿宋" w:hAnsi="仿宋" w:eastAsia="仿宋" w:cs="仿宋"/>
          <w:b/>
          <w:bCs/>
          <w:color w:val="000000"/>
          <w:sz w:val="32"/>
          <w:szCs w:val="32"/>
        </w:rPr>
      </w:pPr>
      <w:bookmarkStart w:id="32" w:name="_Toc298937549"/>
      <w:bookmarkEnd w:id="32"/>
      <w:bookmarkStart w:id="33" w:name="BT1"/>
      <w:bookmarkEnd w:id="33"/>
      <w:r>
        <w:rPr>
          <w:rFonts w:hint="eastAsia" w:ascii="仿宋" w:hAnsi="仿宋" w:eastAsia="仿宋" w:cs="仿宋"/>
          <w:b/>
          <w:bCs/>
          <w:color w:val="000000"/>
          <w:sz w:val="32"/>
          <w:szCs w:val="32"/>
        </w:rPr>
        <w:t>一、任务来源</w:t>
      </w:r>
    </w:p>
    <w:p w14:paraId="4F88D1F1">
      <w:pPr>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随着人形机器人与具身智能产业加速发展，灵巧手作为末端执行核心，普遍采用腱绳传动实现多自由度仿生驱动。不锈钢微绳因强度高、低蠕变、耐蚀耐磨，成为重载及医用灵巧手的重要选型。但当前微绳在直径公差、破断力、疲劳寿命等方面缺乏统一技术条件，产业链供需对接成本高，亟需规范。</w:t>
      </w:r>
    </w:p>
    <w:p w14:paraId="07330B12">
      <w:pPr>
        <w:pStyle w:val="36"/>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rPr>
        <w:t>制定《机器人灵巧手驱动用不锈钢微绳通用技术条件》，可明确产品分类、性能指标与检测方法，填补核心零部件标准空白。标准实施将引导原材料、编织工艺与检测认证协同升级，支撑灵巧手精度、寿命与一致性提升，降低整机厂选型验证成本，助力国产机器人供应链规范化、规模化与高质量发展。</w:t>
      </w:r>
      <w:r>
        <w:rPr>
          <w:rFonts w:hint="eastAsia" w:ascii="仿宋" w:hAnsi="仿宋" w:eastAsia="仿宋" w:cs="仿宋"/>
          <w:kern w:val="2"/>
          <w:sz w:val="32"/>
          <w:szCs w:val="32"/>
          <w:lang w:val="en-US" w:eastAsia="zh-CN" w:bidi="ar-SA"/>
        </w:rPr>
        <w:t>通过团体标准的实施，能够有效规范市场秩序，推动冶金/钢铁制品行业的可持续发展。</w:t>
      </w:r>
    </w:p>
    <w:p w14:paraId="2021A9BA">
      <w:pPr>
        <w:pStyle w:val="36"/>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kern w:val="2"/>
          <w:sz w:val="32"/>
          <w:szCs w:val="32"/>
          <w:lang w:val="en-US" w:eastAsia="zh-CN" w:bidi="ar-SA"/>
        </w:rPr>
        <w:t>综上所述，《机器人灵巧手驱动用不锈钢微绳通用技术条件》团体标准的编制是行业内的一项重要工作，对于规范市场秩序、提高产品质量、促进技术创新和推</w:t>
      </w:r>
      <w:r>
        <w:rPr>
          <w:rFonts w:hint="eastAsia" w:ascii="仿宋" w:hAnsi="仿宋" w:eastAsia="仿宋" w:cs="仿宋"/>
          <w:kern w:val="2"/>
          <w:sz w:val="32"/>
          <w:szCs w:val="32"/>
          <w:highlight w:val="none"/>
          <w:lang w:val="en-US" w:eastAsia="zh-CN" w:bidi="ar-SA"/>
        </w:rPr>
        <w:t>动行业发展具有重要意义。</w:t>
      </w:r>
      <w:r>
        <w:rPr>
          <w:rFonts w:hint="eastAsia" w:ascii="仿宋" w:hAnsi="仿宋" w:eastAsia="仿宋" w:cs="仿宋"/>
          <w:sz w:val="32"/>
          <w:szCs w:val="32"/>
          <w:highlight w:val="none"/>
          <w:lang w:val="en-US" w:eastAsia="zh-CN"/>
        </w:rPr>
        <w:t>根据《团体标准管理规定》、《</w:t>
      </w:r>
      <w:r>
        <w:rPr>
          <w:rFonts w:hint="eastAsia" w:ascii="仿宋" w:hAnsi="仿宋" w:eastAsia="仿宋" w:cs="仿宋"/>
          <w:color w:val="auto"/>
          <w:sz w:val="32"/>
          <w:szCs w:val="32"/>
          <w:highlight w:val="none"/>
          <w:lang w:eastAsia="zh-CN"/>
        </w:rPr>
        <w:t>中国西部开发促进会</w:t>
      </w:r>
      <w:r>
        <w:rPr>
          <w:rFonts w:hint="eastAsia" w:ascii="仿宋" w:hAnsi="仿宋" w:eastAsia="仿宋" w:cs="仿宋"/>
          <w:sz w:val="32"/>
          <w:szCs w:val="32"/>
          <w:highlight w:val="none"/>
          <w:lang w:val="en-US" w:eastAsia="zh-CN"/>
        </w:rPr>
        <w:t>团体标准管理办法》有关规定，特立项本标准。本标</w:t>
      </w:r>
      <w:r>
        <w:rPr>
          <w:rFonts w:hint="eastAsia" w:ascii="仿宋" w:hAnsi="仿宋" w:eastAsia="仿宋" w:cs="仿宋"/>
          <w:sz w:val="32"/>
          <w:szCs w:val="32"/>
          <w:lang w:val="en-US" w:eastAsia="zh-CN"/>
        </w:rPr>
        <w:t>准项目计划编号</w:t>
      </w:r>
      <w:r>
        <w:rPr>
          <w:rFonts w:hint="eastAsia" w:ascii="仿宋" w:hAnsi="仿宋" w:eastAsia="仿宋" w:cs="仿宋"/>
          <w:sz w:val="32"/>
          <w:szCs w:val="32"/>
          <w:highlight w:val="none"/>
          <w:lang w:val="en-US" w:eastAsia="zh-CN"/>
        </w:rPr>
        <w:t>为</w:t>
      </w:r>
      <w:r>
        <w:rPr>
          <w:rFonts w:hint="eastAsia" w:ascii="仿宋" w:hAnsi="仿宋" w:eastAsia="仿宋" w:cs="仿宋"/>
          <w:kern w:val="0"/>
          <w:sz w:val="32"/>
          <w:szCs w:val="32"/>
        </w:rPr>
        <w:t>2026-493-CWDPA</w:t>
      </w:r>
      <w:r>
        <w:rPr>
          <w:rFonts w:hint="eastAsia" w:ascii="仿宋" w:hAnsi="仿宋" w:eastAsia="仿宋" w:cs="仿宋"/>
          <w:sz w:val="32"/>
          <w:szCs w:val="32"/>
          <w:highlight w:val="none"/>
          <w:lang w:val="en-US" w:eastAsia="zh-CN"/>
        </w:rPr>
        <w:t>。</w:t>
      </w:r>
    </w:p>
    <w:p w14:paraId="75F60046">
      <w:pPr>
        <w:pStyle w:val="139"/>
        <w:numPr>
          <w:ilvl w:val="0"/>
          <w:numId w:val="11"/>
        </w:numPr>
        <w:spacing w:before="312" w:after="312"/>
        <w:rPr>
          <w:rFonts w:ascii="仿宋" w:hAnsi="仿宋" w:eastAsia="仿宋" w:cs="仿宋"/>
          <w:b/>
          <w:bCs/>
          <w:color w:val="000000"/>
          <w:sz w:val="32"/>
          <w:szCs w:val="32"/>
        </w:rPr>
      </w:pPr>
      <w:bookmarkStart w:id="34" w:name="BT3"/>
      <w:bookmarkEnd w:id="34"/>
      <w:r>
        <w:rPr>
          <w:rFonts w:hint="eastAsia" w:ascii="仿宋" w:hAnsi="仿宋" w:eastAsia="仿宋" w:cs="仿宋"/>
          <w:b/>
          <w:bCs/>
          <w:color w:val="000000"/>
          <w:sz w:val="32"/>
          <w:szCs w:val="32"/>
        </w:rPr>
        <w:t>起草单位</w:t>
      </w:r>
    </w:p>
    <w:p w14:paraId="6EE4183C">
      <w:pPr>
        <w:pStyle w:val="26"/>
        <w:spacing w:line="360" w:lineRule="auto"/>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rPr>
        <w:t>本标准</w:t>
      </w:r>
      <w:r>
        <w:rPr>
          <w:rFonts w:hint="eastAsia" w:ascii="仿宋" w:hAnsi="仿宋" w:eastAsia="仿宋" w:cs="仿宋"/>
          <w:sz w:val="32"/>
          <w:szCs w:val="32"/>
          <w:highlight w:val="none"/>
        </w:rPr>
        <w:t>由</w:t>
      </w:r>
      <w:r>
        <w:rPr>
          <w:rFonts w:hint="eastAsia" w:ascii="仿宋" w:hAnsi="仿宋" w:eastAsia="仿宋" w:cs="仿宋"/>
          <w:color w:val="auto"/>
          <w:sz w:val="32"/>
          <w:szCs w:val="32"/>
          <w:highlight w:val="none"/>
          <w:lang w:eastAsia="zh-CN"/>
        </w:rPr>
        <w:t>贵州钢绳股份有限公司提出，</w:t>
      </w:r>
      <w:r>
        <w:rPr>
          <w:rFonts w:hint="eastAsia" w:ascii="仿宋" w:hAnsi="仿宋" w:eastAsia="仿宋" w:cs="仿宋"/>
          <w:color w:val="auto"/>
          <w:sz w:val="32"/>
          <w:szCs w:val="32"/>
          <w:highlight w:val="none"/>
          <w:lang w:val="en-US" w:eastAsia="zh-CN"/>
        </w:rPr>
        <w:t>由</w:t>
      </w:r>
      <w:r>
        <w:rPr>
          <w:rFonts w:hint="eastAsia" w:ascii="仿宋" w:hAnsi="仿宋" w:eastAsia="仿宋" w:cs="仿宋"/>
          <w:color w:val="auto"/>
          <w:sz w:val="32"/>
          <w:szCs w:val="32"/>
          <w:highlight w:val="none"/>
          <w:lang w:eastAsia="zh-CN"/>
        </w:rPr>
        <w:t>中国西部开发促进会归口。</w:t>
      </w:r>
      <w:r>
        <w:rPr>
          <w:rFonts w:hint="eastAsia" w:ascii="仿宋" w:hAnsi="仿宋" w:eastAsia="仿宋" w:cs="仿宋"/>
          <w:color w:val="auto"/>
          <w:sz w:val="32"/>
          <w:szCs w:val="32"/>
          <w:highlight w:val="none"/>
        </w:rPr>
        <w:t>本标准由贵州钢绳股份有限公司</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江苏赛福天集团股份有限公司</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青岛高测科技股份有限公司</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苏州骏鼎达新材料科技有限公司</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江阴宝能精密新材料股份有限公司</w:t>
      </w:r>
      <w:r>
        <w:rPr>
          <w:rFonts w:hint="eastAsia" w:ascii="仿宋" w:hAnsi="仿宋" w:eastAsia="仿宋" w:cs="仿宋"/>
          <w:color w:val="auto"/>
          <w:sz w:val="32"/>
          <w:szCs w:val="32"/>
          <w:highlight w:val="none"/>
          <w:lang w:val="en-US" w:eastAsia="zh-CN"/>
        </w:rPr>
        <w:t>共同</w:t>
      </w:r>
      <w:r>
        <w:rPr>
          <w:rFonts w:hint="eastAsia" w:ascii="仿宋" w:hAnsi="仿宋" w:eastAsia="仿宋" w:cs="仿宋"/>
          <w:sz w:val="32"/>
          <w:szCs w:val="32"/>
          <w:highlight w:val="none"/>
          <w:lang w:val="en-US" w:eastAsia="zh-CN"/>
        </w:rPr>
        <w:t>起草。</w:t>
      </w:r>
    </w:p>
    <w:p w14:paraId="7F2A67D6">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三、标准的编制原则</w:t>
      </w:r>
    </w:p>
    <w:p w14:paraId="0FC59A89">
      <w:pPr>
        <w:pStyle w:val="26"/>
        <w:spacing w:line="360" w:lineRule="auto"/>
        <w:ind w:firstLine="640"/>
        <w:rPr>
          <w:rFonts w:ascii="仿宋" w:hAnsi="仿宋" w:eastAsia="仿宋" w:cs="仿宋"/>
          <w:sz w:val="32"/>
          <w:szCs w:val="32"/>
        </w:rPr>
      </w:pPr>
      <w:r>
        <w:rPr>
          <w:rFonts w:hint="eastAsia" w:ascii="仿宋" w:hAnsi="仿宋" w:eastAsia="仿宋" w:cs="仿宋"/>
          <w:sz w:val="32"/>
          <w:szCs w:val="32"/>
        </w:rPr>
        <w:t>标准起草小组在编制标准过程中，以国家、行业现有的标准为制订基础，结合我国目前行业现状，按照GB/T 1.1-2020《标准化工作导则 第1部分：标准化文件的结构和起草规则》的规定及相关要求编制。</w:t>
      </w:r>
    </w:p>
    <w:p w14:paraId="12A108E8">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四、标准编制过程</w:t>
      </w:r>
    </w:p>
    <w:p w14:paraId="1650E19B">
      <w:pPr>
        <w:pStyle w:val="26"/>
        <w:spacing w:line="360" w:lineRule="auto"/>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1、项目调研阶段</w:t>
      </w:r>
    </w:p>
    <w:p w14:paraId="791567E4">
      <w:pPr>
        <w:pStyle w:val="26"/>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月，标准起草工作组围绕机器人零部件领域开展全面技术调研与专业咨询，广泛收集</w:t>
      </w:r>
      <w:r>
        <w:rPr>
          <w:rFonts w:hint="eastAsia" w:ascii="仿宋" w:hAnsi="仿宋" w:eastAsia="仿宋" w:cs="仿宋"/>
          <w:sz w:val="32"/>
          <w:szCs w:val="32"/>
          <w:lang w:val="en-US" w:eastAsia="zh-CN"/>
        </w:rPr>
        <w:t>机器人</w:t>
      </w:r>
      <w:r>
        <w:rPr>
          <w:rFonts w:hint="eastAsia" w:ascii="仿宋" w:hAnsi="仿宋" w:eastAsia="仿宋" w:cs="仿宋"/>
          <w:sz w:val="32"/>
          <w:szCs w:val="32"/>
          <w:lang w:eastAsia="zh-CN"/>
        </w:rPr>
        <w:t>行业资料，结合</w:t>
      </w:r>
      <w:r>
        <w:rPr>
          <w:rFonts w:hint="eastAsia" w:ascii="仿宋" w:hAnsi="仿宋" w:eastAsia="仿宋" w:cs="仿宋"/>
          <w:sz w:val="32"/>
          <w:szCs w:val="32"/>
          <w:lang w:val="en-US" w:eastAsia="zh-CN"/>
        </w:rPr>
        <w:t>行业</w:t>
      </w:r>
      <w:r>
        <w:rPr>
          <w:rFonts w:hint="eastAsia" w:ascii="仿宋" w:hAnsi="仿宋" w:eastAsia="仿宋" w:cs="仿宋"/>
          <w:sz w:val="32"/>
          <w:szCs w:val="32"/>
          <w:lang w:eastAsia="zh-CN"/>
        </w:rPr>
        <w:t>应用现状与技术发展趋势，以机器人灵巧手驱动用不锈钢微绳相关企业实践及现有标准为核心参考依据，完成前期调研与资料梳理工作，为标准编制奠定坚实技术基础。</w:t>
      </w:r>
    </w:p>
    <w:p w14:paraId="7A3CFD09">
      <w:pPr>
        <w:pStyle w:val="26"/>
        <w:spacing w:line="360" w:lineRule="auto"/>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2、项目立项阶段</w:t>
      </w:r>
    </w:p>
    <w:p w14:paraId="701AD5D9">
      <w:pPr>
        <w:pStyle w:val="26"/>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15</w:t>
      </w:r>
      <w:r>
        <w:rPr>
          <w:rFonts w:hint="eastAsia" w:ascii="仿宋" w:hAnsi="仿宋" w:eastAsia="仿宋" w:cs="仿宋"/>
          <w:sz w:val="32"/>
          <w:szCs w:val="32"/>
          <w:lang w:eastAsia="zh-CN"/>
        </w:rPr>
        <w:t>日，中国西部开发促进会正式立项《机器人灵巧手驱动用不锈钢微绳通用技术条件》团体标准，明确标准立项获批，正式启动该团体标准的规范化编制流程。</w:t>
      </w:r>
    </w:p>
    <w:p w14:paraId="27D74635">
      <w:pPr>
        <w:pStyle w:val="26"/>
        <w:spacing w:line="360" w:lineRule="auto"/>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3、标准起草阶段</w:t>
      </w:r>
    </w:p>
    <w:p w14:paraId="23412FFD">
      <w:pPr>
        <w:pStyle w:val="26"/>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立项后，成立标准编制工作起草小组，全面统筹标准编制组织工作，同步开展标准起草单位的筹备与征集，经严格征集、评审与筛选，确定标准起草工作组核心成员单位。工作组基于前期调研成果，于202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月完成《机器人灵巧手驱动用不锈钢微绳通用技术条件》团体标准草案稿编写；并于</w:t>
      </w:r>
      <w:r>
        <w:rPr>
          <w:rFonts w:hint="eastAsia" w:ascii="仿宋" w:hAnsi="仿宋" w:eastAsia="仿宋" w:cs="仿宋"/>
          <w:sz w:val="32"/>
          <w:szCs w:val="32"/>
          <w:lang w:val="en-US" w:eastAsia="zh-CN"/>
        </w:rPr>
        <w:t>7月28日</w:t>
      </w:r>
      <w:r>
        <w:rPr>
          <w:rFonts w:hint="eastAsia" w:ascii="仿宋" w:hAnsi="仿宋" w:eastAsia="仿宋" w:cs="仿宋"/>
          <w:sz w:val="32"/>
          <w:szCs w:val="32"/>
          <w:lang w:eastAsia="zh-CN"/>
        </w:rPr>
        <w:t>召开标准专题会议，针对草案稿内容研讨优化，完善标准框架与核心条款。</w:t>
      </w:r>
    </w:p>
    <w:p w14:paraId="3A1619F7">
      <w:pPr>
        <w:pStyle w:val="26"/>
        <w:spacing w:line="360" w:lineRule="auto"/>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4、意见征集阶段</w:t>
      </w:r>
    </w:p>
    <w:p w14:paraId="44F248F2">
      <w:pPr>
        <w:pStyle w:val="26"/>
        <w:spacing w:line="360" w:lineRule="auto"/>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2026年7月30日，中国西部开发促进会发布通知，面向行业公开征集《机器人灵巧手驱动用不锈钢微绳通用技术条件》团体标准修改意见，广泛吸纳各方专业建议，对标准内容进行全面优化完善。</w:t>
      </w:r>
    </w:p>
    <w:p w14:paraId="6B9AD321">
      <w:pPr>
        <w:pStyle w:val="26"/>
        <w:keepNext w:val="0"/>
        <w:keepLines w:val="0"/>
        <w:pageBreakBefore w:val="0"/>
        <w:widowControl w:val="0"/>
        <w:kinsoku/>
        <w:wordWrap/>
        <w:overflowPunct/>
        <w:topLinePunct w:val="0"/>
        <w:autoSpaceDE w:val="0"/>
        <w:autoSpaceDN w:val="0"/>
        <w:bidi w:val="0"/>
        <w:adjustRightInd/>
        <w:snapToGrid/>
        <w:spacing w:line="360" w:lineRule="auto"/>
        <w:ind w:firstLine="64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后续，标准起草工作组将结合意见征集阶段收集的反馈建议，对标准草案稿进行修订完善，并按流程进行送审及报批等工作。</w:t>
      </w:r>
    </w:p>
    <w:p w14:paraId="2E71ACF5">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五、标准主要内容</w:t>
      </w:r>
    </w:p>
    <w:p w14:paraId="472B0CAB">
      <w:pPr>
        <w:pStyle w:val="26"/>
        <w:ind w:firstLine="0" w:firstLineChars="0"/>
        <w:rPr>
          <w:rFonts w:ascii="仿宋" w:hAnsi="仿宋" w:eastAsia="仿宋" w:cs="仿宋"/>
          <w:b/>
          <w:bCs/>
          <w:sz w:val="32"/>
          <w:szCs w:val="32"/>
        </w:rPr>
      </w:pPr>
      <w:r>
        <w:rPr>
          <w:rFonts w:hint="eastAsia" w:ascii="仿宋" w:hAnsi="仿宋" w:eastAsia="仿宋" w:cs="仿宋"/>
          <w:b/>
          <w:bCs/>
          <w:sz w:val="32"/>
          <w:szCs w:val="32"/>
        </w:rPr>
        <w:t>1、范围</w:t>
      </w:r>
    </w:p>
    <w:p w14:paraId="482A45E1">
      <w:pPr>
        <w:pStyle w:val="26"/>
        <w:spacing w:line="360" w:lineRule="auto"/>
        <w:ind w:firstLine="640"/>
        <w:rPr>
          <w:rFonts w:hint="eastAsia" w:ascii="仿宋" w:hAnsi="仿宋" w:eastAsia="仿宋" w:cs="仿宋"/>
          <w:sz w:val="32"/>
          <w:szCs w:val="32"/>
          <w:lang w:val="en-US" w:eastAsia="zh-CN"/>
        </w:rPr>
      </w:pPr>
      <w:bookmarkStart w:id="35" w:name="_Toc298937202"/>
      <w:bookmarkStart w:id="36" w:name="_Toc298938636"/>
      <w:bookmarkStart w:id="37" w:name="_Toc309996000"/>
      <w:bookmarkStart w:id="38" w:name="_Toc298923384"/>
      <w:bookmarkStart w:id="39" w:name="_Toc304402665"/>
      <w:bookmarkStart w:id="40" w:name="_Toc298937153"/>
      <w:bookmarkStart w:id="41" w:name="_Toc298937610"/>
      <w:bookmarkStart w:id="42" w:name="_Toc309997041"/>
      <w:bookmarkStart w:id="43" w:name="_Toc309995473"/>
      <w:bookmarkStart w:id="44" w:name="_Toc298938784"/>
      <w:bookmarkStart w:id="45" w:name="_Toc304825082"/>
      <w:bookmarkStart w:id="46" w:name="_Toc298937168"/>
      <w:bookmarkStart w:id="47" w:name="_Toc298937323"/>
      <w:bookmarkStart w:id="48" w:name="_Toc298937189"/>
      <w:bookmarkStart w:id="49" w:name="_Toc298937420"/>
      <w:bookmarkStart w:id="50" w:name="_Toc298937101"/>
      <w:bookmarkStart w:id="51" w:name="_Toc15783"/>
      <w:bookmarkStart w:id="52" w:name="_Toc310002638"/>
      <w:bookmarkStart w:id="53" w:name="_Toc304828067"/>
      <w:bookmarkStart w:id="54" w:name="_Toc298937550"/>
      <w:bookmarkStart w:id="55" w:name="_Toc309995391"/>
      <w:bookmarkStart w:id="56" w:name="_Toc17330"/>
      <w:bookmarkStart w:id="57" w:name="_Toc309994552"/>
      <w:bookmarkStart w:id="58" w:name="_Toc309993181"/>
      <w:bookmarkStart w:id="59" w:name="_Toc298936802"/>
      <w:bookmarkStart w:id="60" w:name="_Toc298937358"/>
      <w:bookmarkStart w:id="61" w:name="_Toc304824970"/>
      <w:bookmarkStart w:id="62" w:name="_Toc309995579"/>
      <w:bookmarkStart w:id="63" w:name="_Toc298937463"/>
      <w:bookmarkStart w:id="64" w:name="_Toc304825009"/>
      <w:bookmarkStart w:id="65" w:name="_Toc298937277"/>
      <w:bookmarkStart w:id="66" w:name="_Toc298936925"/>
      <w:bookmarkStart w:id="67" w:name="_Toc499110427"/>
      <w:r>
        <w:rPr>
          <w:rFonts w:hint="eastAsia" w:ascii="仿宋" w:hAnsi="仿宋" w:eastAsia="仿宋" w:cs="仿宋"/>
          <w:kern w:val="0"/>
          <w:sz w:val="32"/>
          <w:szCs w:val="32"/>
          <w:highlight w:val="none"/>
          <w:lang w:val="zh-CN" w:eastAsia="zh-CN" w:bidi="ar-SA"/>
        </w:rPr>
        <w:t>本文件规定了机器人灵巧手驱动用不锈钢微绳的分类与标记、订货内容、技术要求、试验方法、检验规则、标志、包装、运输和贮存、验收、仲裁、安全使用和维护等</w:t>
      </w:r>
      <w:r>
        <w:rPr>
          <w:rFonts w:hint="eastAsia" w:ascii="仿宋" w:hAnsi="仿宋" w:eastAsia="仿宋" w:cs="仿宋"/>
          <w:sz w:val="32"/>
          <w:szCs w:val="32"/>
          <w:lang w:val="en-US" w:eastAsia="zh-CN"/>
        </w:rPr>
        <w:t>。</w:t>
      </w:r>
    </w:p>
    <w:p w14:paraId="43DBF8A4">
      <w:pPr>
        <w:pStyle w:val="33"/>
        <w:keepNext w:val="0"/>
        <w:keepLines w:val="0"/>
        <w:pageBreakBefore w:val="0"/>
        <w:widowControl/>
        <w:kinsoku/>
        <w:wordWrap/>
        <w:overflowPunct/>
        <w:topLinePunct w:val="0"/>
        <w:autoSpaceDE w:val="0"/>
        <w:autoSpaceDN w:val="0"/>
        <w:bidi w:val="0"/>
        <w:adjustRightInd/>
        <w:snapToGrid/>
        <w:spacing w:beforeAutospacing="0" w:line="240" w:lineRule="auto"/>
        <w:ind w:firstLine="640" w:firstLineChars="200"/>
        <w:textAlignment w:val="auto"/>
        <w:rPr>
          <w:rFonts w:hint="eastAsia" w:ascii="仿宋" w:hAnsi="仿宋" w:eastAsia="仿宋" w:cs="仿宋"/>
          <w:kern w:val="0"/>
          <w:sz w:val="32"/>
          <w:szCs w:val="32"/>
          <w:lang w:val="en-US" w:eastAsia="zh-CN" w:bidi="ar-SA"/>
        </w:rPr>
      </w:pPr>
      <w:r>
        <w:rPr>
          <w:rFonts w:hint="eastAsia" w:ascii="仿宋" w:hAnsi="仿宋" w:eastAsia="仿宋" w:cs="仿宋"/>
          <w:sz w:val="32"/>
          <w:szCs w:val="32"/>
          <w:lang w:val="en-US" w:eastAsia="zh-CN"/>
        </w:rPr>
        <w:t>本文件适用于</w:t>
      </w:r>
      <w:sdt>
        <w:sdtPr>
          <w:rPr>
            <w:rFonts w:hint="eastAsia" w:ascii="仿宋" w:hAnsi="仿宋" w:eastAsia="仿宋" w:cs="仿宋"/>
            <w:sz w:val="32"/>
            <w:szCs w:val="32"/>
            <w:lang w:val="en-US" w:eastAsia="zh-CN"/>
          </w:rPr>
          <w:tag w:val="NEW_STAND_NAME"/>
          <w:id w:val="147465211"/>
          <w:lock w:val="sdtLocked"/>
          <w:placeholder>
            <w:docPart w:val="{173d583d-cbfa-4aff-83ee-894fff15f632}"/>
          </w:placeholder>
        </w:sdtPr>
        <w:sdtEndPr>
          <w:rPr>
            <w:rFonts w:hint="eastAsia" w:ascii="仿宋" w:hAnsi="仿宋" w:eastAsia="仿宋" w:cs="仿宋"/>
            <w:sz w:val="32"/>
            <w:szCs w:val="32"/>
            <w:lang w:val="en-US" w:eastAsia="zh-CN"/>
          </w:rPr>
        </w:sdtEndPr>
        <w:sdtContent>
          <w:r>
            <w:rPr>
              <w:rFonts w:hint="eastAsia" w:ascii="仿宋" w:hAnsi="仿宋" w:eastAsia="仿宋" w:cs="仿宋"/>
              <w:sz w:val="32"/>
              <w:szCs w:val="32"/>
              <w:lang w:val="en-US" w:eastAsia="zh-CN"/>
            </w:rPr>
            <w:t>机器人灵巧手驱动用不锈钢微绳</w:t>
          </w:r>
        </w:sdtContent>
      </w:sdt>
      <w:r>
        <w:rPr>
          <w:rFonts w:hint="eastAsia" w:ascii="仿宋" w:hAnsi="仿宋" w:eastAsia="仿宋" w:cs="仿宋"/>
          <w:sz w:val="32"/>
          <w:szCs w:val="32"/>
          <w:lang w:val="en-US" w:eastAsia="zh-CN"/>
        </w:rPr>
        <w:t>。</w:t>
      </w:r>
    </w:p>
    <w:p w14:paraId="0A84BCA1">
      <w:pPr>
        <w:pStyle w:val="26"/>
        <w:numPr>
          <w:ilvl w:val="0"/>
          <w:numId w:val="0"/>
        </w:numPr>
        <w:rPr>
          <w:rFonts w:hint="eastAsia" w:ascii="仿宋" w:hAnsi="仿宋" w:eastAsia="仿宋" w:cs="仿宋"/>
          <w:b/>
          <w:bCs/>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规范性引用文件</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Start w:id="68" w:name="BT2"/>
      <w:bookmarkEnd w:id="68"/>
      <w:bookmarkStart w:id="69" w:name="_Toc298938785"/>
      <w:bookmarkStart w:id="70" w:name="_Toc309993182"/>
      <w:bookmarkStart w:id="71" w:name="_Toc20407"/>
      <w:bookmarkStart w:id="72" w:name="_Toc304402666"/>
      <w:bookmarkStart w:id="73" w:name="_Toc304825010"/>
      <w:bookmarkStart w:id="74" w:name="_Toc298937421"/>
      <w:bookmarkStart w:id="75" w:name="_Toc309994553"/>
      <w:bookmarkStart w:id="76" w:name="_Toc298937278"/>
      <w:bookmarkStart w:id="77" w:name="_Toc304828068"/>
      <w:bookmarkStart w:id="78" w:name="_Toc298937169"/>
      <w:bookmarkStart w:id="79" w:name="_Toc309995474"/>
      <w:bookmarkStart w:id="80" w:name="_Toc304825083"/>
      <w:bookmarkStart w:id="81" w:name="_Toc14492"/>
      <w:bookmarkStart w:id="82" w:name="_Toc298937551"/>
      <w:bookmarkStart w:id="83" w:name="_Toc309995392"/>
      <w:bookmarkStart w:id="84" w:name="_Toc499110428"/>
      <w:bookmarkStart w:id="85" w:name="_Toc298937190"/>
      <w:bookmarkStart w:id="86" w:name="_Toc310002639"/>
      <w:bookmarkStart w:id="87" w:name="_Toc298937359"/>
      <w:bookmarkStart w:id="88" w:name="_Toc298938637"/>
      <w:bookmarkStart w:id="89" w:name="_Toc298937324"/>
      <w:bookmarkStart w:id="90" w:name="_Toc298937464"/>
      <w:bookmarkStart w:id="91" w:name="_Toc298936803"/>
      <w:bookmarkStart w:id="92" w:name="_Toc309995580"/>
      <w:bookmarkStart w:id="93" w:name="_Toc298937611"/>
      <w:bookmarkStart w:id="94" w:name="_Toc298937203"/>
      <w:bookmarkStart w:id="95" w:name="_Toc298937102"/>
      <w:bookmarkStart w:id="96" w:name="_Toc298936926"/>
      <w:bookmarkStart w:id="97" w:name="_Toc304824971"/>
      <w:bookmarkStart w:id="98" w:name="_Toc298937154"/>
      <w:bookmarkStart w:id="99" w:name="_Toc309996001"/>
      <w:bookmarkStart w:id="100" w:name="_Toc309997042"/>
    </w:p>
    <w:p w14:paraId="4D197148">
      <w:pPr>
        <w:pStyle w:val="26"/>
        <w:numPr>
          <w:ilvl w:val="0"/>
          <w:numId w:val="0"/>
        </w:numPr>
        <w:ind w:firstLine="640" w:firstLineChars="200"/>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02D6C55">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GB/T 228.1  金属材料  拉伸试验  第1部分：室温试验方法</w:t>
      </w:r>
    </w:p>
    <w:p w14:paraId="167CFDEA">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GB/T 239.1  金属材料  线材  第1部分：单向扭转试验方法</w:t>
      </w:r>
    </w:p>
    <w:p w14:paraId="0CAC04F8">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GB/T 239.2  金属材料  线材  第2部分：双向扭转试验方法</w:t>
      </w:r>
    </w:p>
    <w:p w14:paraId="3CF705B2">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GB/T 2828.1  计数抽样检验程序  第1部分：按接收质量限（AQL）检索的逐批检验抽样计划</w:t>
      </w:r>
    </w:p>
    <w:p w14:paraId="5E067F8F">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GB/T 4356  不锈钢盘条</w:t>
      </w:r>
    </w:p>
    <w:p w14:paraId="000D94AE">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GB/T 9944  不锈钢丝绳</w:t>
      </w:r>
    </w:p>
    <w:p w14:paraId="77218B3D">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GB/T 10125  人造气氛腐蚀试验  盐雾试验</w:t>
      </w:r>
    </w:p>
    <w:p w14:paraId="2FED8294">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GB/T 20118  钢丝绳通用技术条件</w:t>
      </w:r>
    </w:p>
    <w:p w14:paraId="59C8E11E">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GB/T 20878  不锈钢  牌号及化学成分</w:t>
      </w:r>
    </w:p>
    <w:p w14:paraId="3D4D52BE">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GB/T 29086  钢丝绳  安全  使用和维护</w:t>
      </w:r>
    </w:p>
    <w:p w14:paraId="512B5F76">
      <w:pPr>
        <w:pStyle w:val="139"/>
        <w:numPr>
          <w:ilvl w:val="0"/>
          <w:numId w:val="12"/>
        </w:numPr>
        <w:spacing w:before="312" w:after="312"/>
        <w:rPr>
          <w:rFonts w:hint="eastAsia" w:ascii="仿宋" w:hAnsi="仿宋" w:eastAsia="仿宋" w:cs="仿宋"/>
          <w:b/>
          <w:bCs/>
          <w:sz w:val="32"/>
          <w:szCs w:val="32"/>
          <w:lang w:val="en-US" w:eastAsia="zh-CN" w:bidi="ar-SA"/>
        </w:rPr>
      </w:pPr>
      <w:r>
        <w:rPr>
          <w:rFonts w:hint="eastAsia" w:ascii="仿宋" w:hAnsi="仿宋" w:eastAsia="仿宋" w:cs="仿宋"/>
          <w:b/>
          <w:bCs/>
          <w:sz w:val="32"/>
          <w:szCs w:val="32"/>
          <w:lang w:val="en-US" w:eastAsia="zh-CN" w:bidi="ar-SA"/>
        </w:rPr>
        <w:t>术语和定义</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Toc28815"/>
      <w:bookmarkEnd w:id="101"/>
      <w:bookmarkStart w:id="102" w:name="_Toc24305"/>
      <w:bookmarkEnd w:id="102"/>
      <w:bookmarkStart w:id="103" w:name="_Toc31824"/>
      <w:bookmarkEnd w:id="103"/>
      <w:bookmarkStart w:id="104" w:name="_Toc53480577"/>
      <w:bookmarkStart w:id="105" w:name="_Toc53501691"/>
      <w:bookmarkStart w:id="106" w:name="_Toc24216"/>
      <w:bookmarkStart w:id="107" w:name="_Toc23010"/>
      <w:bookmarkStart w:id="108" w:name="_Toc53587167"/>
      <w:bookmarkStart w:id="109" w:name="_Hlk53576250"/>
      <w:bookmarkStart w:id="110" w:name="_Toc10606"/>
      <w:bookmarkStart w:id="111" w:name="_Toc27503"/>
      <w:bookmarkStart w:id="112" w:name="_Toc53480861"/>
      <w:bookmarkStart w:id="113" w:name="_Toc53575559"/>
    </w:p>
    <w:bookmarkEnd w:id="104"/>
    <w:bookmarkEnd w:id="105"/>
    <w:bookmarkEnd w:id="106"/>
    <w:bookmarkEnd w:id="107"/>
    <w:bookmarkEnd w:id="108"/>
    <w:bookmarkEnd w:id="109"/>
    <w:bookmarkEnd w:id="110"/>
    <w:bookmarkEnd w:id="111"/>
    <w:bookmarkEnd w:id="112"/>
    <w:bookmarkEnd w:id="113"/>
    <w:p w14:paraId="391469B0">
      <w:pPr>
        <w:pStyle w:val="26"/>
        <w:numPr>
          <w:ilvl w:val="0"/>
          <w:numId w:val="0"/>
        </w:numP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下列术语和定义适用于本文件。</w:t>
      </w:r>
    </w:p>
    <w:p w14:paraId="18EB8F9F">
      <w:pPr>
        <w:pStyle w:val="168"/>
        <w:bidi w:val="0"/>
        <w:ind w:left="0" w:leftChars="0" w:firstLine="0" w:firstLineChars="0"/>
        <w:rPr>
          <w:rFonts w:hint="eastAsia" w:ascii="仿宋" w:hAnsi="仿宋" w:eastAsia="仿宋" w:cs="仿宋"/>
          <w:sz w:val="32"/>
          <w:szCs w:val="32"/>
        </w:rPr>
      </w:pPr>
    </w:p>
    <w:p w14:paraId="3C6483A5">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灵巧手  dexterous hand</w:t>
      </w:r>
    </w:p>
    <w:p w14:paraId="1D639801">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具备接近或类似人手的自由度数量和排列方式，能灵活完成多种复杂抓握和操作任务的仿生手装置。</w:t>
      </w:r>
    </w:p>
    <w:p w14:paraId="024FE52D">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注：“灵巧”主要体现为高自由度与高操作能力的平衡。灵巧手通常具有多个可独立或协同运动的关节，能够适应不同形状和操作需求的目标物体。</w:t>
      </w:r>
    </w:p>
    <w:p w14:paraId="68159009">
      <w:pPr>
        <w:pStyle w:val="168"/>
        <w:bidi w:val="0"/>
        <w:ind w:left="0" w:leftChars="0" w:firstLine="0" w:firstLineChars="0"/>
        <w:rPr>
          <w:rFonts w:hint="eastAsia" w:ascii="仿宋" w:hAnsi="仿宋" w:eastAsia="仿宋" w:cs="仿宋"/>
          <w:sz w:val="32"/>
          <w:szCs w:val="32"/>
        </w:rPr>
      </w:pPr>
    </w:p>
    <w:p w14:paraId="3C56C7CB">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不锈钢微绳  stainless steel micro-wire</w:t>
      </w:r>
    </w:p>
    <w:p w14:paraId="4EA2FDAE">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指公称直径不大于1.0 mm，由多根不锈钢钢丝捻制而成的柔性绳索。</w:t>
      </w:r>
    </w:p>
    <w:p w14:paraId="6C54B2D8">
      <w:pPr>
        <w:pStyle w:val="168"/>
        <w:bidi w:val="0"/>
        <w:ind w:left="0" w:leftChars="0" w:firstLine="0" w:firstLineChars="0"/>
        <w:rPr>
          <w:rFonts w:hint="eastAsia" w:ascii="仿宋" w:hAnsi="仿宋" w:eastAsia="仿宋" w:cs="仿宋"/>
          <w:sz w:val="32"/>
          <w:szCs w:val="32"/>
        </w:rPr>
      </w:pPr>
    </w:p>
    <w:p w14:paraId="24784C26">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奥氏体不锈钢  austenitic stainless steel</w:t>
      </w:r>
    </w:p>
    <w:p w14:paraId="1F8005F0">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基体以面心立方晶体结构的奥氏体组织为主，主要通过冷加工或氮合金化使其强化的不锈钢。</w:t>
      </w:r>
    </w:p>
    <w:p w14:paraId="6B597E0C">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[来源：GB/T 20878—2024，3.2]</w:t>
      </w:r>
    </w:p>
    <w:p w14:paraId="342731E5">
      <w:pPr>
        <w:pStyle w:val="168"/>
        <w:bidi w:val="0"/>
        <w:ind w:left="0" w:leftChars="0" w:firstLine="0" w:firstLineChars="0"/>
        <w:rPr>
          <w:rFonts w:hint="eastAsia" w:ascii="仿宋" w:hAnsi="仿宋" w:eastAsia="仿宋" w:cs="仿宋"/>
          <w:sz w:val="32"/>
          <w:szCs w:val="32"/>
        </w:rPr>
      </w:pPr>
    </w:p>
    <w:p w14:paraId="0A9FBD35">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马氏体不锈钢  martensitic stainless steel</w:t>
      </w:r>
    </w:p>
    <w:p w14:paraId="7B20F805">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基体以畸变体心立方晶体结构的马氏体组织为主，能通过热处理调整其力学性能的不锈钢。</w:t>
      </w:r>
    </w:p>
    <w:p w14:paraId="49B205D3">
      <w:pPr>
        <w:pStyle w:val="33"/>
        <w:widowControl/>
        <w:autoSpaceDE w:val="0"/>
        <w:autoSpaceDN w:val="0"/>
        <w:spacing w:beforeAutospacing="0" w:afterAutospacing="0"/>
        <w:ind w:firstLine="640" w:firstLineChars="200"/>
        <w:jc w:val="both"/>
        <w:rPr>
          <w:rFonts w:hint="eastAsia" w:ascii="仿宋" w:hAnsi="仿宋" w:eastAsia="仿宋" w:cs="仿宋"/>
          <w:sz w:val="32"/>
          <w:szCs w:val="32"/>
          <w:lang w:val="en-US" w:eastAsia="zh-CN" w:bidi="zh-CN"/>
        </w:rPr>
      </w:pPr>
      <w:r>
        <w:rPr>
          <w:rFonts w:hint="eastAsia" w:ascii="仿宋" w:hAnsi="仿宋" w:eastAsia="仿宋" w:cs="仿宋"/>
          <w:sz w:val="32"/>
          <w:szCs w:val="32"/>
        </w:rPr>
        <w:t>[来源：GB/T 20878—2024，3.5]</w:t>
      </w:r>
      <w:r>
        <w:rPr>
          <w:rFonts w:hint="eastAsia" w:ascii="仿宋" w:hAnsi="仿宋" w:eastAsia="仿宋" w:cs="仿宋"/>
          <w:sz w:val="32"/>
          <w:szCs w:val="32"/>
          <w:lang w:val="en-US" w:eastAsia="zh-CN" w:bidi="zh-CN"/>
        </w:rPr>
        <w:t>。</w:t>
      </w:r>
    </w:p>
    <w:p w14:paraId="6A8AE73F">
      <w:pPr>
        <w:pStyle w:val="139"/>
        <w:numPr>
          <w:ilvl w:val="0"/>
          <w:numId w:val="12"/>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分类与标记</w:t>
      </w:r>
    </w:p>
    <w:p w14:paraId="4C69216F">
      <w:pPr>
        <w:pStyle w:val="33"/>
        <w:widowControl/>
        <w:autoSpaceDE w:val="0"/>
        <w:autoSpaceDN w:val="0"/>
        <w:spacing w:beforeAutospacing="0" w:afterAutospacing="0"/>
        <w:ind w:firstLine="640" w:firstLineChars="200"/>
        <w:jc w:val="both"/>
        <w:rPr>
          <w:rFonts w:hint="default" w:ascii="仿宋" w:hAnsi="仿宋" w:eastAsia="仿宋" w:cs="仿宋"/>
          <w:sz w:val="32"/>
          <w:szCs w:val="32"/>
          <w:lang w:val="en-US" w:eastAsia="zh-CN" w:bidi="zh-CN"/>
        </w:rPr>
      </w:pPr>
      <w:r>
        <w:rPr>
          <w:rFonts w:hint="eastAsia" w:ascii="仿宋" w:hAnsi="仿宋" w:eastAsia="仿宋" w:cs="仿宋"/>
          <w:sz w:val="32"/>
          <w:szCs w:val="32"/>
          <w:lang w:val="en-US" w:eastAsia="zh-CN" w:bidi="zh-CN"/>
        </w:rPr>
        <w:t>规定了机器人灵巧手驱动用不锈钢微绳的分类与标记。</w:t>
      </w:r>
    </w:p>
    <w:p w14:paraId="5BDF0136">
      <w:pPr>
        <w:pStyle w:val="139"/>
        <w:numPr>
          <w:ilvl w:val="0"/>
          <w:numId w:val="12"/>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订货内容</w:t>
      </w:r>
    </w:p>
    <w:p w14:paraId="0C5435E6">
      <w:pPr>
        <w:pStyle w:val="33"/>
        <w:widowControl/>
        <w:autoSpaceDE w:val="0"/>
        <w:autoSpaceDN w:val="0"/>
        <w:spacing w:beforeAutospacing="0" w:afterAutospacing="0"/>
        <w:ind w:firstLine="640" w:firstLineChars="200"/>
        <w:jc w:val="both"/>
        <w:rPr>
          <w:rFonts w:hint="default" w:ascii="仿宋" w:hAnsi="仿宋" w:eastAsia="仿宋" w:cs="仿宋"/>
          <w:sz w:val="32"/>
          <w:szCs w:val="32"/>
          <w:lang w:val="en-US" w:eastAsia="zh-CN" w:bidi="zh-CN"/>
        </w:rPr>
      </w:pPr>
      <w:r>
        <w:rPr>
          <w:rFonts w:hint="eastAsia" w:ascii="仿宋" w:hAnsi="仿宋" w:eastAsia="仿宋" w:cs="仿宋"/>
          <w:sz w:val="32"/>
          <w:szCs w:val="32"/>
          <w:lang w:val="en-US" w:eastAsia="zh-CN" w:bidi="zh-CN"/>
        </w:rPr>
        <w:t>规定了机器人灵巧手驱动用不锈钢微绳的订货内容。</w:t>
      </w:r>
    </w:p>
    <w:p w14:paraId="3826F8F3">
      <w:pPr>
        <w:pStyle w:val="139"/>
        <w:numPr>
          <w:ilvl w:val="0"/>
          <w:numId w:val="12"/>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技术要求</w:t>
      </w:r>
    </w:p>
    <w:p w14:paraId="47DEC887">
      <w:pPr>
        <w:pStyle w:val="33"/>
        <w:widowControl/>
        <w:autoSpaceDE w:val="0"/>
        <w:autoSpaceDN w:val="0"/>
        <w:spacing w:beforeAutospacing="0" w:afterAutospacing="0"/>
        <w:ind w:firstLine="640" w:firstLineChars="200"/>
        <w:jc w:val="both"/>
        <w:rPr>
          <w:rFonts w:hint="eastAsia" w:ascii="仿宋" w:hAnsi="仿宋" w:eastAsia="仿宋" w:cs="仿宋"/>
          <w:sz w:val="32"/>
          <w:szCs w:val="32"/>
          <w:lang w:val="en-US" w:eastAsia="zh-CN" w:bidi="zh-CN"/>
        </w:rPr>
      </w:pPr>
      <w:r>
        <w:rPr>
          <w:rFonts w:hint="eastAsia" w:ascii="仿宋" w:hAnsi="仿宋" w:eastAsia="仿宋" w:cs="仿宋"/>
          <w:sz w:val="32"/>
          <w:szCs w:val="32"/>
          <w:lang w:val="en-US" w:eastAsia="zh-CN" w:bidi="zh-CN"/>
        </w:rPr>
        <w:t>规定了机器人灵巧手驱动用不锈钢微绳的技术要求。</w:t>
      </w:r>
    </w:p>
    <w:p w14:paraId="12D5C999">
      <w:pPr>
        <w:pStyle w:val="139"/>
        <w:numPr>
          <w:ilvl w:val="0"/>
          <w:numId w:val="12"/>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试验方法</w:t>
      </w:r>
    </w:p>
    <w:p w14:paraId="7CEAFA38">
      <w:pPr>
        <w:pStyle w:val="33"/>
        <w:widowControl/>
        <w:autoSpaceDE w:val="0"/>
        <w:autoSpaceDN w:val="0"/>
        <w:spacing w:beforeAutospacing="0" w:afterAutospacing="0"/>
        <w:ind w:firstLine="640" w:firstLineChars="200"/>
        <w:jc w:val="both"/>
        <w:rPr>
          <w:rFonts w:hint="default"/>
          <w:highlight w:val="none"/>
          <w:lang w:val="en-US" w:eastAsia="zh-CN"/>
        </w:rPr>
      </w:pPr>
      <w:r>
        <w:rPr>
          <w:rFonts w:hint="eastAsia" w:ascii="仿宋" w:hAnsi="仿宋" w:eastAsia="仿宋" w:cs="仿宋"/>
          <w:sz w:val="32"/>
          <w:szCs w:val="32"/>
          <w:lang w:val="en-US" w:eastAsia="zh-CN" w:bidi="zh-CN"/>
        </w:rPr>
        <w:t>规定了机器人灵巧手驱动用不锈钢微绳的试验方法。</w:t>
      </w:r>
    </w:p>
    <w:p w14:paraId="2D7FAAC5">
      <w:pPr>
        <w:pStyle w:val="139"/>
        <w:numPr>
          <w:ilvl w:val="0"/>
          <w:numId w:val="12"/>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检验规则</w:t>
      </w:r>
    </w:p>
    <w:p w14:paraId="17E20874">
      <w:pPr>
        <w:pStyle w:val="33"/>
        <w:widowControl/>
        <w:autoSpaceDE w:val="0"/>
        <w:autoSpaceDN w:val="0"/>
        <w:spacing w:beforeAutospacing="0" w:afterAutospacing="0"/>
        <w:ind w:firstLine="640" w:firstLineChars="200"/>
        <w:jc w:val="both"/>
        <w:rPr>
          <w:rFonts w:hint="default" w:ascii="仿宋" w:hAnsi="仿宋" w:eastAsia="仿宋" w:cs="仿宋"/>
          <w:sz w:val="32"/>
          <w:szCs w:val="32"/>
          <w:lang w:val="en-US" w:eastAsia="zh-CN" w:bidi="zh-CN"/>
        </w:rPr>
      </w:pPr>
      <w:r>
        <w:rPr>
          <w:rFonts w:hint="eastAsia" w:ascii="仿宋" w:hAnsi="仿宋" w:eastAsia="仿宋" w:cs="仿宋"/>
          <w:sz w:val="32"/>
          <w:szCs w:val="32"/>
          <w:lang w:val="en-US" w:eastAsia="zh-CN" w:bidi="zh-CN"/>
        </w:rPr>
        <w:t>规定了机器人灵巧手驱动用不锈钢微绳的检验规则。</w:t>
      </w:r>
    </w:p>
    <w:p w14:paraId="058622E8">
      <w:pPr>
        <w:pStyle w:val="139"/>
        <w:numPr>
          <w:ilvl w:val="0"/>
          <w:numId w:val="12"/>
        </w:numPr>
        <w:spacing w:before="312" w:after="312"/>
        <w:rPr>
          <w:rFonts w:hint="default"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标志、包装、运输和贮存</w:t>
      </w:r>
    </w:p>
    <w:p w14:paraId="4F71F31C">
      <w:pPr>
        <w:pStyle w:val="26"/>
        <w:rPr>
          <w:rFonts w:hint="eastAsia" w:ascii="仿宋" w:hAnsi="仿宋" w:eastAsia="仿宋" w:cs="仿宋"/>
          <w:sz w:val="32"/>
          <w:szCs w:val="32"/>
          <w:lang w:val="en-US" w:eastAsia="zh-CN" w:bidi="zh-CN"/>
        </w:rPr>
      </w:pPr>
      <w:r>
        <w:rPr>
          <w:rFonts w:hint="eastAsia" w:ascii="仿宋" w:hAnsi="仿宋" w:eastAsia="仿宋" w:cs="仿宋"/>
          <w:sz w:val="32"/>
          <w:szCs w:val="32"/>
          <w:lang w:val="en-US" w:eastAsia="zh-CN" w:bidi="zh-CN"/>
        </w:rPr>
        <w:t>规定了机器人灵巧手驱动用不锈钢微绳</w:t>
      </w:r>
      <w:bookmarkStart w:id="114" w:name="_GoBack"/>
      <w:bookmarkEnd w:id="114"/>
      <w:r>
        <w:rPr>
          <w:rFonts w:hint="eastAsia" w:ascii="仿宋" w:hAnsi="仿宋" w:eastAsia="仿宋" w:cs="仿宋"/>
          <w:sz w:val="32"/>
          <w:szCs w:val="32"/>
          <w:lang w:val="en-US" w:eastAsia="zh-CN" w:bidi="zh-CN"/>
        </w:rPr>
        <w:t>的标志包装、运输和贮存。</w:t>
      </w:r>
    </w:p>
    <w:p w14:paraId="3D1801B1">
      <w:pPr>
        <w:pStyle w:val="139"/>
        <w:numPr>
          <w:ilvl w:val="0"/>
          <w:numId w:val="12"/>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验收</w:t>
      </w:r>
    </w:p>
    <w:p w14:paraId="78F53EB7">
      <w:pPr>
        <w:pStyle w:val="26"/>
        <w:rPr>
          <w:rFonts w:hint="eastAsia"/>
          <w:lang w:val="en-US" w:eastAsia="zh-CN"/>
        </w:rPr>
      </w:pPr>
      <w:r>
        <w:rPr>
          <w:rFonts w:hint="eastAsia" w:ascii="仿宋" w:hAnsi="仿宋" w:eastAsia="仿宋" w:cs="仿宋"/>
          <w:sz w:val="32"/>
          <w:szCs w:val="32"/>
          <w:lang w:val="en-US" w:eastAsia="zh-CN" w:bidi="zh-CN"/>
        </w:rPr>
        <w:t>规定了机器人灵巧手驱动用不锈钢微绳的验收。</w:t>
      </w:r>
    </w:p>
    <w:p w14:paraId="2BDAA2D4">
      <w:pPr>
        <w:pStyle w:val="139"/>
        <w:numPr>
          <w:ilvl w:val="0"/>
          <w:numId w:val="12"/>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仲裁</w:t>
      </w:r>
    </w:p>
    <w:p w14:paraId="692311B8">
      <w:pPr>
        <w:pStyle w:val="26"/>
        <w:rPr>
          <w:rFonts w:hint="eastAsia"/>
          <w:lang w:val="en-US" w:eastAsia="zh-CN"/>
        </w:rPr>
      </w:pPr>
      <w:r>
        <w:rPr>
          <w:rFonts w:hint="eastAsia" w:ascii="仿宋" w:hAnsi="仿宋" w:eastAsia="仿宋" w:cs="仿宋"/>
          <w:sz w:val="32"/>
          <w:szCs w:val="32"/>
          <w:lang w:val="en-US" w:eastAsia="zh-CN" w:bidi="zh-CN"/>
        </w:rPr>
        <w:t>规定了机器人灵巧手驱动用不锈钢微绳的仲裁。</w:t>
      </w:r>
    </w:p>
    <w:p w14:paraId="4F3C6C04">
      <w:pPr>
        <w:pStyle w:val="139"/>
        <w:numPr>
          <w:ilvl w:val="0"/>
          <w:numId w:val="12"/>
        </w:numPr>
        <w:spacing w:before="312" w:after="312"/>
        <w:rPr>
          <w:rFonts w:hint="default"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安全使用和维护</w:t>
      </w:r>
    </w:p>
    <w:p w14:paraId="4908501A">
      <w:pPr>
        <w:pStyle w:val="26"/>
        <w:rPr>
          <w:rFonts w:hint="default"/>
          <w:lang w:val="en-US" w:eastAsia="zh-CN"/>
        </w:rPr>
      </w:pPr>
      <w:r>
        <w:rPr>
          <w:rFonts w:hint="eastAsia" w:ascii="仿宋" w:hAnsi="仿宋" w:eastAsia="仿宋" w:cs="仿宋"/>
          <w:sz w:val="32"/>
          <w:szCs w:val="32"/>
          <w:lang w:val="en-US" w:eastAsia="zh-CN" w:bidi="zh-CN"/>
        </w:rPr>
        <w:t>规定了机器人灵巧手驱动用不锈钢微绳的安全使用和维护。</w:t>
      </w:r>
    </w:p>
    <w:p w14:paraId="1F323B41">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六、标准水平分析</w:t>
      </w:r>
    </w:p>
    <w:p w14:paraId="49D765F3">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6.1采用国际标准和国外先进标准的程度</w:t>
      </w:r>
    </w:p>
    <w:p w14:paraId="649F3D9F">
      <w:pPr>
        <w:spacing w:before="156" w:beforeLines="50" w:after="156" w:afterLines="50"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经查，国内外无相同类型的标准，故没有相应的国内外标准可采用。</w:t>
      </w:r>
    </w:p>
    <w:p w14:paraId="0E5A0B05">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6.2与国际标准及国外标准水平对比</w:t>
      </w:r>
    </w:p>
    <w:p w14:paraId="66DFC7E8">
      <w:pPr>
        <w:spacing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本标准达到国内先进水平。</w:t>
      </w:r>
    </w:p>
    <w:p w14:paraId="74ADF87C">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6.3与现有标准及制定中的标准协调配套情况</w:t>
      </w:r>
    </w:p>
    <w:p w14:paraId="6E68DF36">
      <w:pPr>
        <w:spacing w:line="360" w:lineRule="auto"/>
        <w:ind w:firstLine="48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本标准的制定与现有的标准及制定中的标准协调配套，无重复交叉现象。</w:t>
      </w:r>
    </w:p>
    <w:p w14:paraId="3406E990">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6.4设计国内外专利及处置情况</w:t>
      </w:r>
    </w:p>
    <w:p w14:paraId="57A9E62E">
      <w:pPr>
        <w:spacing w:line="360" w:lineRule="auto"/>
        <w:ind w:firstLine="480"/>
        <w:rPr>
          <w:rFonts w:ascii="仿宋_GB2312" w:hAnsi="宋体" w:eastAsia="仿宋_GB2312" w:cs="宋体"/>
          <w:color w:val="000000"/>
          <w:sz w:val="32"/>
          <w:szCs w:val="32"/>
        </w:rPr>
      </w:pPr>
      <w:r>
        <w:rPr>
          <w:rFonts w:hint="eastAsia" w:ascii="仿宋_GB2312" w:hAnsi="宋体" w:eastAsia="仿宋_GB2312" w:cs="宋体"/>
          <w:color w:val="000000"/>
          <w:sz w:val="32"/>
          <w:szCs w:val="32"/>
        </w:rPr>
        <w:t>经查，本标准没有涉及国内外专利。</w:t>
      </w:r>
    </w:p>
    <w:p w14:paraId="0E3AEC7C">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七、与有关的现行法律、法规和强制性国家标准及相关标准协调配套情况</w:t>
      </w:r>
    </w:p>
    <w:p w14:paraId="176ED774">
      <w:pPr>
        <w:spacing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本标准的制定过程、技术指标的选定、检验项目的设置符合现行法律、法规和强制性国家标准的规定。</w:t>
      </w:r>
    </w:p>
    <w:p w14:paraId="419DD82C">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八、重大分歧意见的处理经过和依据</w:t>
      </w:r>
    </w:p>
    <w:p w14:paraId="7B06D915">
      <w:pPr>
        <w:spacing w:line="360" w:lineRule="auto"/>
        <w:ind w:firstLine="480"/>
        <w:rPr>
          <w:rFonts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77C45D7B">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九、标准作为强制性或推荐性标准的建议</w:t>
      </w:r>
    </w:p>
    <w:p w14:paraId="5C138B44">
      <w:pPr>
        <w:spacing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建议该标准作为推荐性团体标准。</w:t>
      </w:r>
    </w:p>
    <w:p w14:paraId="7FAA26F1">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十、贯彻标准的要求和措施建议，包括（组织措施、技术措施、过渡办法）</w:t>
      </w:r>
    </w:p>
    <w:p w14:paraId="32925B1B">
      <w:pPr>
        <w:pStyle w:val="56"/>
        <w:numPr>
          <w:ilvl w:val="1"/>
          <w:numId w:val="0"/>
        </w:numPr>
        <w:spacing w:before="156" w:after="156"/>
        <w:ind w:leftChars="0"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由于本标准首次制定，没有</w:t>
      </w:r>
      <w:r>
        <w:rPr>
          <w:rFonts w:hint="eastAsia" w:ascii="仿宋_GB2312" w:hAnsi="宋体" w:eastAsia="仿宋_GB2312" w:cs="宋体"/>
          <w:color w:val="000000"/>
          <w:sz w:val="32"/>
          <w:szCs w:val="32"/>
          <w:lang w:val="en-US" w:eastAsia="zh-CN"/>
        </w:rPr>
        <w:t>特殊</w:t>
      </w:r>
      <w:r>
        <w:rPr>
          <w:rFonts w:hint="eastAsia" w:ascii="仿宋_GB2312" w:hAnsi="宋体" w:eastAsia="仿宋_GB2312" w:cs="宋体"/>
          <w:color w:val="000000"/>
          <w:sz w:val="32"/>
          <w:szCs w:val="32"/>
        </w:rPr>
        <w:t>要求。</w:t>
      </w:r>
    </w:p>
    <w:p w14:paraId="35E4CE26">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十一、废止现有有关标准的建议</w:t>
      </w:r>
    </w:p>
    <w:p w14:paraId="0C2E30F2">
      <w:pPr>
        <w:spacing w:line="360" w:lineRule="auto"/>
        <w:ind w:firstLine="48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42D507BE">
      <w:pPr>
        <w:spacing w:line="360" w:lineRule="auto"/>
        <w:rPr>
          <w:rFonts w:hint="eastAsia" w:ascii="仿宋_GB2312" w:hAnsi="宋体" w:eastAsia="仿宋_GB2312" w:cs="宋体"/>
          <w:color w:val="000000"/>
          <w:sz w:val="32"/>
          <w:szCs w:val="32"/>
        </w:rPr>
      </w:pPr>
    </w:p>
    <w:p w14:paraId="48482C18">
      <w:pPr>
        <w:pStyle w:val="26"/>
        <w:numPr>
          <w:ilvl w:val="255"/>
          <w:numId w:val="0"/>
        </w:numPr>
        <w:wordWrap/>
        <w:jc w:val="right"/>
        <w:rPr>
          <w:rFonts w:hint="eastAsia" w:ascii="仿宋" w:hAnsi="仿宋" w:eastAsia="仿宋" w:cs="仿宋"/>
          <w:kern w:val="0"/>
          <w:sz w:val="32"/>
          <w:szCs w:val="32"/>
          <w:highlight w:val="none"/>
        </w:rPr>
      </w:pPr>
    </w:p>
    <w:p w14:paraId="15AA6302">
      <w:pPr>
        <w:pStyle w:val="26"/>
        <w:numPr>
          <w:ilvl w:val="255"/>
          <w:numId w:val="0"/>
        </w:numPr>
        <w:wordWrap/>
        <w:jc w:val="righ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机器人灵巧手驱动用不锈钢微绳通用技术条件</w:t>
      </w:r>
      <w:r>
        <w:rPr>
          <w:rFonts w:hint="eastAsia" w:ascii="仿宋" w:hAnsi="仿宋" w:eastAsia="仿宋" w:cs="仿宋"/>
          <w:kern w:val="0"/>
          <w:sz w:val="32"/>
          <w:szCs w:val="32"/>
          <w:highlight w:val="none"/>
        </w:rPr>
        <w:t>》</w:t>
      </w:r>
    </w:p>
    <w:p w14:paraId="1113CCFE">
      <w:pPr>
        <w:pStyle w:val="26"/>
        <w:numPr>
          <w:ilvl w:val="255"/>
          <w:numId w:val="0"/>
        </w:numPr>
        <w:wordWrap w:val="0"/>
        <w:jc w:val="center"/>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val="en-US" w:eastAsia="zh-CN"/>
        </w:rPr>
        <w:t xml:space="preserve">                             </w:t>
      </w:r>
      <w:r>
        <w:rPr>
          <w:rFonts w:hint="eastAsia" w:ascii="仿宋" w:hAnsi="仿宋" w:eastAsia="仿宋" w:cs="仿宋"/>
          <w:kern w:val="0"/>
          <w:sz w:val="32"/>
          <w:szCs w:val="32"/>
          <w:highlight w:val="none"/>
        </w:rPr>
        <w:t>团体标准起草组</w:t>
      </w:r>
    </w:p>
    <w:p w14:paraId="312BC785">
      <w:pPr>
        <w:pStyle w:val="26"/>
        <w:numPr>
          <w:ilvl w:val="255"/>
          <w:numId w:val="0"/>
        </w:numPr>
        <w:wordWrap w:val="0"/>
        <w:ind w:firstLine="5760" w:firstLineChars="1800"/>
        <w:jc w:val="both"/>
        <w:rPr>
          <w:rFonts w:ascii="仿宋" w:hAnsi="仿宋" w:eastAsia="仿宋" w:cs="仿宋"/>
          <w:color w:val="000000"/>
          <w:sz w:val="32"/>
          <w:szCs w:val="32"/>
          <w:highlight w:val="none"/>
        </w:rPr>
      </w:pPr>
      <w:r>
        <w:rPr>
          <w:rFonts w:hint="eastAsia" w:ascii="仿宋" w:hAnsi="仿宋" w:eastAsia="仿宋" w:cs="仿宋"/>
          <w:kern w:val="0"/>
          <w:sz w:val="32"/>
          <w:szCs w:val="32"/>
          <w:highlight w:val="none"/>
        </w:rPr>
        <w:t>202</w:t>
      </w:r>
      <w:r>
        <w:rPr>
          <w:rFonts w:hint="eastAsia" w:ascii="仿宋" w:hAnsi="仿宋" w:eastAsia="仿宋" w:cs="仿宋"/>
          <w:kern w:val="0"/>
          <w:sz w:val="32"/>
          <w:szCs w:val="32"/>
          <w:highlight w:val="none"/>
          <w:lang w:val="en-US" w:eastAsia="zh-CN"/>
        </w:rPr>
        <w:t>6</w:t>
      </w:r>
      <w:r>
        <w:rPr>
          <w:rFonts w:hint="eastAsia" w:ascii="仿宋" w:hAnsi="仿宋" w:eastAsia="仿宋" w:cs="仿宋"/>
          <w:kern w:val="0"/>
          <w:sz w:val="32"/>
          <w:szCs w:val="32"/>
          <w:highlight w:val="none"/>
        </w:rPr>
        <w:t>年</w:t>
      </w:r>
      <w:r>
        <w:rPr>
          <w:rFonts w:hint="eastAsia" w:ascii="仿宋" w:hAnsi="仿宋" w:eastAsia="仿宋" w:cs="仿宋"/>
          <w:kern w:val="0"/>
          <w:sz w:val="32"/>
          <w:szCs w:val="32"/>
          <w:highlight w:val="none"/>
          <w:lang w:val="en-US" w:eastAsia="zh-CN"/>
        </w:rPr>
        <w:t>7</w:t>
      </w:r>
      <w:r>
        <w:rPr>
          <w:rFonts w:hint="eastAsia" w:ascii="仿宋" w:hAnsi="仿宋" w:eastAsia="仿宋" w:cs="仿宋"/>
          <w:kern w:val="0"/>
          <w:sz w:val="32"/>
          <w:szCs w:val="32"/>
          <w:highlight w:val="none"/>
        </w:rPr>
        <w:t xml:space="preserve">月    </w:t>
      </w:r>
    </w:p>
    <w:sectPr>
      <w:footerReference r:id="rId4" w:type="default"/>
      <w:headerReference r:id="rId3" w:type="even"/>
      <w:footerReference r:id="rId5" w:type="even"/>
      <w:pgSz w:w="11906" w:h="16838"/>
      <w:pgMar w:top="1440" w:right="1800" w:bottom="1440" w:left="1800"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E5213">
    <w:pPr>
      <w:pStyle w:val="20"/>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48615">
    <w:pPr>
      <w:pStyle w:val="20"/>
      <w:ind w:firstLine="180" w:firstLineChars="100"/>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B38AF">
    <w:pPr>
      <w:pStyle w:val="87"/>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81ACD"/>
    <w:multiLevelType w:val="singleLevel"/>
    <w:tmpl w:val="F2D81ACD"/>
    <w:lvl w:ilvl="0" w:tentative="0">
      <w:start w:val="2"/>
      <w:numFmt w:val="chineseCounting"/>
      <w:suff w:val="nothing"/>
      <w:lvlText w:val="%1、"/>
      <w:lvlJc w:val="left"/>
      <w:rPr>
        <w:rFonts w:hint="eastAsia"/>
      </w:rPr>
    </w:lvl>
  </w:abstractNum>
  <w:abstractNum w:abstractNumId="1">
    <w:nsid w:val="FA49A52F"/>
    <w:multiLevelType w:val="singleLevel"/>
    <w:tmpl w:val="FA49A52F"/>
    <w:lvl w:ilvl="0" w:tentative="0">
      <w:start w:val="3"/>
      <w:numFmt w:val="decimal"/>
      <w:suff w:val="nothing"/>
      <w:lvlText w:val="%1、"/>
      <w:lvlJc w:val="left"/>
    </w:lvl>
  </w:abstractNum>
  <w:abstractNum w:abstractNumId="2">
    <w:nsid w:val="0F3812E5"/>
    <w:multiLevelType w:val="multilevel"/>
    <w:tmpl w:val="0F3812E5"/>
    <w:lvl w:ilvl="0" w:tentative="0">
      <w:start w:val="1"/>
      <w:numFmt w:val="none"/>
      <w:suff w:val="nothing"/>
      <w:lvlText w:val="%1"/>
      <w:lvlJc w:val="left"/>
      <w:pPr>
        <w:ind w:left="0" w:firstLine="0"/>
      </w:pPr>
      <w:rPr>
        <w:rFonts w:hint="eastAsia"/>
      </w:rPr>
    </w:lvl>
    <w:lvl w:ilvl="1" w:tentative="0">
      <w:start w:val="3"/>
      <w:numFmt w:val="decimal"/>
      <w:pStyle w:val="169"/>
      <w:suff w:val="nothing"/>
      <w:lvlText w:val="%1%2　"/>
      <w:lvlJc w:val="left"/>
      <w:pPr>
        <w:ind w:left="0" w:firstLine="0"/>
      </w:pPr>
      <w:rPr>
        <w:rFonts w:hint="default" w:ascii="黑体" w:eastAsia="黑体"/>
        <w:b w:val="0"/>
        <w:i w:val="0"/>
        <w:sz w:val="21"/>
      </w:rPr>
    </w:lvl>
    <w:lvl w:ilvl="2" w:tentative="0">
      <w:start w:val="1"/>
      <w:numFmt w:val="decimal"/>
      <w:pStyle w:val="168"/>
      <w:suff w:val="nothing"/>
      <w:lvlText w:val="%1%2.%3　"/>
      <w:lvlJc w:val="left"/>
      <w:pPr>
        <w:tabs>
          <w:tab w:val="left" w:pos="0"/>
        </w:tabs>
        <w:ind w:left="0" w:firstLine="0"/>
      </w:pPr>
      <w:rPr>
        <w:rFonts w:hint="default" w:ascii="黑体" w:hAnsi="Times New Roman" w:eastAsia="黑体" w:cs="Times New Roman"/>
        <w:b w:val="0"/>
        <w:bCs w:val="0"/>
        <w:i w:val="0"/>
        <w:iCs w:val="0"/>
        <w:caps w:val="0"/>
        <w:smallCaps w:val="0"/>
        <w:strike w:val="0"/>
        <w:dstrike w:val="0"/>
        <w:vanish w:val="0"/>
        <w:color w:val="000000"/>
        <w:spacing w:val="0"/>
        <w:kern w:val="0"/>
        <w:position w:val="0"/>
        <w:sz w:val="28"/>
        <w:szCs w:val="2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1DBF583A"/>
    <w:multiLevelType w:val="multilevel"/>
    <w:tmpl w:val="1DBF583A"/>
    <w:lvl w:ilvl="0" w:tentative="0">
      <w:start w:val="1"/>
      <w:numFmt w:val="decimal"/>
      <w:pStyle w:val="10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4">
    <w:nsid w:val="1FC91163"/>
    <w:multiLevelType w:val="multilevel"/>
    <w:tmpl w:val="1FC91163"/>
    <w:lvl w:ilvl="0" w:tentative="0">
      <w:start w:val="1"/>
      <w:numFmt w:val="decimal"/>
      <w:pStyle w:val="13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5"/>
      <w:suff w:val="nothing"/>
      <w:lvlText w:val="%1.%2.%3　"/>
      <w:lvlJc w:val="left"/>
      <w:pPr>
        <w:ind w:left="0" w:firstLine="0"/>
      </w:pPr>
      <w:rPr>
        <w:rFonts w:hint="eastAsia" w:ascii="黑体" w:hAnsi="Times New Roman" w:eastAsia="黑体"/>
        <w:b w:val="0"/>
        <w:i w:val="0"/>
        <w:sz w:val="21"/>
      </w:rPr>
    </w:lvl>
    <w:lvl w:ilvl="3" w:tentative="0">
      <w:start w:val="1"/>
      <w:numFmt w:val="decimal"/>
      <w:pStyle w:val="58"/>
      <w:suff w:val="nothing"/>
      <w:lvlText w:val="%1.%2.%3.%4　"/>
      <w:lvlJc w:val="left"/>
      <w:pPr>
        <w:ind w:left="283" w:firstLine="0"/>
      </w:pPr>
      <w:rPr>
        <w:rFonts w:hint="eastAsia" w:ascii="黑体" w:hAnsi="Times New Roman" w:eastAsia="黑体"/>
        <w:b w:val="0"/>
        <w:i w:val="0"/>
        <w:sz w:val="21"/>
      </w:rPr>
    </w:lvl>
    <w:lvl w:ilvl="4" w:tentative="0">
      <w:start w:val="1"/>
      <w:numFmt w:val="decimal"/>
      <w:pStyle w:val="91"/>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2A8F7113"/>
    <w:multiLevelType w:val="multilevel"/>
    <w:tmpl w:val="2A8F7113"/>
    <w:lvl w:ilvl="0" w:tentative="0">
      <w:start w:val="1"/>
      <w:numFmt w:val="upperLetter"/>
      <w:pStyle w:val="96"/>
      <w:suff w:val="space"/>
      <w:lvlText w:val="%1"/>
      <w:lvlJc w:val="left"/>
      <w:pPr>
        <w:ind w:left="623" w:hanging="425"/>
      </w:pPr>
      <w:rPr>
        <w:rFonts w:hint="eastAsia"/>
      </w:rPr>
    </w:lvl>
    <w:lvl w:ilvl="1" w:tentative="0">
      <w:start w:val="1"/>
      <w:numFmt w:val="decimal"/>
      <w:pStyle w:val="141"/>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6">
    <w:nsid w:val="2C5917C3"/>
    <w:multiLevelType w:val="multilevel"/>
    <w:tmpl w:val="2C5917C3"/>
    <w:lvl w:ilvl="0" w:tentative="0">
      <w:start w:val="1"/>
      <w:numFmt w:val="none"/>
      <w:pStyle w:val="132"/>
      <w:suff w:val="nothing"/>
      <w:lvlText w:val="%1——"/>
      <w:lvlJc w:val="left"/>
      <w:pPr>
        <w:ind w:left="833" w:hanging="408"/>
      </w:pPr>
      <w:rPr>
        <w:rFonts w:hint="eastAsia"/>
      </w:rPr>
    </w:lvl>
    <w:lvl w:ilvl="1" w:tentative="0">
      <w:start w:val="1"/>
      <w:numFmt w:val="bullet"/>
      <w:pStyle w:val="114"/>
      <w:lvlText w:val=""/>
      <w:lvlJc w:val="left"/>
      <w:pPr>
        <w:tabs>
          <w:tab w:val="left" w:pos="760"/>
        </w:tabs>
        <w:ind w:left="1264" w:hanging="413"/>
      </w:pPr>
      <w:rPr>
        <w:rFonts w:hint="default" w:ascii="Symbol" w:hAnsi="Symbol"/>
        <w:color w:val="auto"/>
      </w:rPr>
    </w:lvl>
    <w:lvl w:ilvl="2" w:tentative="0">
      <w:start w:val="1"/>
      <w:numFmt w:val="bullet"/>
      <w:pStyle w:val="10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3D733618"/>
    <w:multiLevelType w:val="multilevel"/>
    <w:tmpl w:val="3D733618"/>
    <w:lvl w:ilvl="0" w:tentative="0">
      <w:start w:val="1"/>
      <w:numFmt w:val="decimal"/>
      <w:pStyle w:val="27"/>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8">
    <w:nsid w:val="44C50F90"/>
    <w:multiLevelType w:val="multilevel"/>
    <w:tmpl w:val="44C50F90"/>
    <w:lvl w:ilvl="0" w:tentative="0">
      <w:start w:val="1"/>
      <w:numFmt w:val="lowerLetter"/>
      <w:pStyle w:val="111"/>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2"/>
      <w:lvlText w:val="%2)"/>
      <w:lvlJc w:val="left"/>
      <w:pPr>
        <w:tabs>
          <w:tab w:val="left" w:pos="1260"/>
        </w:tabs>
        <w:ind w:left="1259" w:hanging="419"/>
      </w:pPr>
      <w:rPr>
        <w:rFonts w:hint="eastAsia"/>
      </w:rPr>
    </w:lvl>
    <w:lvl w:ilvl="2" w:tentative="0">
      <w:start w:val="1"/>
      <w:numFmt w:val="decimal"/>
      <w:pStyle w:val="130"/>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60B55DC2"/>
    <w:multiLevelType w:val="multilevel"/>
    <w:tmpl w:val="60B55DC2"/>
    <w:lvl w:ilvl="0" w:tentative="0">
      <w:start w:val="1"/>
      <w:numFmt w:val="upperLetter"/>
      <w:pStyle w:val="152"/>
      <w:lvlText w:val="%1"/>
      <w:lvlJc w:val="left"/>
      <w:pPr>
        <w:tabs>
          <w:tab w:val="left" w:pos="0"/>
        </w:tabs>
        <w:ind w:left="0" w:hanging="425"/>
      </w:pPr>
      <w:rPr>
        <w:rFonts w:hint="eastAsia"/>
      </w:rPr>
    </w:lvl>
    <w:lvl w:ilvl="1" w:tentative="0">
      <w:start w:val="1"/>
      <w:numFmt w:val="decimal"/>
      <w:pStyle w:val="97"/>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57D3FBC"/>
    <w:multiLevelType w:val="multilevel"/>
    <w:tmpl w:val="657D3FBC"/>
    <w:lvl w:ilvl="0" w:tentative="0">
      <w:start w:val="1"/>
      <w:numFmt w:val="upperLetter"/>
      <w:pStyle w:val="10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6D6C07CD"/>
    <w:multiLevelType w:val="multilevel"/>
    <w:tmpl w:val="6D6C07CD"/>
    <w:lvl w:ilvl="0" w:tentative="0">
      <w:start w:val="1"/>
      <w:numFmt w:val="lowerLetter"/>
      <w:pStyle w:val="129"/>
      <w:lvlText w:val="%1)"/>
      <w:lvlJc w:val="left"/>
      <w:pPr>
        <w:tabs>
          <w:tab w:val="left" w:pos="839"/>
        </w:tabs>
        <w:ind w:left="839" w:hanging="419"/>
      </w:pPr>
      <w:rPr>
        <w:rFonts w:hint="eastAsia" w:ascii="宋体" w:eastAsia="宋体"/>
        <w:b w:val="0"/>
        <w:i w:val="0"/>
        <w:sz w:val="21"/>
      </w:rPr>
    </w:lvl>
    <w:lvl w:ilvl="1" w:tentative="0">
      <w:start w:val="1"/>
      <w:numFmt w:val="decimal"/>
      <w:pStyle w:val="8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7"/>
  </w:num>
  <w:num w:numId="2">
    <w:abstractNumId w:val="4"/>
  </w:num>
  <w:num w:numId="3">
    <w:abstractNumId w:val="10"/>
  </w:num>
  <w:num w:numId="4">
    <w:abstractNumId w:val="11"/>
  </w:num>
  <w:num w:numId="5">
    <w:abstractNumId w:val="5"/>
  </w:num>
  <w:num w:numId="6">
    <w:abstractNumId w:val="9"/>
  </w:num>
  <w:num w:numId="7">
    <w:abstractNumId w:val="3"/>
  </w:num>
  <w:num w:numId="8">
    <w:abstractNumId w:val="6"/>
  </w:num>
  <w:num w:numId="9">
    <w:abstractNumId w:val="8"/>
  </w:num>
  <w:num w:numId="10">
    <w:abstractNumId w:val="2"/>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removePersonalInformation/>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3OGJiOTVkZTA3ZGVkZWNiZTFjYzA0ZGYxNjRjZjUifQ=="/>
  </w:docVars>
  <w:rsids>
    <w:rsidRoot w:val="00650531"/>
    <w:rsid w:val="00000244"/>
    <w:rsid w:val="0000025A"/>
    <w:rsid w:val="0000185F"/>
    <w:rsid w:val="00002107"/>
    <w:rsid w:val="00002850"/>
    <w:rsid w:val="00002B97"/>
    <w:rsid w:val="000050B2"/>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2D8F"/>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0A8"/>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5B5"/>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4D9F"/>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1EDB"/>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BCF"/>
    <w:rsid w:val="00F075D1"/>
    <w:rsid w:val="00F11139"/>
    <w:rsid w:val="00F11296"/>
    <w:rsid w:val="00F11BB5"/>
    <w:rsid w:val="00F122E2"/>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260E98"/>
    <w:rsid w:val="018B718A"/>
    <w:rsid w:val="01927D66"/>
    <w:rsid w:val="01B22FF0"/>
    <w:rsid w:val="02057360"/>
    <w:rsid w:val="02194A13"/>
    <w:rsid w:val="02626557"/>
    <w:rsid w:val="02DA1673"/>
    <w:rsid w:val="036A76D3"/>
    <w:rsid w:val="03962305"/>
    <w:rsid w:val="03F9277D"/>
    <w:rsid w:val="042E630D"/>
    <w:rsid w:val="047459CF"/>
    <w:rsid w:val="04A037AB"/>
    <w:rsid w:val="04B769D7"/>
    <w:rsid w:val="04D4494D"/>
    <w:rsid w:val="0537491E"/>
    <w:rsid w:val="057B5C57"/>
    <w:rsid w:val="05904C71"/>
    <w:rsid w:val="059C64D5"/>
    <w:rsid w:val="05F23A3F"/>
    <w:rsid w:val="066162C0"/>
    <w:rsid w:val="06EB3D51"/>
    <w:rsid w:val="071B7D16"/>
    <w:rsid w:val="07352AE7"/>
    <w:rsid w:val="07504EC1"/>
    <w:rsid w:val="07634114"/>
    <w:rsid w:val="07D4164E"/>
    <w:rsid w:val="083245C7"/>
    <w:rsid w:val="086452DB"/>
    <w:rsid w:val="089C18DA"/>
    <w:rsid w:val="08D5292B"/>
    <w:rsid w:val="094B2BCC"/>
    <w:rsid w:val="09D01CF6"/>
    <w:rsid w:val="0AC4273A"/>
    <w:rsid w:val="0AE4604C"/>
    <w:rsid w:val="0B243148"/>
    <w:rsid w:val="0B3D2AD9"/>
    <w:rsid w:val="0B536728"/>
    <w:rsid w:val="0BA13D85"/>
    <w:rsid w:val="0C122745"/>
    <w:rsid w:val="0C157BD6"/>
    <w:rsid w:val="0C1A784C"/>
    <w:rsid w:val="0C8D427D"/>
    <w:rsid w:val="0CD342B6"/>
    <w:rsid w:val="0DA645F1"/>
    <w:rsid w:val="0DA9093F"/>
    <w:rsid w:val="0E290DBD"/>
    <w:rsid w:val="0E4D4CDF"/>
    <w:rsid w:val="0E8A2A67"/>
    <w:rsid w:val="0E9B6AB7"/>
    <w:rsid w:val="0F8B22AC"/>
    <w:rsid w:val="0F942BDE"/>
    <w:rsid w:val="0FED6A04"/>
    <w:rsid w:val="102A64CE"/>
    <w:rsid w:val="10F07A96"/>
    <w:rsid w:val="1132553A"/>
    <w:rsid w:val="116D7696"/>
    <w:rsid w:val="119500A0"/>
    <w:rsid w:val="11D95B65"/>
    <w:rsid w:val="11EF2883"/>
    <w:rsid w:val="11F36B75"/>
    <w:rsid w:val="12512550"/>
    <w:rsid w:val="12CD45BC"/>
    <w:rsid w:val="12CF6372"/>
    <w:rsid w:val="13F54E26"/>
    <w:rsid w:val="148D41AD"/>
    <w:rsid w:val="14CF174C"/>
    <w:rsid w:val="14E47D71"/>
    <w:rsid w:val="150A274F"/>
    <w:rsid w:val="153C0D7C"/>
    <w:rsid w:val="15483208"/>
    <w:rsid w:val="159B1B8F"/>
    <w:rsid w:val="15F97F17"/>
    <w:rsid w:val="162735CA"/>
    <w:rsid w:val="16C70262"/>
    <w:rsid w:val="16F84A8E"/>
    <w:rsid w:val="172D440A"/>
    <w:rsid w:val="173B6C95"/>
    <w:rsid w:val="178D48F7"/>
    <w:rsid w:val="189E24DB"/>
    <w:rsid w:val="18E11E1D"/>
    <w:rsid w:val="196E7664"/>
    <w:rsid w:val="198F7ACB"/>
    <w:rsid w:val="19C51C3C"/>
    <w:rsid w:val="19D4303C"/>
    <w:rsid w:val="1A2067E1"/>
    <w:rsid w:val="1A6A4539"/>
    <w:rsid w:val="1BCD48DA"/>
    <w:rsid w:val="1C056A2C"/>
    <w:rsid w:val="1C994529"/>
    <w:rsid w:val="1CFF27DF"/>
    <w:rsid w:val="1D0410D7"/>
    <w:rsid w:val="1D2F4832"/>
    <w:rsid w:val="1D697189"/>
    <w:rsid w:val="1DEE7BCD"/>
    <w:rsid w:val="1E2B3732"/>
    <w:rsid w:val="1E3C2C0B"/>
    <w:rsid w:val="1E3F091B"/>
    <w:rsid w:val="1EB06519"/>
    <w:rsid w:val="1EF32FF2"/>
    <w:rsid w:val="1F3A7C37"/>
    <w:rsid w:val="20022AF0"/>
    <w:rsid w:val="202A7BF8"/>
    <w:rsid w:val="20482782"/>
    <w:rsid w:val="20DF41FE"/>
    <w:rsid w:val="211B39F2"/>
    <w:rsid w:val="212E7BC9"/>
    <w:rsid w:val="2144119B"/>
    <w:rsid w:val="21DC5877"/>
    <w:rsid w:val="22061A13"/>
    <w:rsid w:val="222800C3"/>
    <w:rsid w:val="23290648"/>
    <w:rsid w:val="237D604C"/>
    <w:rsid w:val="238B7253"/>
    <w:rsid w:val="23BF6121"/>
    <w:rsid w:val="23FE39BD"/>
    <w:rsid w:val="24211C07"/>
    <w:rsid w:val="245F4818"/>
    <w:rsid w:val="24786C81"/>
    <w:rsid w:val="24816262"/>
    <w:rsid w:val="24B248A8"/>
    <w:rsid w:val="24D757B6"/>
    <w:rsid w:val="256D62F8"/>
    <w:rsid w:val="262F241A"/>
    <w:rsid w:val="266933D7"/>
    <w:rsid w:val="267E4497"/>
    <w:rsid w:val="268E3C87"/>
    <w:rsid w:val="26E94DE4"/>
    <w:rsid w:val="27AD772F"/>
    <w:rsid w:val="27D551EF"/>
    <w:rsid w:val="27FC37CC"/>
    <w:rsid w:val="281D5833"/>
    <w:rsid w:val="287348EA"/>
    <w:rsid w:val="288B02DF"/>
    <w:rsid w:val="2935321D"/>
    <w:rsid w:val="2A070FB7"/>
    <w:rsid w:val="2CE00993"/>
    <w:rsid w:val="2CF27B34"/>
    <w:rsid w:val="2D3E73E6"/>
    <w:rsid w:val="2D830B39"/>
    <w:rsid w:val="2D99286E"/>
    <w:rsid w:val="2E257B1B"/>
    <w:rsid w:val="2E4B20C4"/>
    <w:rsid w:val="2E4E23FE"/>
    <w:rsid w:val="2E677AE4"/>
    <w:rsid w:val="2E6B483B"/>
    <w:rsid w:val="2E8E6ECC"/>
    <w:rsid w:val="2EF75DDF"/>
    <w:rsid w:val="2F335142"/>
    <w:rsid w:val="308552DA"/>
    <w:rsid w:val="30C469DC"/>
    <w:rsid w:val="30CA5BDB"/>
    <w:rsid w:val="30E86825"/>
    <w:rsid w:val="318178A1"/>
    <w:rsid w:val="31E26BEB"/>
    <w:rsid w:val="335F00B6"/>
    <w:rsid w:val="33C346B6"/>
    <w:rsid w:val="33C34EFC"/>
    <w:rsid w:val="34CC177B"/>
    <w:rsid w:val="35946891"/>
    <w:rsid w:val="35AB7232"/>
    <w:rsid w:val="35D61655"/>
    <w:rsid w:val="362A1092"/>
    <w:rsid w:val="36461B5D"/>
    <w:rsid w:val="36AD56C5"/>
    <w:rsid w:val="36DC5408"/>
    <w:rsid w:val="37797999"/>
    <w:rsid w:val="37905325"/>
    <w:rsid w:val="387D1AEA"/>
    <w:rsid w:val="38822CFA"/>
    <w:rsid w:val="38E402E7"/>
    <w:rsid w:val="38E9737D"/>
    <w:rsid w:val="38F850C2"/>
    <w:rsid w:val="390D500F"/>
    <w:rsid w:val="393B42B2"/>
    <w:rsid w:val="39DA644F"/>
    <w:rsid w:val="39E73A42"/>
    <w:rsid w:val="3A186B09"/>
    <w:rsid w:val="3A5D3A88"/>
    <w:rsid w:val="3A6F11F3"/>
    <w:rsid w:val="3AAF1923"/>
    <w:rsid w:val="3AC950C9"/>
    <w:rsid w:val="3B0C28D2"/>
    <w:rsid w:val="3B3011F7"/>
    <w:rsid w:val="3B47283E"/>
    <w:rsid w:val="3B6561D5"/>
    <w:rsid w:val="3B963D3A"/>
    <w:rsid w:val="3B976570"/>
    <w:rsid w:val="3CD36411"/>
    <w:rsid w:val="3D4F499E"/>
    <w:rsid w:val="3D8739B6"/>
    <w:rsid w:val="3E500D27"/>
    <w:rsid w:val="3ED96E09"/>
    <w:rsid w:val="3F273070"/>
    <w:rsid w:val="3F575F4A"/>
    <w:rsid w:val="40624A0E"/>
    <w:rsid w:val="40657ACF"/>
    <w:rsid w:val="41233E23"/>
    <w:rsid w:val="41BF5866"/>
    <w:rsid w:val="41D4737F"/>
    <w:rsid w:val="41F16D17"/>
    <w:rsid w:val="42397461"/>
    <w:rsid w:val="42FB3CA3"/>
    <w:rsid w:val="43DB2C4A"/>
    <w:rsid w:val="4476626D"/>
    <w:rsid w:val="44A7686B"/>
    <w:rsid w:val="44B66A11"/>
    <w:rsid w:val="45126EB0"/>
    <w:rsid w:val="4539127E"/>
    <w:rsid w:val="4571647E"/>
    <w:rsid w:val="46037733"/>
    <w:rsid w:val="465D414E"/>
    <w:rsid w:val="46845B8C"/>
    <w:rsid w:val="46FB6942"/>
    <w:rsid w:val="470E0400"/>
    <w:rsid w:val="47303087"/>
    <w:rsid w:val="474B478B"/>
    <w:rsid w:val="47A550C1"/>
    <w:rsid w:val="47D74267"/>
    <w:rsid w:val="48120A86"/>
    <w:rsid w:val="48256D81"/>
    <w:rsid w:val="48895562"/>
    <w:rsid w:val="49187E48"/>
    <w:rsid w:val="496B4C67"/>
    <w:rsid w:val="499A4B7B"/>
    <w:rsid w:val="49D514FA"/>
    <w:rsid w:val="4A742353"/>
    <w:rsid w:val="4AB8769B"/>
    <w:rsid w:val="4ADD58CC"/>
    <w:rsid w:val="4B7342A7"/>
    <w:rsid w:val="4BE6053A"/>
    <w:rsid w:val="4C362B3D"/>
    <w:rsid w:val="4C73309C"/>
    <w:rsid w:val="4C813CAB"/>
    <w:rsid w:val="4CA47D11"/>
    <w:rsid w:val="4CE600FB"/>
    <w:rsid w:val="4CED47CD"/>
    <w:rsid w:val="4CF219AF"/>
    <w:rsid w:val="4D065771"/>
    <w:rsid w:val="4D0B0C3B"/>
    <w:rsid w:val="4D1602E1"/>
    <w:rsid w:val="4D190D53"/>
    <w:rsid w:val="4D430291"/>
    <w:rsid w:val="4DE052E3"/>
    <w:rsid w:val="4DE337D5"/>
    <w:rsid w:val="4E9D0E82"/>
    <w:rsid w:val="4ED400DC"/>
    <w:rsid w:val="4F1D47D7"/>
    <w:rsid w:val="4F6221DE"/>
    <w:rsid w:val="4FAE1D52"/>
    <w:rsid w:val="50BE4216"/>
    <w:rsid w:val="50BE68C4"/>
    <w:rsid w:val="52047523"/>
    <w:rsid w:val="53B37335"/>
    <w:rsid w:val="53EC3BAC"/>
    <w:rsid w:val="549A6186"/>
    <w:rsid w:val="55281DAF"/>
    <w:rsid w:val="55D66C88"/>
    <w:rsid w:val="566702F9"/>
    <w:rsid w:val="568B0C91"/>
    <w:rsid w:val="56975989"/>
    <w:rsid w:val="56DC7EC7"/>
    <w:rsid w:val="56E768AC"/>
    <w:rsid w:val="570975B4"/>
    <w:rsid w:val="576222A2"/>
    <w:rsid w:val="578F7888"/>
    <w:rsid w:val="57A53DBE"/>
    <w:rsid w:val="583166A5"/>
    <w:rsid w:val="58D05DE7"/>
    <w:rsid w:val="58FA1C02"/>
    <w:rsid w:val="592316E9"/>
    <w:rsid w:val="593E4146"/>
    <w:rsid w:val="59E0617E"/>
    <w:rsid w:val="59FE7432"/>
    <w:rsid w:val="5A3A490E"/>
    <w:rsid w:val="5A5F7132"/>
    <w:rsid w:val="5A790E13"/>
    <w:rsid w:val="5A9329EF"/>
    <w:rsid w:val="5B076365"/>
    <w:rsid w:val="5BAA161F"/>
    <w:rsid w:val="5C10118B"/>
    <w:rsid w:val="5C2A169D"/>
    <w:rsid w:val="5CA05EB7"/>
    <w:rsid w:val="5D963292"/>
    <w:rsid w:val="5DCD5B82"/>
    <w:rsid w:val="5DEA30CB"/>
    <w:rsid w:val="5DEF5A0F"/>
    <w:rsid w:val="5E420235"/>
    <w:rsid w:val="5E6C7D00"/>
    <w:rsid w:val="5EBE1A6C"/>
    <w:rsid w:val="5EFA28BD"/>
    <w:rsid w:val="5F340E12"/>
    <w:rsid w:val="5FC36A67"/>
    <w:rsid w:val="60116111"/>
    <w:rsid w:val="60B84EF1"/>
    <w:rsid w:val="613B66F7"/>
    <w:rsid w:val="61846885"/>
    <w:rsid w:val="61E37639"/>
    <w:rsid w:val="61F4714D"/>
    <w:rsid w:val="6263198D"/>
    <w:rsid w:val="6298186E"/>
    <w:rsid w:val="62D559AF"/>
    <w:rsid w:val="634E0BFD"/>
    <w:rsid w:val="639C78BD"/>
    <w:rsid w:val="643653B8"/>
    <w:rsid w:val="645D37AF"/>
    <w:rsid w:val="646832B1"/>
    <w:rsid w:val="648B05D1"/>
    <w:rsid w:val="64CD1E40"/>
    <w:rsid w:val="64CE3BD1"/>
    <w:rsid w:val="65144950"/>
    <w:rsid w:val="65422D4F"/>
    <w:rsid w:val="656C6332"/>
    <w:rsid w:val="6615691A"/>
    <w:rsid w:val="662C7ADB"/>
    <w:rsid w:val="66551508"/>
    <w:rsid w:val="66E11A66"/>
    <w:rsid w:val="674C6DED"/>
    <w:rsid w:val="67770352"/>
    <w:rsid w:val="67AE2497"/>
    <w:rsid w:val="67C41CBB"/>
    <w:rsid w:val="67F86871"/>
    <w:rsid w:val="684318AA"/>
    <w:rsid w:val="69DD7EFB"/>
    <w:rsid w:val="6A3E7097"/>
    <w:rsid w:val="6A516F28"/>
    <w:rsid w:val="6A802926"/>
    <w:rsid w:val="6A88563D"/>
    <w:rsid w:val="6AB9187F"/>
    <w:rsid w:val="6B3D24B0"/>
    <w:rsid w:val="6B965E5B"/>
    <w:rsid w:val="6C2E10A7"/>
    <w:rsid w:val="6C9A5295"/>
    <w:rsid w:val="6CDE34BF"/>
    <w:rsid w:val="6D572222"/>
    <w:rsid w:val="6E5B2E86"/>
    <w:rsid w:val="6EB54BA2"/>
    <w:rsid w:val="6EBB4295"/>
    <w:rsid w:val="7045716D"/>
    <w:rsid w:val="704C5591"/>
    <w:rsid w:val="70B10931"/>
    <w:rsid w:val="718E48CE"/>
    <w:rsid w:val="71D76797"/>
    <w:rsid w:val="71EA249C"/>
    <w:rsid w:val="72576487"/>
    <w:rsid w:val="72996EE2"/>
    <w:rsid w:val="72DC06A1"/>
    <w:rsid w:val="73272C99"/>
    <w:rsid w:val="732857F3"/>
    <w:rsid w:val="73590446"/>
    <w:rsid w:val="73D47B1B"/>
    <w:rsid w:val="73E34BA4"/>
    <w:rsid w:val="73E57241"/>
    <w:rsid w:val="73E76BB2"/>
    <w:rsid w:val="7402551C"/>
    <w:rsid w:val="740B247D"/>
    <w:rsid w:val="743D4B16"/>
    <w:rsid w:val="75605DEF"/>
    <w:rsid w:val="7561536D"/>
    <w:rsid w:val="75E65458"/>
    <w:rsid w:val="75F705EE"/>
    <w:rsid w:val="762553A5"/>
    <w:rsid w:val="76276979"/>
    <w:rsid w:val="76A74C81"/>
    <w:rsid w:val="76AC5DF9"/>
    <w:rsid w:val="7758241F"/>
    <w:rsid w:val="784813C5"/>
    <w:rsid w:val="78775C06"/>
    <w:rsid w:val="78782D79"/>
    <w:rsid w:val="790F4618"/>
    <w:rsid w:val="791A798E"/>
    <w:rsid w:val="798006BC"/>
    <w:rsid w:val="79C25BC5"/>
    <w:rsid w:val="79DF5F38"/>
    <w:rsid w:val="7A86111E"/>
    <w:rsid w:val="7A8E3E47"/>
    <w:rsid w:val="7B223D6B"/>
    <w:rsid w:val="7C1728A9"/>
    <w:rsid w:val="7C260CFC"/>
    <w:rsid w:val="7CD76B5A"/>
    <w:rsid w:val="7CD90CCA"/>
    <w:rsid w:val="7D3905FD"/>
    <w:rsid w:val="7D453845"/>
    <w:rsid w:val="7D754A9C"/>
    <w:rsid w:val="7DDF2F52"/>
    <w:rsid w:val="7DE44C08"/>
    <w:rsid w:val="7E082795"/>
    <w:rsid w:val="7E520CE5"/>
    <w:rsid w:val="7F637BB3"/>
    <w:rsid w:val="7F8768A0"/>
    <w:rsid w:val="7F8A5242"/>
    <w:rsid w:val="7FF86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6"/>
    <w:basedOn w:val="1"/>
    <w:next w:val="1"/>
    <w:link w:val="161"/>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39">
    <w:name w:val="Default Paragraph Font"/>
    <w:autoRedefine/>
    <w:semiHidden/>
    <w:unhideWhenUsed/>
    <w:qFormat/>
    <w:uiPriority w:val="1"/>
  </w:style>
  <w:style w:type="table" w:default="1" w:styleId="37">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5">
    <w:name w:val="index 8"/>
    <w:basedOn w:val="1"/>
    <w:next w:val="1"/>
    <w:autoRedefine/>
    <w:qFormat/>
    <w:uiPriority w:val="0"/>
    <w:pPr>
      <w:ind w:left="1680" w:hanging="210"/>
      <w:jc w:val="left"/>
    </w:pPr>
    <w:rPr>
      <w:rFonts w:ascii="Calibri" w:hAnsi="Calibri"/>
      <w:sz w:val="20"/>
      <w:szCs w:val="20"/>
    </w:rPr>
  </w:style>
  <w:style w:type="paragraph" w:styleId="6">
    <w:name w:val="caption"/>
    <w:basedOn w:val="1"/>
    <w:next w:val="1"/>
    <w:autoRedefine/>
    <w:qFormat/>
    <w:uiPriority w:val="0"/>
    <w:pPr>
      <w:spacing w:before="152" w:after="160"/>
    </w:pPr>
    <w:rPr>
      <w:rFonts w:ascii="Arial" w:hAnsi="Arial" w:eastAsia="黑体" w:cs="Arial"/>
      <w:sz w:val="20"/>
      <w:szCs w:val="20"/>
    </w:rPr>
  </w:style>
  <w:style w:type="paragraph" w:styleId="7">
    <w:name w:val="index 5"/>
    <w:basedOn w:val="1"/>
    <w:next w:val="1"/>
    <w:autoRedefine/>
    <w:qFormat/>
    <w:uiPriority w:val="0"/>
    <w:pPr>
      <w:ind w:left="1050" w:hanging="210"/>
      <w:jc w:val="left"/>
    </w:pPr>
    <w:rPr>
      <w:rFonts w:ascii="Calibri" w:hAnsi="Calibri"/>
      <w:sz w:val="20"/>
      <w:szCs w:val="20"/>
    </w:rPr>
  </w:style>
  <w:style w:type="paragraph" w:styleId="8">
    <w:name w:val="Document Map"/>
    <w:basedOn w:val="1"/>
    <w:autoRedefine/>
    <w:semiHidden/>
    <w:qFormat/>
    <w:uiPriority w:val="0"/>
    <w:pPr>
      <w:shd w:val="clear" w:color="auto" w:fill="000080"/>
    </w:pPr>
  </w:style>
  <w:style w:type="paragraph" w:styleId="9">
    <w:name w:val="annotation text"/>
    <w:basedOn w:val="1"/>
    <w:autoRedefine/>
    <w:qFormat/>
    <w:uiPriority w:val="0"/>
    <w:pPr>
      <w:jc w:val="left"/>
    </w:pPr>
  </w:style>
  <w:style w:type="paragraph" w:styleId="10">
    <w:name w:val="index 6"/>
    <w:basedOn w:val="1"/>
    <w:next w:val="1"/>
    <w:autoRedefine/>
    <w:qFormat/>
    <w:uiPriority w:val="0"/>
    <w:pPr>
      <w:ind w:left="1260" w:hanging="210"/>
      <w:jc w:val="left"/>
    </w:pPr>
    <w:rPr>
      <w:rFonts w:ascii="Calibri" w:hAnsi="Calibri"/>
      <w:sz w:val="20"/>
      <w:szCs w:val="20"/>
    </w:rPr>
  </w:style>
  <w:style w:type="paragraph" w:styleId="11">
    <w:name w:val="Body Text"/>
    <w:basedOn w:val="1"/>
    <w:autoRedefine/>
    <w:semiHidden/>
    <w:unhideWhenUsed/>
    <w:qFormat/>
    <w:uiPriority w:val="99"/>
    <w:pPr>
      <w:spacing w:after="120"/>
    </w:pPr>
  </w:style>
  <w:style w:type="paragraph" w:styleId="12">
    <w:name w:val="index 4"/>
    <w:basedOn w:val="1"/>
    <w:next w:val="1"/>
    <w:autoRedefine/>
    <w:qFormat/>
    <w:uiPriority w:val="0"/>
    <w:pPr>
      <w:ind w:left="840" w:hanging="210"/>
      <w:jc w:val="left"/>
    </w:pPr>
    <w:rPr>
      <w:rFonts w:ascii="Calibri" w:hAnsi="Calibri"/>
      <w:sz w:val="20"/>
      <w:szCs w:val="20"/>
    </w:rPr>
  </w:style>
  <w:style w:type="paragraph" w:styleId="13">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4">
    <w:name w:val="toc 3"/>
    <w:basedOn w:val="1"/>
    <w:next w:val="1"/>
    <w:autoRedefine/>
    <w:qFormat/>
    <w:uiPriority w:val="39"/>
    <w:pPr>
      <w:tabs>
        <w:tab w:val="right" w:leader="dot" w:pos="9242"/>
      </w:tabs>
      <w:ind w:firstLine="1252" w:firstLineChars="100"/>
      <w:jc w:val="left"/>
    </w:pPr>
    <w:rPr>
      <w:rFonts w:ascii="宋体"/>
      <w:szCs w:val="21"/>
    </w:rPr>
  </w:style>
  <w:style w:type="paragraph" w:styleId="15">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16">
    <w:name w:val="index 3"/>
    <w:basedOn w:val="1"/>
    <w:next w:val="1"/>
    <w:autoRedefine/>
    <w:qFormat/>
    <w:uiPriority w:val="0"/>
    <w:pPr>
      <w:ind w:left="630" w:hanging="210"/>
      <w:jc w:val="left"/>
    </w:pPr>
    <w:rPr>
      <w:rFonts w:ascii="Calibri" w:hAnsi="Calibri"/>
      <w:sz w:val="20"/>
      <w:szCs w:val="20"/>
    </w:rPr>
  </w:style>
  <w:style w:type="paragraph" w:styleId="17">
    <w:name w:val="Body Text Indent 2"/>
    <w:basedOn w:val="1"/>
    <w:link w:val="164"/>
    <w:autoRedefine/>
    <w:unhideWhenUsed/>
    <w:qFormat/>
    <w:uiPriority w:val="99"/>
    <w:pPr>
      <w:spacing w:after="120" w:line="480" w:lineRule="auto"/>
      <w:ind w:left="420" w:leftChars="200"/>
      <w:jc w:val="left"/>
    </w:pPr>
    <w:rPr>
      <w:rFonts w:eastAsia="PMingLiU-ExtB"/>
      <w:sz w:val="24"/>
      <w:lang w:eastAsia="zh-TW"/>
    </w:rPr>
  </w:style>
  <w:style w:type="paragraph" w:styleId="18">
    <w:name w:val="endnote text"/>
    <w:basedOn w:val="1"/>
    <w:autoRedefine/>
    <w:semiHidden/>
    <w:qFormat/>
    <w:uiPriority w:val="0"/>
    <w:pPr>
      <w:snapToGrid w:val="0"/>
      <w:jc w:val="left"/>
    </w:pPr>
  </w:style>
  <w:style w:type="paragraph" w:styleId="19">
    <w:name w:val="Balloon Text"/>
    <w:basedOn w:val="1"/>
    <w:autoRedefine/>
    <w:semiHidden/>
    <w:qFormat/>
    <w:uiPriority w:val="0"/>
    <w:rPr>
      <w:sz w:val="18"/>
      <w:szCs w:val="18"/>
    </w:rPr>
  </w:style>
  <w:style w:type="paragraph" w:styleId="20">
    <w:name w:val="footer"/>
    <w:basedOn w:val="1"/>
    <w:link w:val="162"/>
    <w:autoRedefine/>
    <w:qFormat/>
    <w:uiPriority w:val="99"/>
    <w:pPr>
      <w:snapToGrid w:val="0"/>
      <w:ind w:right="210" w:rightChars="100"/>
      <w:jc w:val="right"/>
    </w:pPr>
    <w:rPr>
      <w:sz w:val="18"/>
      <w:szCs w:val="18"/>
    </w:rPr>
  </w:style>
  <w:style w:type="paragraph" w:styleId="21">
    <w:name w:val="header"/>
    <w:basedOn w:val="1"/>
    <w:link w:val="59"/>
    <w:autoRedefine/>
    <w:qFormat/>
    <w:uiPriority w:val="99"/>
    <w:pPr>
      <w:snapToGrid w:val="0"/>
      <w:jc w:val="left"/>
    </w:pPr>
    <w:rPr>
      <w:sz w:val="18"/>
      <w:szCs w:val="18"/>
    </w:rPr>
  </w:style>
  <w:style w:type="paragraph" w:styleId="22">
    <w:name w:val="toc 1"/>
    <w:basedOn w:val="1"/>
    <w:next w:val="1"/>
    <w:autoRedefine/>
    <w:qFormat/>
    <w:uiPriority w:val="39"/>
    <w:pPr>
      <w:tabs>
        <w:tab w:val="right" w:leader="dot" w:pos="9242"/>
      </w:tabs>
      <w:spacing w:beforeLines="25" w:afterLines="25"/>
      <w:jc w:val="left"/>
    </w:pPr>
    <w:rPr>
      <w:rFonts w:ascii="宋体"/>
      <w:szCs w:val="21"/>
    </w:rPr>
  </w:style>
  <w:style w:type="paragraph" w:styleId="23">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4">
    <w:name w:val="index heading"/>
    <w:basedOn w:val="1"/>
    <w:next w:val="25"/>
    <w:autoRedefine/>
    <w:qFormat/>
    <w:uiPriority w:val="0"/>
    <w:pPr>
      <w:spacing w:before="120" w:after="120"/>
      <w:jc w:val="center"/>
    </w:pPr>
    <w:rPr>
      <w:rFonts w:ascii="Calibri" w:hAnsi="Calibri"/>
      <w:b/>
      <w:bCs/>
      <w:iCs/>
      <w:szCs w:val="20"/>
    </w:rPr>
  </w:style>
  <w:style w:type="paragraph" w:styleId="25">
    <w:name w:val="index 1"/>
    <w:basedOn w:val="1"/>
    <w:next w:val="26"/>
    <w:autoRedefine/>
    <w:qFormat/>
    <w:uiPriority w:val="0"/>
    <w:pPr>
      <w:tabs>
        <w:tab w:val="right" w:leader="dot" w:pos="9299"/>
      </w:tabs>
      <w:jc w:val="left"/>
    </w:pPr>
    <w:rPr>
      <w:rFonts w:ascii="宋体"/>
      <w:szCs w:val="21"/>
    </w:rPr>
  </w:style>
  <w:style w:type="paragraph" w:customStyle="1" w:styleId="26">
    <w:name w:val="段"/>
    <w:link w:val="64"/>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7">
    <w:name w:val="footnote text"/>
    <w:basedOn w:val="1"/>
    <w:autoRedefine/>
    <w:qFormat/>
    <w:uiPriority w:val="0"/>
    <w:pPr>
      <w:numPr>
        <w:ilvl w:val="0"/>
        <w:numId w:val="1"/>
      </w:numPr>
      <w:snapToGrid w:val="0"/>
      <w:jc w:val="left"/>
    </w:pPr>
    <w:rPr>
      <w:rFonts w:ascii="宋体"/>
      <w:sz w:val="18"/>
      <w:szCs w:val="18"/>
    </w:rPr>
  </w:style>
  <w:style w:type="paragraph" w:styleId="28">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29">
    <w:name w:val="index 7"/>
    <w:basedOn w:val="1"/>
    <w:next w:val="1"/>
    <w:autoRedefine/>
    <w:qFormat/>
    <w:uiPriority w:val="0"/>
    <w:pPr>
      <w:ind w:left="1470" w:hanging="210"/>
      <w:jc w:val="left"/>
    </w:pPr>
    <w:rPr>
      <w:rFonts w:ascii="Calibri" w:hAnsi="Calibri"/>
      <w:sz w:val="20"/>
      <w:szCs w:val="20"/>
    </w:rPr>
  </w:style>
  <w:style w:type="paragraph" w:styleId="30">
    <w:name w:val="index 9"/>
    <w:basedOn w:val="1"/>
    <w:next w:val="1"/>
    <w:autoRedefine/>
    <w:qFormat/>
    <w:uiPriority w:val="0"/>
    <w:pPr>
      <w:ind w:left="1890" w:hanging="210"/>
      <w:jc w:val="left"/>
    </w:pPr>
    <w:rPr>
      <w:rFonts w:ascii="Calibri" w:hAnsi="Calibri"/>
      <w:sz w:val="20"/>
      <w:szCs w:val="20"/>
    </w:rPr>
  </w:style>
  <w:style w:type="paragraph" w:styleId="31">
    <w:name w:val="toc 2"/>
    <w:basedOn w:val="1"/>
    <w:next w:val="1"/>
    <w:autoRedefine/>
    <w:qFormat/>
    <w:uiPriority w:val="39"/>
    <w:pPr>
      <w:tabs>
        <w:tab w:val="right" w:leader="dot" w:pos="9242"/>
      </w:tabs>
    </w:pPr>
    <w:rPr>
      <w:rFonts w:ascii="宋体"/>
      <w:szCs w:val="21"/>
    </w:rPr>
  </w:style>
  <w:style w:type="paragraph" w:styleId="32">
    <w:name w:val="toc 9"/>
    <w:basedOn w:val="1"/>
    <w:next w:val="1"/>
    <w:autoRedefine/>
    <w:semiHidden/>
    <w:qFormat/>
    <w:uiPriority w:val="0"/>
    <w:pPr>
      <w:ind w:left="1470"/>
      <w:jc w:val="left"/>
    </w:pPr>
    <w:rPr>
      <w:sz w:val="20"/>
      <w:szCs w:val="20"/>
    </w:rPr>
  </w:style>
  <w:style w:type="paragraph" w:styleId="33">
    <w:name w:val="Normal (Web)"/>
    <w:basedOn w:val="1"/>
    <w:autoRedefine/>
    <w:qFormat/>
    <w:uiPriority w:val="0"/>
    <w:pPr>
      <w:spacing w:beforeAutospacing="1" w:afterAutospacing="1"/>
      <w:jc w:val="left"/>
    </w:pPr>
    <w:rPr>
      <w:kern w:val="0"/>
      <w:sz w:val="24"/>
    </w:rPr>
  </w:style>
  <w:style w:type="paragraph" w:styleId="34">
    <w:name w:val="index 2"/>
    <w:basedOn w:val="1"/>
    <w:next w:val="1"/>
    <w:autoRedefine/>
    <w:qFormat/>
    <w:uiPriority w:val="0"/>
    <w:pPr>
      <w:ind w:left="420" w:hanging="210"/>
      <w:jc w:val="left"/>
    </w:pPr>
    <w:rPr>
      <w:rFonts w:ascii="Calibri" w:hAnsi="Calibri"/>
      <w:sz w:val="20"/>
      <w:szCs w:val="20"/>
    </w:rPr>
  </w:style>
  <w:style w:type="paragraph" w:styleId="35">
    <w:name w:val="annotation subject"/>
    <w:basedOn w:val="9"/>
    <w:next w:val="9"/>
    <w:autoRedefine/>
    <w:semiHidden/>
    <w:qFormat/>
    <w:uiPriority w:val="0"/>
    <w:rPr>
      <w:b/>
      <w:bCs/>
    </w:rPr>
  </w:style>
  <w:style w:type="paragraph" w:styleId="36">
    <w:name w:val="Body Text First Indent"/>
    <w:basedOn w:val="11"/>
    <w:autoRedefine/>
    <w:qFormat/>
    <w:uiPriority w:val="0"/>
    <w:pPr>
      <w:ind w:firstLine="420" w:firstLineChars="100"/>
    </w:pPr>
  </w:style>
  <w:style w:type="table" w:styleId="38">
    <w:name w:val="Table Grid"/>
    <w:basedOn w:val="37"/>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basedOn w:val="39"/>
    <w:autoRedefine/>
    <w:qFormat/>
    <w:uiPriority w:val="0"/>
    <w:rPr>
      <w:b/>
    </w:rPr>
  </w:style>
  <w:style w:type="character" w:styleId="41">
    <w:name w:val="endnote reference"/>
    <w:autoRedefine/>
    <w:semiHidden/>
    <w:qFormat/>
    <w:uiPriority w:val="0"/>
    <w:rPr>
      <w:vertAlign w:val="superscript"/>
    </w:rPr>
  </w:style>
  <w:style w:type="character" w:styleId="42">
    <w:name w:val="page number"/>
    <w:autoRedefine/>
    <w:qFormat/>
    <w:uiPriority w:val="0"/>
    <w:rPr>
      <w:rFonts w:ascii="Times New Roman" w:hAnsi="Times New Roman" w:eastAsia="宋体"/>
      <w:sz w:val="18"/>
    </w:rPr>
  </w:style>
  <w:style w:type="character" w:styleId="43">
    <w:name w:val="FollowedHyperlink"/>
    <w:autoRedefine/>
    <w:qFormat/>
    <w:uiPriority w:val="0"/>
    <w:rPr>
      <w:color w:val="800080"/>
      <w:u w:val="single"/>
    </w:rPr>
  </w:style>
  <w:style w:type="character" w:styleId="44">
    <w:name w:val="Emphasis"/>
    <w:autoRedefine/>
    <w:qFormat/>
    <w:uiPriority w:val="20"/>
    <w:rPr>
      <w:i/>
      <w:iCs/>
    </w:rPr>
  </w:style>
  <w:style w:type="character" w:styleId="45">
    <w:name w:val="Hyperlink"/>
    <w:autoRedefine/>
    <w:qFormat/>
    <w:uiPriority w:val="99"/>
    <w:rPr>
      <w:color w:val="0000FF"/>
      <w:spacing w:val="0"/>
      <w:w w:val="100"/>
      <w:szCs w:val="21"/>
      <w:u w:val="single"/>
    </w:rPr>
  </w:style>
  <w:style w:type="character" w:styleId="46">
    <w:name w:val="annotation reference"/>
    <w:autoRedefine/>
    <w:semiHidden/>
    <w:qFormat/>
    <w:uiPriority w:val="0"/>
    <w:rPr>
      <w:sz w:val="21"/>
      <w:szCs w:val="21"/>
    </w:rPr>
  </w:style>
  <w:style w:type="character" w:styleId="47">
    <w:name w:val="footnote reference"/>
    <w:autoRedefine/>
    <w:semiHidden/>
    <w:qFormat/>
    <w:uiPriority w:val="0"/>
    <w:rPr>
      <w:vertAlign w:val="superscript"/>
    </w:rPr>
  </w:style>
  <w:style w:type="paragraph" w:styleId="48">
    <w:name w:val="List Paragraph"/>
    <w:basedOn w:val="1"/>
    <w:autoRedefine/>
    <w:qFormat/>
    <w:uiPriority w:val="34"/>
    <w:pPr>
      <w:ind w:firstLine="420" w:firstLineChars="200"/>
    </w:pPr>
  </w:style>
  <w:style w:type="character" w:styleId="49">
    <w:name w:val="Placeholder Text"/>
    <w:autoRedefine/>
    <w:semiHidden/>
    <w:qFormat/>
    <w:uiPriority w:val="99"/>
    <w:rPr>
      <w:color w:val="808080"/>
    </w:rPr>
  </w:style>
  <w:style w:type="character" w:customStyle="1" w:styleId="50">
    <w:name w:val="font531"/>
    <w:autoRedefine/>
    <w:qFormat/>
    <w:uiPriority w:val="0"/>
    <w:rPr>
      <w:rFonts w:hint="default" w:ascii="Arial" w:hAnsi="Arial" w:cs="Arial"/>
      <w:color w:val="000000"/>
      <w:sz w:val="24"/>
      <w:szCs w:val="24"/>
      <w:u w:val="none"/>
    </w:rPr>
  </w:style>
  <w:style w:type="character" w:customStyle="1" w:styleId="51">
    <w:name w:val="首示例 Char"/>
    <w:link w:val="52"/>
    <w:autoRedefine/>
    <w:qFormat/>
    <w:uiPriority w:val="0"/>
    <w:rPr>
      <w:rFonts w:ascii="宋体" w:hAnsi="宋体"/>
      <w:kern w:val="2"/>
      <w:sz w:val="18"/>
      <w:szCs w:val="18"/>
      <w:lang w:val="en-US" w:eastAsia="zh-CN" w:bidi="ar-SA"/>
    </w:rPr>
  </w:style>
  <w:style w:type="paragraph" w:customStyle="1" w:styleId="52">
    <w:name w:val="首示例"/>
    <w:next w:val="26"/>
    <w:link w:val="51"/>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3">
    <w:name w:val="font451"/>
    <w:autoRedefine/>
    <w:qFormat/>
    <w:uiPriority w:val="0"/>
    <w:rPr>
      <w:rFonts w:hint="eastAsia" w:ascii="等线" w:hAnsi="等线" w:eastAsia="等线"/>
      <w:color w:val="000000"/>
      <w:sz w:val="22"/>
      <w:szCs w:val="22"/>
      <w:u w:val="none"/>
    </w:rPr>
  </w:style>
  <w:style w:type="character" w:customStyle="1" w:styleId="54">
    <w:name w:val="二级条标题 Char"/>
    <w:link w:val="55"/>
    <w:autoRedefine/>
    <w:qFormat/>
    <w:locked/>
    <w:uiPriority w:val="0"/>
    <w:rPr>
      <w:rFonts w:ascii="黑体" w:eastAsia="黑体"/>
      <w:sz w:val="21"/>
      <w:szCs w:val="21"/>
    </w:rPr>
  </w:style>
  <w:style w:type="paragraph" w:customStyle="1" w:styleId="55">
    <w:name w:val="二级条标题"/>
    <w:basedOn w:val="56"/>
    <w:next w:val="26"/>
    <w:link w:val="54"/>
    <w:autoRedefine/>
    <w:qFormat/>
    <w:uiPriority w:val="0"/>
    <w:pPr>
      <w:numPr>
        <w:ilvl w:val="2"/>
      </w:numPr>
      <w:spacing w:before="50" w:after="50"/>
      <w:ind w:left="1843"/>
      <w:outlineLvl w:val="3"/>
    </w:pPr>
  </w:style>
  <w:style w:type="paragraph" w:customStyle="1" w:styleId="56">
    <w:name w:val="一级条标题"/>
    <w:next w:val="1"/>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57">
    <w:name w:val="三级条标题 Char"/>
    <w:link w:val="58"/>
    <w:autoRedefine/>
    <w:qFormat/>
    <w:uiPriority w:val="0"/>
    <w:rPr>
      <w:rFonts w:ascii="黑体" w:eastAsia="黑体"/>
      <w:sz w:val="21"/>
      <w:szCs w:val="21"/>
    </w:rPr>
  </w:style>
  <w:style w:type="paragraph" w:customStyle="1" w:styleId="58">
    <w:name w:val="三级条标题"/>
    <w:basedOn w:val="55"/>
    <w:next w:val="26"/>
    <w:link w:val="57"/>
    <w:autoRedefine/>
    <w:qFormat/>
    <w:uiPriority w:val="0"/>
    <w:pPr>
      <w:numPr>
        <w:ilvl w:val="3"/>
      </w:numPr>
      <w:outlineLvl w:val="4"/>
    </w:pPr>
  </w:style>
  <w:style w:type="character" w:customStyle="1" w:styleId="59">
    <w:name w:val="页眉 字符"/>
    <w:link w:val="21"/>
    <w:autoRedefine/>
    <w:qFormat/>
    <w:uiPriority w:val="99"/>
    <w:rPr>
      <w:kern w:val="2"/>
      <w:sz w:val="18"/>
      <w:szCs w:val="18"/>
    </w:rPr>
  </w:style>
  <w:style w:type="character" w:customStyle="1" w:styleId="60">
    <w:name w:val="样式1 字符"/>
    <w:link w:val="61"/>
    <w:autoRedefine/>
    <w:qFormat/>
    <w:uiPriority w:val="0"/>
    <w:rPr>
      <w:rFonts w:ascii="Cambria Math" w:hAnsi="Cambria Math"/>
      <w:i/>
      <w:sz w:val="28"/>
      <w:szCs w:val="28"/>
      <w:lang w:val="en-US" w:eastAsia="zh-CN" w:bidi="ar-SA"/>
    </w:rPr>
  </w:style>
  <w:style w:type="paragraph" w:customStyle="1" w:styleId="61">
    <w:name w:val="样式1"/>
    <w:basedOn w:val="62"/>
    <w:link w:val="60"/>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2">
    <w:name w:val="附录公式"/>
    <w:basedOn w:val="26"/>
    <w:next w:val="26"/>
    <w:link w:val="63"/>
    <w:autoRedefine/>
    <w:qFormat/>
    <w:uiPriority w:val="0"/>
  </w:style>
  <w:style w:type="character" w:customStyle="1" w:styleId="63">
    <w:name w:val="附录公式 Char"/>
    <w:link w:val="62"/>
    <w:autoRedefine/>
    <w:qFormat/>
    <w:uiPriority w:val="0"/>
    <w:rPr>
      <w:rFonts w:ascii="宋体"/>
      <w:sz w:val="21"/>
      <w:lang w:val="en-US" w:eastAsia="zh-CN" w:bidi="ar-SA"/>
    </w:rPr>
  </w:style>
  <w:style w:type="character" w:customStyle="1" w:styleId="64">
    <w:name w:val="段 Char"/>
    <w:link w:val="26"/>
    <w:autoRedefine/>
    <w:qFormat/>
    <w:uiPriority w:val="0"/>
    <w:rPr>
      <w:rFonts w:ascii="宋体"/>
      <w:sz w:val="21"/>
      <w:lang w:val="en-US" w:eastAsia="zh-CN" w:bidi="ar-SA"/>
    </w:rPr>
  </w:style>
  <w:style w:type="character" w:customStyle="1" w:styleId="65">
    <w:name w:val="font441"/>
    <w:autoRedefine/>
    <w:qFormat/>
    <w:uiPriority w:val="0"/>
    <w:rPr>
      <w:rFonts w:hint="eastAsia" w:ascii="等线" w:hAnsi="等线" w:eastAsia="等线"/>
      <w:color w:val="000000"/>
      <w:sz w:val="24"/>
      <w:szCs w:val="24"/>
      <w:u w:val="none"/>
    </w:rPr>
  </w:style>
  <w:style w:type="character" w:customStyle="1" w:styleId="66">
    <w:name w:val="font541"/>
    <w:autoRedefine/>
    <w:qFormat/>
    <w:uiPriority w:val="0"/>
    <w:rPr>
      <w:rFonts w:hint="default" w:ascii="Arial" w:hAnsi="Arial" w:cs="Arial"/>
      <w:color w:val="000000"/>
      <w:sz w:val="22"/>
      <w:szCs w:val="22"/>
      <w:u w:val="none"/>
    </w:rPr>
  </w:style>
  <w:style w:type="character" w:customStyle="1" w:styleId="67">
    <w:name w:val="发布"/>
    <w:autoRedefine/>
    <w:qFormat/>
    <w:uiPriority w:val="0"/>
    <w:rPr>
      <w:rFonts w:ascii="黑体" w:eastAsia="黑体"/>
      <w:spacing w:val="85"/>
      <w:w w:val="100"/>
      <w:position w:val="3"/>
      <w:sz w:val="28"/>
      <w:szCs w:val="28"/>
    </w:rPr>
  </w:style>
  <w:style w:type="character" w:customStyle="1" w:styleId="68">
    <w:name w:val="apple-style-span"/>
    <w:autoRedefine/>
    <w:qFormat/>
    <w:uiPriority w:val="0"/>
  </w:style>
  <w:style w:type="paragraph" w:customStyle="1" w:styleId="69">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0">
    <w:name w:val="参考文献"/>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1">
    <w:name w:val="附录五级无"/>
    <w:basedOn w:val="72"/>
    <w:autoRedefine/>
    <w:qFormat/>
    <w:uiPriority w:val="0"/>
    <w:pPr>
      <w:spacing w:beforeLines="0" w:afterLines="0"/>
    </w:pPr>
    <w:rPr>
      <w:rFonts w:ascii="宋体" w:eastAsia="宋体"/>
      <w:szCs w:val="21"/>
    </w:rPr>
  </w:style>
  <w:style w:type="paragraph" w:customStyle="1" w:styleId="72">
    <w:name w:val="附录五级条标题"/>
    <w:basedOn w:val="73"/>
    <w:next w:val="26"/>
    <w:autoRedefine/>
    <w:qFormat/>
    <w:uiPriority w:val="0"/>
    <w:pPr>
      <w:outlineLvl w:val="6"/>
    </w:pPr>
  </w:style>
  <w:style w:type="paragraph" w:customStyle="1" w:styleId="73">
    <w:name w:val="附录四级条标题"/>
    <w:basedOn w:val="74"/>
    <w:next w:val="26"/>
    <w:autoRedefine/>
    <w:qFormat/>
    <w:uiPriority w:val="0"/>
    <w:pPr>
      <w:outlineLvl w:val="5"/>
    </w:pPr>
  </w:style>
  <w:style w:type="paragraph" w:customStyle="1" w:styleId="74">
    <w:name w:val="附录三级条标题"/>
    <w:basedOn w:val="75"/>
    <w:next w:val="26"/>
    <w:autoRedefine/>
    <w:qFormat/>
    <w:uiPriority w:val="0"/>
    <w:pPr>
      <w:outlineLvl w:val="4"/>
    </w:pPr>
  </w:style>
  <w:style w:type="paragraph" w:customStyle="1" w:styleId="75">
    <w:name w:val="附录二级条标题"/>
    <w:basedOn w:val="1"/>
    <w:next w:val="26"/>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76">
    <w:name w:val="附录标题"/>
    <w:basedOn w:val="26"/>
    <w:next w:val="26"/>
    <w:autoRedefine/>
    <w:qFormat/>
    <w:uiPriority w:val="0"/>
    <w:pPr>
      <w:ind w:firstLine="0" w:firstLineChars="0"/>
      <w:jc w:val="center"/>
    </w:pPr>
    <w:rPr>
      <w:rFonts w:ascii="黑体" w:eastAsia="黑体"/>
    </w:rPr>
  </w:style>
  <w:style w:type="paragraph" w:customStyle="1" w:styleId="77">
    <w:name w:val="注：（正文）"/>
    <w:basedOn w:val="78"/>
    <w:next w:val="26"/>
    <w:autoRedefine/>
    <w:qFormat/>
    <w:uiPriority w:val="0"/>
  </w:style>
  <w:style w:type="paragraph" w:customStyle="1" w:styleId="78">
    <w:name w:val="注："/>
    <w:next w:val="26"/>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79">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0">
    <w:name w:val="附录一级无"/>
    <w:basedOn w:val="81"/>
    <w:autoRedefine/>
    <w:qFormat/>
    <w:uiPriority w:val="0"/>
    <w:pPr>
      <w:spacing w:beforeLines="0" w:afterLines="0"/>
    </w:pPr>
    <w:rPr>
      <w:rFonts w:ascii="宋体" w:eastAsia="宋体"/>
      <w:szCs w:val="21"/>
    </w:rPr>
  </w:style>
  <w:style w:type="paragraph" w:customStyle="1" w:styleId="81">
    <w:name w:val="附录一级条标题"/>
    <w:basedOn w:val="82"/>
    <w:next w:val="26"/>
    <w:autoRedefine/>
    <w:qFormat/>
    <w:uiPriority w:val="0"/>
    <w:pPr>
      <w:numPr>
        <w:ilvl w:val="0"/>
        <w:numId w:val="0"/>
      </w:numPr>
      <w:autoSpaceDN w:val="0"/>
      <w:spacing w:beforeLines="50" w:afterLines="50"/>
      <w:outlineLvl w:val="2"/>
    </w:pPr>
  </w:style>
  <w:style w:type="paragraph" w:customStyle="1" w:styleId="82">
    <w:name w:val="附录章标题"/>
    <w:next w:val="26"/>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3">
    <w:name w:val="附录三级无"/>
    <w:basedOn w:val="74"/>
    <w:autoRedefine/>
    <w:qFormat/>
    <w:uiPriority w:val="0"/>
    <w:pPr>
      <w:spacing w:beforeLines="0" w:afterLines="0"/>
    </w:pPr>
    <w:rPr>
      <w:rFonts w:ascii="宋体" w:eastAsia="宋体"/>
      <w:szCs w:val="21"/>
    </w:rPr>
  </w:style>
  <w:style w:type="paragraph" w:customStyle="1" w:styleId="84">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5">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86">
    <w:name w:val="标准书眉_偶数页"/>
    <w:basedOn w:val="87"/>
    <w:next w:val="1"/>
    <w:autoRedefine/>
    <w:qFormat/>
    <w:uiPriority w:val="0"/>
    <w:pPr>
      <w:tabs>
        <w:tab w:val="center" w:pos="4154"/>
        <w:tab w:val="right" w:pos="8306"/>
      </w:tabs>
      <w:jc w:val="left"/>
    </w:pPr>
  </w:style>
  <w:style w:type="paragraph" w:customStyle="1" w:styleId="87">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88">
    <w:name w:val="发布部门"/>
    <w:next w:val="26"/>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9">
    <w:name w:val="五级无"/>
    <w:basedOn w:val="90"/>
    <w:autoRedefine/>
    <w:qFormat/>
    <w:uiPriority w:val="0"/>
    <w:pPr>
      <w:spacing w:beforeLines="0" w:afterLines="0"/>
    </w:pPr>
    <w:rPr>
      <w:rFonts w:ascii="宋体" w:eastAsia="宋体"/>
    </w:rPr>
  </w:style>
  <w:style w:type="paragraph" w:customStyle="1" w:styleId="90">
    <w:name w:val="五级条标题"/>
    <w:basedOn w:val="91"/>
    <w:next w:val="26"/>
    <w:autoRedefine/>
    <w:qFormat/>
    <w:uiPriority w:val="0"/>
    <w:pPr>
      <w:numPr>
        <w:ilvl w:val="0"/>
        <w:numId w:val="0"/>
      </w:numPr>
      <w:outlineLvl w:val="6"/>
    </w:pPr>
  </w:style>
  <w:style w:type="paragraph" w:customStyle="1" w:styleId="91">
    <w:name w:val="四级条标题"/>
    <w:basedOn w:val="58"/>
    <w:next w:val="26"/>
    <w:autoRedefine/>
    <w:qFormat/>
    <w:uiPriority w:val="0"/>
    <w:pPr>
      <w:numPr>
        <w:ilvl w:val="4"/>
      </w:numPr>
      <w:outlineLvl w:val="5"/>
    </w:pPr>
  </w:style>
  <w:style w:type="paragraph" w:customStyle="1" w:styleId="92">
    <w:name w:val="封面一致性程度标识"/>
    <w:basedOn w:val="93"/>
    <w:autoRedefine/>
    <w:qFormat/>
    <w:uiPriority w:val="0"/>
    <w:pPr>
      <w:framePr w:wrap="around"/>
      <w:spacing w:before="440"/>
    </w:pPr>
    <w:rPr>
      <w:rFonts w:ascii="宋体" w:eastAsia="宋体"/>
    </w:rPr>
  </w:style>
  <w:style w:type="paragraph" w:customStyle="1" w:styleId="93">
    <w:name w:val="封面标准英文名称"/>
    <w:basedOn w:val="79"/>
    <w:autoRedefine/>
    <w:qFormat/>
    <w:uiPriority w:val="0"/>
    <w:pPr>
      <w:framePr w:wrap="around"/>
      <w:spacing w:before="370" w:line="400" w:lineRule="exact"/>
    </w:pPr>
    <w:rPr>
      <w:rFonts w:ascii="Times New Roman"/>
      <w:sz w:val="28"/>
      <w:szCs w:val="28"/>
    </w:rPr>
  </w:style>
  <w:style w:type="paragraph" w:customStyle="1" w:styleId="94">
    <w:name w:val="其他发布部门"/>
    <w:basedOn w:val="88"/>
    <w:autoRedefine/>
    <w:qFormat/>
    <w:uiPriority w:val="0"/>
    <w:pPr>
      <w:framePr w:wrap="around" w:y="15310"/>
      <w:spacing w:line="0" w:lineRule="atLeast"/>
    </w:pPr>
    <w:rPr>
      <w:rFonts w:ascii="黑体" w:eastAsia="黑体"/>
      <w:b w:val="0"/>
    </w:rPr>
  </w:style>
  <w:style w:type="paragraph" w:customStyle="1" w:styleId="95">
    <w:name w:val="目次、标准名称标题"/>
    <w:basedOn w:val="1"/>
    <w:next w:val="26"/>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96">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97">
    <w:name w:val="附录表标题"/>
    <w:basedOn w:val="1"/>
    <w:next w:val="26"/>
    <w:autoRedefine/>
    <w:qFormat/>
    <w:uiPriority w:val="0"/>
    <w:pPr>
      <w:numPr>
        <w:ilvl w:val="1"/>
        <w:numId w:val="6"/>
      </w:numPr>
      <w:spacing w:beforeLines="50" w:afterLines="50"/>
      <w:jc w:val="center"/>
    </w:pPr>
    <w:rPr>
      <w:rFonts w:ascii="黑体" w:eastAsia="黑体"/>
      <w:szCs w:val="21"/>
    </w:rPr>
  </w:style>
  <w:style w:type="paragraph" w:customStyle="1" w:styleId="98">
    <w:name w:val="附录公式编号制表符"/>
    <w:basedOn w:val="1"/>
    <w:next w:val="26"/>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99">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0">
    <w:name w:val="附录标识"/>
    <w:basedOn w:val="1"/>
    <w:next w:val="26"/>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1">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2">
    <w:name w:val="封面标准文稿编辑信息"/>
    <w:basedOn w:val="103"/>
    <w:autoRedefine/>
    <w:qFormat/>
    <w:uiPriority w:val="0"/>
    <w:pPr>
      <w:framePr w:wrap="around"/>
      <w:spacing w:before="180" w:line="180" w:lineRule="exact"/>
    </w:pPr>
    <w:rPr>
      <w:sz w:val="21"/>
    </w:rPr>
  </w:style>
  <w:style w:type="paragraph" w:customStyle="1" w:styleId="103">
    <w:name w:val="封面标准文稿类别"/>
    <w:basedOn w:val="92"/>
    <w:autoRedefine/>
    <w:qFormat/>
    <w:uiPriority w:val="0"/>
    <w:pPr>
      <w:framePr w:wrap="around"/>
      <w:spacing w:after="160" w:line="240" w:lineRule="auto"/>
    </w:pPr>
    <w:rPr>
      <w:sz w:val="24"/>
    </w:rPr>
  </w:style>
  <w:style w:type="paragraph" w:customStyle="1" w:styleId="104">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5">
    <w:name w:val="列项◆（三级）"/>
    <w:basedOn w:val="1"/>
    <w:autoRedefine/>
    <w:qFormat/>
    <w:uiPriority w:val="0"/>
    <w:pPr>
      <w:numPr>
        <w:ilvl w:val="2"/>
        <w:numId w:val="8"/>
      </w:numPr>
    </w:pPr>
    <w:rPr>
      <w:rFonts w:ascii="宋体"/>
      <w:szCs w:val="21"/>
    </w:rPr>
  </w:style>
  <w:style w:type="paragraph" w:customStyle="1" w:styleId="106">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07">
    <w:name w:val="附录二级无"/>
    <w:basedOn w:val="75"/>
    <w:autoRedefine/>
    <w:qFormat/>
    <w:uiPriority w:val="0"/>
    <w:pPr>
      <w:spacing w:beforeLines="0" w:afterLines="0"/>
    </w:pPr>
    <w:rPr>
      <w:rFonts w:ascii="宋体" w:eastAsia="宋体"/>
      <w:szCs w:val="21"/>
    </w:rPr>
  </w:style>
  <w:style w:type="paragraph" w:customStyle="1" w:styleId="108">
    <w:name w:val="实施日期"/>
    <w:basedOn w:val="109"/>
    <w:autoRedefine/>
    <w:qFormat/>
    <w:uiPriority w:val="0"/>
    <w:pPr>
      <w:framePr w:wrap="around" w:vAnchor="page" w:hAnchor="text"/>
      <w:jc w:val="right"/>
    </w:pPr>
  </w:style>
  <w:style w:type="paragraph" w:customStyle="1" w:styleId="109">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0">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1">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2">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3">
    <w:name w:val="图表脚注说明"/>
    <w:basedOn w:val="1"/>
    <w:autoRedefine/>
    <w:qFormat/>
    <w:uiPriority w:val="0"/>
    <w:pPr>
      <w:ind w:left="544" w:hanging="181"/>
    </w:pPr>
    <w:rPr>
      <w:rFonts w:ascii="宋体"/>
      <w:sz w:val="18"/>
      <w:szCs w:val="18"/>
    </w:rPr>
  </w:style>
  <w:style w:type="paragraph" w:customStyle="1" w:styleId="114">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5">
    <w:name w:val="示例"/>
    <w:next w:val="116"/>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16">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17">
    <w:name w:val="Char Char"/>
    <w:basedOn w:val="1"/>
    <w:autoRedefine/>
    <w:qFormat/>
    <w:uiPriority w:val="0"/>
    <w:rPr>
      <w:rFonts w:ascii="黑体" w:eastAsia="黑体"/>
      <w:sz w:val="36"/>
      <w:szCs w:val="36"/>
    </w:rPr>
  </w:style>
  <w:style w:type="paragraph" w:customStyle="1" w:styleId="118">
    <w:name w:val="Char Char1"/>
    <w:basedOn w:val="1"/>
    <w:autoRedefine/>
    <w:qFormat/>
    <w:uiPriority w:val="0"/>
    <w:rPr>
      <w:rFonts w:ascii="黑体" w:eastAsia="黑体"/>
      <w:sz w:val="36"/>
      <w:szCs w:val="36"/>
    </w:rPr>
  </w:style>
  <w:style w:type="paragraph" w:customStyle="1" w:styleId="119">
    <w:name w:val="参考文献、索引标题"/>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0">
    <w:name w:val="正文表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1">
    <w:name w:val="二级无"/>
    <w:basedOn w:val="55"/>
    <w:autoRedefine/>
    <w:qFormat/>
    <w:uiPriority w:val="0"/>
    <w:pPr>
      <w:spacing w:beforeLines="0" w:afterLines="0"/>
      <w:ind w:left="0"/>
    </w:pPr>
    <w:rPr>
      <w:rFonts w:ascii="宋体" w:eastAsia="宋体"/>
    </w:rPr>
  </w:style>
  <w:style w:type="paragraph" w:customStyle="1" w:styleId="122">
    <w:name w:val="图标脚注说明"/>
    <w:basedOn w:val="26"/>
    <w:autoRedefine/>
    <w:qFormat/>
    <w:uiPriority w:val="0"/>
    <w:pPr>
      <w:ind w:left="840" w:hanging="420" w:firstLineChars="0"/>
    </w:pPr>
    <w:rPr>
      <w:sz w:val="18"/>
      <w:szCs w:val="18"/>
    </w:rPr>
  </w:style>
  <w:style w:type="paragraph" w:customStyle="1" w:styleId="123">
    <w:name w:val="其他标准标志"/>
    <w:basedOn w:val="124"/>
    <w:autoRedefine/>
    <w:qFormat/>
    <w:uiPriority w:val="0"/>
    <w:pPr>
      <w:framePr w:w="6101" w:wrap="around" w:vAnchor="page" w:hAnchor="page" w:x="4673" w:y="942"/>
    </w:pPr>
    <w:rPr>
      <w:w w:val="130"/>
    </w:rPr>
  </w:style>
  <w:style w:type="paragraph" w:customStyle="1" w:styleId="124">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5">
    <w:name w:val="封面一致性程度标识2"/>
    <w:basedOn w:val="92"/>
    <w:autoRedefine/>
    <w:qFormat/>
    <w:uiPriority w:val="0"/>
    <w:pPr>
      <w:framePr w:wrap="around" w:y="4469"/>
    </w:pPr>
  </w:style>
  <w:style w:type="paragraph" w:customStyle="1" w:styleId="126">
    <w:name w:val="标准书眉一"/>
    <w:autoRedefine/>
    <w:qFormat/>
    <w:uiPriority w:val="0"/>
    <w:pPr>
      <w:jc w:val="both"/>
    </w:pPr>
    <w:rPr>
      <w:rFonts w:ascii="Times New Roman" w:hAnsi="Times New Roman" w:eastAsia="宋体" w:cs="Times New Roman"/>
      <w:lang w:val="en-US" w:eastAsia="zh-CN" w:bidi="ar-SA"/>
    </w:rPr>
  </w:style>
  <w:style w:type="paragraph" w:customStyle="1" w:styleId="127">
    <w:name w:val="封面正文"/>
    <w:autoRedefine/>
    <w:qFormat/>
    <w:uiPriority w:val="0"/>
    <w:pPr>
      <w:jc w:val="both"/>
    </w:pPr>
    <w:rPr>
      <w:rFonts w:ascii="Times New Roman" w:hAnsi="Times New Roman" w:eastAsia="宋体" w:cs="Times New Roman"/>
      <w:lang w:val="en-US" w:eastAsia="zh-CN" w:bidi="ar-SA"/>
    </w:rPr>
  </w:style>
  <w:style w:type="paragraph" w:customStyle="1" w:styleId="128">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29">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0">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1">
    <w:name w:val="正文公式编号制表符"/>
    <w:basedOn w:val="26"/>
    <w:next w:val="26"/>
    <w:autoRedefine/>
    <w:qFormat/>
    <w:uiPriority w:val="0"/>
    <w:pPr>
      <w:ind w:firstLine="0" w:firstLineChars="0"/>
    </w:pPr>
  </w:style>
  <w:style w:type="paragraph" w:customStyle="1" w:styleId="132">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3">
    <w:name w:val="四级无"/>
    <w:basedOn w:val="91"/>
    <w:autoRedefine/>
    <w:qFormat/>
    <w:uiPriority w:val="0"/>
    <w:pPr>
      <w:spacing w:beforeLines="0" w:afterLines="0"/>
    </w:pPr>
    <w:rPr>
      <w:rFonts w:ascii="宋体" w:eastAsia="宋体"/>
    </w:rPr>
  </w:style>
  <w:style w:type="paragraph" w:customStyle="1" w:styleId="134">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5">
    <w:name w:val="附录四级无"/>
    <w:basedOn w:val="73"/>
    <w:autoRedefine/>
    <w:qFormat/>
    <w:uiPriority w:val="0"/>
    <w:pPr>
      <w:spacing w:beforeLines="0" w:afterLines="0"/>
    </w:pPr>
    <w:rPr>
      <w:rFonts w:ascii="宋体" w:eastAsia="宋体"/>
      <w:szCs w:val="21"/>
    </w:rPr>
  </w:style>
  <w:style w:type="paragraph" w:customStyle="1" w:styleId="136">
    <w:name w:val="封面标准英文名称2"/>
    <w:basedOn w:val="93"/>
    <w:autoRedefine/>
    <w:qFormat/>
    <w:uiPriority w:val="0"/>
    <w:pPr>
      <w:framePr w:wrap="around" w:y="4469"/>
    </w:pPr>
  </w:style>
  <w:style w:type="paragraph" w:customStyle="1" w:styleId="137">
    <w:name w:val="封面标准文稿类别2"/>
    <w:basedOn w:val="103"/>
    <w:autoRedefine/>
    <w:qFormat/>
    <w:uiPriority w:val="0"/>
    <w:pPr>
      <w:framePr w:wrap="around" w:y="4469"/>
    </w:pPr>
  </w:style>
  <w:style w:type="paragraph" w:customStyle="1" w:styleId="138">
    <w:name w:val="示例×："/>
    <w:basedOn w:val="139"/>
    <w:autoRedefine/>
    <w:qFormat/>
    <w:uiPriority w:val="0"/>
    <w:pPr>
      <w:numPr>
        <w:numId w:val="0"/>
      </w:numPr>
      <w:spacing w:beforeLines="0" w:afterLines="0"/>
      <w:ind w:firstLine="363"/>
      <w:outlineLvl w:val="9"/>
    </w:pPr>
    <w:rPr>
      <w:rFonts w:ascii="宋体" w:eastAsia="宋体"/>
      <w:sz w:val="18"/>
      <w:szCs w:val="18"/>
    </w:rPr>
  </w:style>
  <w:style w:type="paragraph" w:customStyle="1" w:styleId="139">
    <w:name w:val="章标题"/>
    <w:next w:val="26"/>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0">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1">
    <w:name w:val="附录图标题"/>
    <w:basedOn w:val="1"/>
    <w:next w:val="26"/>
    <w:autoRedefine/>
    <w:qFormat/>
    <w:uiPriority w:val="0"/>
    <w:pPr>
      <w:numPr>
        <w:ilvl w:val="1"/>
        <w:numId w:val="5"/>
      </w:numPr>
      <w:spacing w:beforeLines="50" w:afterLines="50"/>
      <w:jc w:val="center"/>
    </w:pPr>
    <w:rPr>
      <w:rFonts w:ascii="黑体" w:eastAsia="黑体"/>
      <w:szCs w:val="21"/>
    </w:rPr>
  </w:style>
  <w:style w:type="paragraph" w:customStyle="1" w:styleId="142">
    <w:name w:val="其他实施日期"/>
    <w:basedOn w:val="108"/>
    <w:autoRedefine/>
    <w:qFormat/>
    <w:uiPriority w:val="0"/>
    <w:pPr>
      <w:framePr w:wrap="around" w:vAnchor="margin" w:hAnchor="page"/>
    </w:pPr>
  </w:style>
  <w:style w:type="paragraph" w:customStyle="1" w:styleId="143">
    <w:name w:val="三级无"/>
    <w:basedOn w:val="58"/>
    <w:autoRedefine/>
    <w:qFormat/>
    <w:uiPriority w:val="0"/>
    <w:pPr>
      <w:spacing w:beforeLines="0" w:afterLines="0"/>
    </w:pPr>
    <w:rPr>
      <w:rFonts w:ascii="宋体" w:eastAsia="宋体"/>
    </w:rPr>
  </w:style>
  <w:style w:type="paragraph" w:customStyle="1" w:styleId="144">
    <w:name w:val="封面标准名称2"/>
    <w:basedOn w:val="79"/>
    <w:autoRedefine/>
    <w:qFormat/>
    <w:uiPriority w:val="0"/>
    <w:pPr>
      <w:framePr w:wrap="around" w:y="4469"/>
      <w:spacing w:beforeLines="630"/>
    </w:pPr>
  </w:style>
  <w:style w:type="paragraph" w:customStyle="1" w:styleId="145">
    <w:name w:val="正文图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6">
    <w:name w:val="示例后文字"/>
    <w:basedOn w:val="26"/>
    <w:next w:val="26"/>
    <w:autoRedefine/>
    <w:qFormat/>
    <w:uiPriority w:val="0"/>
    <w:pPr>
      <w:ind w:firstLine="360"/>
    </w:pPr>
    <w:rPr>
      <w:sz w:val="18"/>
    </w:rPr>
  </w:style>
  <w:style w:type="paragraph" w:customStyle="1" w:styleId="147">
    <w:name w:val="其他发布日期"/>
    <w:basedOn w:val="109"/>
    <w:autoRedefine/>
    <w:qFormat/>
    <w:uiPriority w:val="0"/>
    <w:pPr>
      <w:framePr w:wrap="around" w:vAnchor="page" w:hAnchor="text" w:x="1419"/>
    </w:pPr>
  </w:style>
  <w:style w:type="paragraph" w:customStyle="1" w:styleId="148">
    <w:name w:val="封面标准文稿编辑信息2"/>
    <w:basedOn w:val="102"/>
    <w:autoRedefine/>
    <w:qFormat/>
    <w:uiPriority w:val="0"/>
    <w:pPr>
      <w:framePr w:wrap="around" w:y="4469"/>
    </w:pPr>
  </w:style>
  <w:style w:type="paragraph" w:customStyle="1" w:styleId="149">
    <w:name w:val="一级无"/>
    <w:basedOn w:val="56"/>
    <w:autoRedefine/>
    <w:qFormat/>
    <w:uiPriority w:val="0"/>
    <w:pPr>
      <w:spacing w:before="156" w:after="156"/>
    </w:pPr>
    <w:rPr>
      <w:rFonts w:ascii="Times New Roman" w:eastAsia="宋体"/>
      <w:color w:val="000000"/>
    </w:rPr>
  </w:style>
  <w:style w:type="paragraph" w:customStyle="1" w:styleId="150">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1">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2">
    <w:name w:val="附录表标号"/>
    <w:basedOn w:val="1"/>
    <w:next w:val="26"/>
    <w:autoRedefine/>
    <w:qFormat/>
    <w:uiPriority w:val="0"/>
    <w:pPr>
      <w:numPr>
        <w:ilvl w:val="0"/>
        <w:numId w:val="6"/>
      </w:numPr>
      <w:spacing w:line="14" w:lineRule="exact"/>
      <w:jc w:val="center"/>
      <w:outlineLvl w:val="0"/>
    </w:pPr>
    <w:rPr>
      <w:color w:val="FFFFFF"/>
    </w:rPr>
  </w:style>
  <w:style w:type="paragraph" w:customStyle="1" w:styleId="153">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4">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5">
    <w:name w:val="条文脚注"/>
    <w:basedOn w:val="27"/>
    <w:autoRedefine/>
    <w:qFormat/>
    <w:uiPriority w:val="0"/>
    <w:pPr>
      <w:numPr>
        <w:numId w:val="0"/>
      </w:numPr>
      <w:jc w:val="both"/>
    </w:pPr>
  </w:style>
  <w:style w:type="paragraph" w:customStyle="1" w:styleId="156">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57">
    <w:name w:val="终结线"/>
    <w:basedOn w:val="1"/>
    <w:autoRedefine/>
    <w:qFormat/>
    <w:uiPriority w:val="0"/>
    <w:pPr>
      <w:framePr w:hSpace="181" w:vSpace="181" w:wrap="around" w:vAnchor="text" w:hAnchor="margin" w:xAlign="center" w:y="285"/>
    </w:pPr>
  </w:style>
  <w:style w:type="paragraph" w:customStyle="1" w:styleId="158">
    <w:name w:val="前言、引言标题"/>
    <w:next w:val="26"/>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59">
    <w:name w:val="图的脚注"/>
    <w:next w:val="26"/>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0">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1">
    <w:name w:val="标题 6 字符"/>
    <w:link w:val="3"/>
    <w:autoRedefine/>
    <w:semiHidden/>
    <w:qFormat/>
    <w:uiPriority w:val="0"/>
    <w:rPr>
      <w:rFonts w:ascii="等线 Light" w:hAnsi="等线 Light" w:eastAsia="等线 Light" w:cs="Times New Roman"/>
      <w:b/>
      <w:bCs/>
      <w:kern w:val="2"/>
      <w:sz w:val="24"/>
      <w:szCs w:val="24"/>
    </w:rPr>
  </w:style>
  <w:style w:type="character" w:customStyle="1" w:styleId="162">
    <w:name w:val="页脚 字符"/>
    <w:link w:val="20"/>
    <w:autoRedefine/>
    <w:qFormat/>
    <w:uiPriority w:val="99"/>
    <w:rPr>
      <w:kern w:val="2"/>
      <w:sz w:val="18"/>
      <w:szCs w:val="18"/>
    </w:rPr>
  </w:style>
  <w:style w:type="paragraph" w:customStyle="1" w:styleId="163">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4">
    <w:name w:val="正文文本缩进 2 字符"/>
    <w:basedOn w:val="39"/>
    <w:link w:val="17"/>
    <w:autoRedefine/>
    <w:qFormat/>
    <w:uiPriority w:val="99"/>
    <w:rPr>
      <w:rFonts w:eastAsia="PMingLiU-ExtB"/>
      <w:kern w:val="2"/>
      <w:sz w:val="24"/>
      <w:szCs w:val="24"/>
      <w:lang w:eastAsia="zh-TW"/>
    </w:rPr>
  </w:style>
  <w:style w:type="paragraph" w:customStyle="1" w:styleId="165">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6">
    <w:name w:val="标准文件_术语条一"/>
    <w:basedOn w:val="167"/>
    <w:next w:val="165"/>
    <w:autoRedefine/>
    <w:qFormat/>
    <w:uiPriority w:val="0"/>
  </w:style>
  <w:style w:type="paragraph" w:customStyle="1" w:styleId="167">
    <w:name w:val="标准文件_一级无标题"/>
    <w:basedOn w:val="168"/>
    <w:autoRedefine/>
    <w:qFormat/>
    <w:uiPriority w:val="0"/>
    <w:pPr>
      <w:spacing w:before="0" w:beforeLines="0" w:after="0" w:afterLines="0"/>
      <w:outlineLvl w:val="9"/>
    </w:pPr>
    <w:rPr>
      <w:rFonts w:ascii="宋体" w:eastAsia="宋体"/>
    </w:rPr>
  </w:style>
  <w:style w:type="paragraph" w:customStyle="1" w:styleId="168">
    <w:name w:val="标准文件_一级条标题"/>
    <w:basedOn w:val="169"/>
    <w:next w:val="165"/>
    <w:autoRedefine/>
    <w:qFormat/>
    <w:uiPriority w:val="0"/>
    <w:pPr>
      <w:numPr>
        <w:ilvl w:val="2"/>
      </w:numPr>
      <w:spacing w:before="50" w:beforeLines="50" w:after="50" w:afterLines="50"/>
      <w:outlineLvl w:val="1"/>
    </w:pPr>
  </w:style>
  <w:style w:type="paragraph" w:customStyle="1" w:styleId="169">
    <w:name w:val="标准文件_章标题"/>
    <w:next w:val="165"/>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character" w:customStyle="1" w:styleId="170">
    <w:name w:val="标准文件_段 Char"/>
    <w:basedOn w:val="39"/>
    <w:autoRedefine/>
    <w:qFormat/>
    <w:uiPriority w:val="0"/>
    <w:rPr>
      <w:rFonts w:hint="eastAsia" w:ascii="宋体" w:hAnsi="宋体" w:eastAsia="宋体" w:cs="宋体"/>
      <w:sz w:val="21"/>
    </w:rPr>
  </w:style>
  <w:style w:type="paragraph" w:customStyle="1" w:styleId="17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72">
    <w:name w:val="正文1"/>
    <w:qFormat/>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dec89b2-61f7-4ca6-98e2-c36374a47443}"/>
        <w:style w:val=""/>
        <w:category>
          <w:name w:val="常规"/>
          <w:gallery w:val="placeholder"/>
        </w:category>
        <w:types>
          <w:type w:val="bbPlcHdr"/>
        </w:types>
        <w:behaviors>
          <w:behavior w:val="content"/>
        </w:behaviors>
        <w:description w:val=""/>
        <w:guid w:val="{bdec89b2-61f7-4ca6-98e2-c36374a47443}"/>
      </w:docPartPr>
      <w:docPartBody>
        <w:p w14:paraId="7CCFB5EC">
          <w:pPr>
            <w:pStyle w:val="2"/>
          </w:pPr>
          <w:r>
            <w:rPr>
              <w:rStyle w:val="3"/>
              <w:rFonts w:hint="eastAsia"/>
            </w:rPr>
            <w:t>单击或点击此处输入文字。</w:t>
          </w:r>
        </w:p>
      </w:docPartBody>
    </w:docPart>
    <w:docPart>
      <w:docPartPr>
        <w:name w:val="{f1aee2fc-ea09-446a-b702-29121f50a82f}"/>
        <w:style w:val=""/>
        <w:category>
          <w:name w:val="常规"/>
          <w:gallery w:val="placeholder"/>
        </w:category>
        <w:types>
          <w:type w:val="bbPlcHdr"/>
        </w:types>
        <w:behaviors>
          <w:behavior w:val="content"/>
        </w:behaviors>
        <w:description w:val=""/>
        <w:guid w:val="{f1aee2fc-ea09-446a-b702-29121f50a82f}"/>
      </w:docPartPr>
      <w:docPartBody>
        <w:p w14:paraId="37DDE0A3">
          <w:pPr>
            <w:pStyle w:val="2"/>
          </w:pPr>
          <w:r>
            <w:rPr>
              <w:rStyle w:val="3"/>
              <w:rFonts w:hint="eastAsia"/>
            </w:rPr>
            <w:t>单击或点击此处输入文字。</w:t>
          </w:r>
        </w:p>
      </w:docPartBody>
    </w:docPart>
    <w:docPart>
      <w:docPartPr>
        <w:name w:val="{173d583d-cbfa-4aff-83ee-894fff15f632}"/>
        <w:style w:val=""/>
        <w:category>
          <w:name w:val="常规"/>
          <w:gallery w:val="placeholder"/>
        </w:category>
        <w:types>
          <w:type w:val="bbPlcHdr"/>
        </w:types>
        <w:behaviors>
          <w:behavior w:val="content"/>
        </w:behaviors>
        <w:description w:val=""/>
        <w:guid w:val="{173d583d-cbfa-4aff-83ee-894fff15f632}"/>
      </w:docPartPr>
      <w:docPartBody>
        <w:p w14:paraId="401F625B">
          <w:pPr>
            <w:pStyle w:val="5"/>
            <w:rPr>
              <w:rFonts w:hint="eastAsia"/>
            </w:rPr>
          </w:pPr>
          <w:r>
            <w:rPr>
              <w:rStyle w:val="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AA4200051FB54D44942A687BA6A275D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3">
    <w:name w:val="Placeholder Text"/>
    <w:basedOn w:val="1"/>
    <w:semiHidden/>
    <w:qFormat/>
    <w:uiPriority w:val="99"/>
    <w:rPr>
      <w:color w:val="808080"/>
    </w:rPr>
  </w:style>
  <w:style w:type="paragraph" w:customStyle="1" w:styleId="4">
    <w:name w:val="E9DA8C89D00A44EF9FD662033F27A69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5">
    <w:name w:val="7A472E39B36A4B6DA61809B38FE93C07"/>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02_GZBD标准模板.dotx</Template>
  <Pages>9</Pages>
  <Words>2543</Words>
  <Characters>2767</Characters>
  <Lines>14</Lines>
  <Paragraphs>3</Paragraphs>
  <TotalTime>1</TotalTime>
  <ScaleCrop>false</ScaleCrop>
  <LinksUpToDate>false</LinksUpToDate>
  <CharactersWithSpaces>2873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2024-05-28T07:02:00Z</cp:lastPrinted>
  <dcterms:modified xsi:type="dcterms:W3CDTF">2026-07-29T03:03:29Z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C9288B688AA74D738B0C8191A0AAE3DD_13</vt:lpwstr>
  </property>
  <property fmtid="{D5CDD505-2E9C-101B-9397-08002B2CF9AE}" pid="4" name="KSOTemplateDocerSaveRecord">
    <vt:lpwstr>eyJoZGlkIjoiMjQ2ZTA4YjVlM2RhY2MzNDBlZDIzZmY3YTlmMTk4Y2IiLCJ1c2VySWQiOiI2Nzg0MTk3MDUifQ==</vt:lpwstr>
  </property>
</Properties>
</file>