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5C305">
      <w:pPr>
        <w:pStyle w:val="143"/>
        <w:keepNext w:val="0"/>
        <w:keepLines w:val="0"/>
        <w:pageBreakBefore w:val="0"/>
        <w:widowControl/>
        <w:numPr>
          <w:ilvl w:val="0"/>
          <w:numId w:val="0"/>
        </w:numPr>
        <w:kinsoku/>
        <w:wordWrap/>
        <w:overflowPunct/>
        <w:topLinePunct w:val="0"/>
        <w:autoSpaceDE/>
        <w:autoSpaceDN/>
        <w:bidi w:val="0"/>
        <w:adjustRightInd/>
        <w:snapToGrid/>
        <w:spacing w:beforeLines="0" w:afterLines="0"/>
        <w:jc w:val="center"/>
        <w:textAlignment w:val="auto"/>
        <w:rPr>
          <w:rFonts w:hint="eastAsia" w:ascii="方正小标宋简体" w:hAnsi="方正小标宋简体" w:eastAsia="方正小标宋简体" w:cs="方正小标宋简体"/>
          <w:b w:val="0"/>
          <w:bCs w:val="0"/>
          <w:sz w:val="36"/>
          <w:szCs w:val="36"/>
          <w:lang w:eastAsia="zh-CN"/>
        </w:rPr>
      </w:pPr>
      <w:bookmarkStart w:id="0" w:name="_Toc304828066"/>
      <w:bookmarkStart w:id="1" w:name="_Toc298937357"/>
      <w:bookmarkStart w:id="2" w:name="_Toc499110426"/>
      <w:bookmarkStart w:id="3" w:name="_Toc298937322"/>
      <w:bookmarkStart w:id="4" w:name="_Toc6138"/>
      <w:bookmarkStart w:id="5" w:name="_Toc309995578"/>
      <w:bookmarkStart w:id="6" w:name="_Toc309993180"/>
      <w:bookmarkStart w:id="7" w:name="_Toc298937462"/>
      <w:bookmarkStart w:id="8" w:name="_Toc310002637"/>
      <w:bookmarkStart w:id="9" w:name="_Toc298937100"/>
      <w:bookmarkStart w:id="10" w:name="_Toc298938635"/>
      <w:bookmarkStart w:id="11" w:name="_Toc298938783"/>
      <w:bookmarkStart w:id="12" w:name="_Toc298937201"/>
      <w:bookmarkStart w:id="13" w:name="_Toc298936801"/>
      <w:bookmarkStart w:id="14" w:name="_Toc298936924"/>
      <w:bookmarkStart w:id="15" w:name="_Toc309997040"/>
      <w:bookmarkStart w:id="16" w:name="_Toc309995999"/>
      <w:bookmarkStart w:id="17" w:name="_Toc309995472"/>
      <w:bookmarkStart w:id="18" w:name="_Toc304824969"/>
      <w:bookmarkStart w:id="19" w:name="_Toc309995390"/>
      <w:bookmarkStart w:id="20" w:name="_Toc298937152"/>
      <w:bookmarkStart w:id="21" w:name="_Toc298937276"/>
      <w:bookmarkStart w:id="22" w:name="_Toc304825008"/>
      <w:bookmarkStart w:id="23" w:name="_Toc304402664"/>
      <w:bookmarkStart w:id="24" w:name="_Toc298923383"/>
      <w:bookmarkStart w:id="25" w:name="_Toc298937188"/>
      <w:bookmarkStart w:id="26" w:name="_Toc37234703"/>
      <w:bookmarkStart w:id="27" w:name="_Toc304825081"/>
      <w:bookmarkStart w:id="28" w:name="_Toc298937609"/>
      <w:bookmarkStart w:id="29" w:name="_Toc309994551"/>
      <w:bookmarkStart w:id="30" w:name="_Toc298937167"/>
      <w:bookmarkStart w:id="31" w:name="_Toc298937419"/>
      <w:r>
        <w:rPr>
          <w:rFonts w:hint="eastAsia" w:ascii="方正小标宋简体" w:hAnsi="方正小标宋简体" w:eastAsia="方正小标宋简体" w:cs="方正小标宋简体"/>
          <w:b w:val="0"/>
          <w:bCs w:val="0"/>
          <w:sz w:val="36"/>
          <w:szCs w:val="36"/>
          <w:lang w:eastAsia="zh-CN"/>
        </w:rPr>
        <w:t xml:space="preserve">《机器人灵巧手驱动用不锈钢微绳 </w:t>
      </w:r>
      <w:r>
        <w:rPr>
          <w:rFonts w:hint="eastAsia" w:ascii="方正小标宋简体" w:hAnsi="方正小标宋简体" w:eastAsia="方正小标宋简体" w:cs="方正小标宋简体"/>
          <w:b w:val="0"/>
          <w:bCs w:val="0"/>
          <w:sz w:val="36"/>
          <w:szCs w:val="36"/>
          <w:lang w:val="en-US" w:eastAsia="zh-CN"/>
        </w:rPr>
        <w:t xml:space="preserve"> </w:t>
      </w:r>
      <w:r>
        <w:rPr>
          <w:rFonts w:hint="eastAsia" w:ascii="方正小标宋简体" w:hAnsi="方正小标宋简体" w:eastAsia="方正小标宋简体" w:cs="方正小标宋简体"/>
          <w:b w:val="0"/>
          <w:bCs w:val="0"/>
          <w:sz w:val="36"/>
          <w:szCs w:val="36"/>
          <w:lang w:eastAsia="zh-CN"/>
        </w:rPr>
        <w:t>弯曲疲劳性能</w:t>
      </w:r>
    </w:p>
    <w:p w14:paraId="36CE64D8">
      <w:pPr>
        <w:pStyle w:val="143"/>
        <w:keepNext w:val="0"/>
        <w:keepLines w:val="0"/>
        <w:pageBreakBefore w:val="0"/>
        <w:widowControl/>
        <w:numPr>
          <w:ilvl w:val="0"/>
          <w:numId w:val="0"/>
        </w:numPr>
        <w:kinsoku/>
        <w:wordWrap/>
        <w:overflowPunct/>
        <w:topLinePunct w:val="0"/>
        <w:autoSpaceDE/>
        <w:autoSpaceDN/>
        <w:bidi w:val="0"/>
        <w:adjustRightInd/>
        <w:snapToGrid/>
        <w:spacing w:beforeLines="0" w:afterLines="0"/>
        <w:jc w:val="center"/>
        <w:textAlignment w:val="auto"/>
        <w:rPr>
          <w:rFonts w:hint="eastAsia" w:ascii="方正小标宋简体" w:hAnsi="方正小标宋简体" w:eastAsia="方正小标宋简体" w:cs="方正小标宋简体"/>
          <w:b w:val="0"/>
          <w:bCs w:val="0"/>
          <w:sz w:val="36"/>
          <w:szCs w:val="36"/>
          <w:highlight w:val="none"/>
        </w:rPr>
      </w:pPr>
      <w:r>
        <w:rPr>
          <w:rFonts w:hint="eastAsia" w:ascii="方正小标宋简体" w:hAnsi="方正小标宋简体" w:eastAsia="方正小标宋简体" w:cs="方正小标宋简体"/>
          <w:b w:val="0"/>
          <w:bCs w:val="0"/>
          <w:sz w:val="36"/>
          <w:szCs w:val="36"/>
          <w:lang w:eastAsia="zh-CN"/>
        </w:rPr>
        <w:t>测试方法》</w:t>
      </w:r>
      <w:r>
        <w:rPr>
          <w:rFonts w:hint="eastAsia" w:ascii="方正小标宋简体" w:hAnsi="方正小标宋简体" w:eastAsia="方正小标宋简体" w:cs="方正小标宋简体"/>
          <w:b w:val="0"/>
          <w:bCs w:val="0"/>
          <w:sz w:val="36"/>
          <w:szCs w:val="36"/>
          <w:highlight w:val="none"/>
          <w:lang w:eastAsia="zh-CN"/>
        </w:rPr>
        <w:t>征求意见稿</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团体标准编制说明</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7C42FC17">
      <w:pPr>
        <w:pStyle w:val="143"/>
        <w:numPr>
          <w:ilvl w:val="0"/>
          <w:numId w:val="0"/>
        </w:numPr>
        <w:spacing w:before="312" w:after="312"/>
        <w:rPr>
          <w:rFonts w:ascii="仿宋" w:hAnsi="仿宋" w:eastAsia="仿宋" w:cs="仿宋"/>
          <w:b/>
          <w:bCs/>
          <w:color w:val="000000"/>
          <w:sz w:val="32"/>
          <w:szCs w:val="32"/>
        </w:rPr>
      </w:pPr>
      <w:bookmarkStart w:id="32" w:name="BT1"/>
      <w:bookmarkEnd w:id="32"/>
      <w:bookmarkStart w:id="33" w:name="_Toc298937549"/>
      <w:bookmarkEnd w:id="33"/>
      <w:r>
        <w:rPr>
          <w:rFonts w:hint="eastAsia" w:ascii="仿宋" w:hAnsi="仿宋" w:eastAsia="仿宋" w:cs="仿宋"/>
          <w:b/>
          <w:bCs/>
          <w:color w:val="000000"/>
          <w:sz w:val="32"/>
          <w:szCs w:val="32"/>
        </w:rPr>
        <w:t>一、任务来源</w:t>
      </w:r>
    </w:p>
    <w:p w14:paraId="33E711F4">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在全球高端智能制造迭代升级、仿生机器人技术高速发展的宏观背景下，机器人灵巧手作为实现精密抓取、柔性操作、人机协同作业的核心执行部件，正成为工业智造、航天航空、康养服务、精密装配等领域的关键核心装备。不锈钢微绳凭借高强度、高柔性、耐磨损、小直径、形变可逆性优异等特性，是机器人灵巧手柔性驱动系统的核心传动构件，直接决定灵巧手的运动精度、响应速度、负载能力与服役寿命。然而，不锈钢微绳在灵巧手高频往复弯曲、动态交变载荷工况下极易产生疲劳损伤，其长期弯曲疲劳性能的稳定性与可靠性，亟需科学、精准的标准化测试方法进行评估与验证。</w:t>
      </w:r>
    </w:p>
    <w:p w14:paraId="4948DEF2">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当前不同规格参数、不同加工工艺、不同材质配比的不锈钢微绳，在灵巧手高频弯曲、小幅形变、连续往复作业工况下的疲劳性能差异显著，目前行业内缺乏一套统一、可操作、可溯源、适配机器人灵巧手服役场景的弯曲疲劳性能测试标准，导致企业在产品研发迭代、质量检测核验、高端产品认证、整机性能标定等方面面临技术壁垒与合规风险。因此，建立适配机器人灵巧手驱动工况的不锈钢微绳弯曲疲劳性能测试方法，已成为提升机器人核心零部件可靠性、推动人形机器人产业高质量发展、补齐高端智造零部件测试标准短板的迫切需求。</w:t>
      </w:r>
    </w:p>
    <w:p w14:paraId="07330B12">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通过团体标准的制定与实施，能够有效规范机器人灵巧手驱动用不锈钢微绳弯曲疲劳测试的工况条件、流程框架、参数设定、数据采集分析方法与失效判定准则，统一测试设备要求、试样制备规范与性能评价指标，加速国产化精密微构件疲劳测试技术与检测设备的迭代升级，推动机器人零部件生产企业、灵巧手整机研发企业、检测机构之间的性能数据互认与技术协同升级，助力我国人形机器人、高端仿生机器人产业的国产化、高端化、标准化发展，提升我国智能机器人核心零部件领域的行业标准话语权与产业核心竞争力。</w:t>
      </w:r>
    </w:p>
    <w:p w14:paraId="2021A9BA">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kern w:val="2"/>
          <w:sz w:val="32"/>
          <w:szCs w:val="32"/>
          <w:lang w:val="en-US" w:eastAsia="zh-CN" w:bidi="ar-SA"/>
        </w:rPr>
        <w:t>综上所述，《机器人灵巧手驱动用不锈钢微绳  弯曲疲劳性能测试方法》团体标准的编制是行业内的一项重要工作，对于规范市场秩序、提高产品质量、促进技术创新和推</w:t>
      </w:r>
      <w:r>
        <w:rPr>
          <w:rFonts w:hint="eastAsia" w:ascii="仿宋" w:hAnsi="仿宋" w:eastAsia="仿宋" w:cs="仿宋"/>
          <w:kern w:val="2"/>
          <w:sz w:val="32"/>
          <w:szCs w:val="32"/>
          <w:highlight w:val="none"/>
          <w:lang w:val="en-US" w:eastAsia="zh-CN" w:bidi="ar-SA"/>
        </w:rPr>
        <w:t>动行业发展具有重要意义。</w:t>
      </w:r>
      <w:r>
        <w:rPr>
          <w:rFonts w:hint="eastAsia" w:ascii="仿宋" w:hAnsi="仿宋" w:eastAsia="仿宋" w:cs="仿宋"/>
          <w:sz w:val="32"/>
          <w:szCs w:val="32"/>
          <w:highlight w:val="none"/>
          <w:lang w:val="en-US" w:eastAsia="zh-CN"/>
        </w:rPr>
        <w:t>根据《团体标准管理规定》、《</w:t>
      </w:r>
      <w:r>
        <w:rPr>
          <w:rFonts w:hint="eastAsia" w:ascii="仿宋" w:hAnsi="仿宋" w:eastAsia="仿宋" w:cs="仿宋"/>
          <w:color w:val="auto"/>
          <w:sz w:val="32"/>
          <w:szCs w:val="32"/>
          <w:highlight w:val="none"/>
          <w:lang w:eastAsia="zh-CN"/>
        </w:rPr>
        <w:t>中国西部开发促进会</w:t>
      </w:r>
      <w:r>
        <w:rPr>
          <w:rFonts w:hint="eastAsia" w:ascii="仿宋" w:hAnsi="仿宋" w:eastAsia="仿宋" w:cs="仿宋"/>
          <w:sz w:val="32"/>
          <w:szCs w:val="32"/>
          <w:highlight w:val="none"/>
          <w:lang w:val="en-US" w:eastAsia="zh-CN"/>
        </w:rPr>
        <w:t>团体标准管理办法》有关规定，特立项本标准。本标</w:t>
      </w:r>
      <w:r>
        <w:rPr>
          <w:rFonts w:hint="eastAsia" w:ascii="仿宋" w:hAnsi="仿宋" w:eastAsia="仿宋" w:cs="仿宋"/>
          <w:sz w:val="32"/>
          <w:szCs w:val="32"/>
          <w:lang w:val="en-US" w:eastAsia="zh-CN"/>
        </w:rPr>
        <w:t>准项目计划编号</w:t>
      </w:r>
      <w:r>
        <w:rPr>
          <w:rFonts w:hint="eastAsia" w:ascii="仿宋" w:hAnsi="仿宋" w:eastAsia="仿宋" w:cs="仿宋"/>
          <w:sz w:val="32"/>
          <w:szCs w:val="32"/>
          <w:highlight w:val="none"/>
          <w:lang w:val="en-US" w:eastAsia="zh-CN"/>
        </w:rPr>
        <w:t>为</w:t>
      </w:r>
      <w:r>
        <w:rPr>
          <w:rFonts w:hint="eastAsia" w:ascii="仿宋" w:hAnsi="仿宋" w:eastAsia="仿宋" w:cs="仿宋"/>
          <w:kern w:val="0"/>
          <w:sz w:val="32"/>
          <w:szCs w:val="32"/>
        </w:rPr>
        <w:t>2026-494-CWDPA</w:t>
      </w:r>
      <w:r>
        <w:rPr>
          <w:rFonts w:hint="eastAsia" w:ascii="仿宋" w:hAnsi="仿宋" w:eastAsia="仿宋" w:cs="仿宋"/>
          <w:sz w:val="32"/>
          <w:szCs w:val="32"/>
          <w:highlight w:val="none"/>
          <w:lang w:val="en-US" w:eastAsia="zh-CN"/>
        </w:rPr>
        <w:t>。</w:t>
      </w:r>
    </w:p>
    <w:p w14:paraId="75F60046">
      <w:pPr>
        <w:pStyle w:val="143"/>
        <w:numPr>
          <w:ilvl w:val="0"/>
          <w:numId w:val="12"/>
        </w:numPr>
        <w:spacing w:before="312" w:after="312"/>
        <w:rPr>
          <w:rFonts w:ascii="仿宋" w:hAnsi="仿宋" w:eastAsia="仿宋" w:cs="仿宋"/>
          <w:b/>
          <w:bCs/>
          <w:color w:val="000000"/>
          <w:sz w:val="32"/>
          <w:szCs w:val="32"/>
        </w:rPr>
      </w:pPr>
      <w:bookmarkStart w:id="34" w:name="BT3"/>
      <w:bookmarkEnd w:id="34"/>
      <w:r>
        <w:rPr>
          <w:rFonts w:hint="eastAsia" w:ascii="仿宋" w:hAnsi="仿宋" w:eastAsia="仿宋" w:cs="仿宋"/>
          <w:b/>
          <w:bCs/>
          <w:color w:val="000000"/>
          <w:sz w:val="32"/>
          <w:szCs w:val="32"/>
        </w:rPr>
        <w:t>起草单位</w:t>
      </w:r>
    </w:p>
    <w:p w14:paraId="6EE4183C">
      <w:pPr>
        <w:pStyle w:val="26"/>
        <w:spacing w:line="360" w:lineRule="auto"/>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rPr>
        <w:t>本标准</w:t>
      </w:r>
      <w:r>
        <w:rPr>
          <w:rFonts w:hint="eastAsia" w:ascii="仿宋" w:hAnsi="仿宋" w:eastAsia="仿宋" w:cs="仿宋"/>
          <w:sz w:val="32"/>
          <w:szCs w:val="32"/>
          <w:highlight w:val="none"/>
        </w:rPr>
        <w:t>由</w:t>
      </w:r>
      <w:r>
        <w:rPr>
          <w:rFonts w:hint="eastAsia" w:ascii="仿宋" w:hAnsi="仿宋" w:eastAsia="仿宋" w:cs="仿宋"/>
          <w:color w:val="auto"/>
          <w:sz w:val="32"/>
          <w:szCs w:val="32"/>
          <w:highlight w:val="none"/>
          <w:lang w:eastAsia="zh-CN"/>
        </w:rPr>
        <w:t>贵州钢绳股份有限公司提出，</w:t>
      </w:r>
      <w:r>
        <w:rPr>
          <w:rFonts w:hint="eastAsia" w:ascii="仿宋" w:hAnsi="仿宋" w:eastAsia="仿宋" w:cs="仿宋"/>
          <w:color w:val="auto"/>
          <w:sz w:val="32"/>
          <w:szCs w:val="32"/>
          <w:highlight w:val="none"/>
          <w:lang w:val="en-US" w:eastAsia="zh-CN"/>
        </w:rPr>
        <w:t>由</w:t>
      </w:r>
      <w:r>
        <w:rPr>
          <w:rFonts w:hint="eastAsia" w:ascii="仿宋" w:hAnsi="仿宋" w:eastAsia="仿宋" w:cs="仿宋"/>
          <w:color w:val="auto"/>
          <w:sz w:val="32"/>
          <w:szCs w:val="32"/>
          <w:highlight w:val="none"/>
          <w:lang w:eastAsia="zh-CN"/>
        </w:rPr>
        <w:t>中国西部开发促进会归口。</w:t>
      </w:r>
      <w:r>
        <w:rPr>
          <w:rFonts w:hint="eastAsia" w:ascii="仿宋" w:hAnsi="仿宋" w:eastAsia="仿宋" w:cs="仿宋"/>
          <w:color w:val="auto"/>
          <w:sz w:val="32"/>
          <w:szCs w:val="32"/>
          <w:highlight w:val="none"/>
        </w:rPr>
        <w:t>本标准由贵州钢绳股份有限公司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江苏赛福天集团股份有限公司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青岛高测科技股份有限公司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苏州骏鼎达新材料科技有限公司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江阴宝能精密新材料股份有限公司</w:t>
      </w:r>
      <w:r>
        <w:rPr>
          <w:rFonts w:hint="eastAsia" w:ascii="仿宋" w:hAnsi="仿宋" w:eastAsia="仿宋" w:cs="仿宋"/>
          <w:color w:val="auto"/>
          <w:sz w:val="32"/>
          <w:szCs w:val="32"/>
          <w:highlight w:val="none"/>
          <w:lang w:val="en-US" w:eastAsia="zh-CN"/>
        </w:rPr>
        <w:t>共同</w:t>
      </w:r>
      <w:r>
        <w:rPr>
          <w:rFonts w:hint="eastAsia" w:ascii="仿宋" w:hAnsi="仿宋" w:eastAsia="仿宋" w:cs="仿宋"/>
          <w:sz w:val="32"/>
          <w:szCs w:val="32"/>
          <w:highlight w:val="none"/>
          <w:lang w:val="en-US" w:eastAsia="zh-CN"/>
        </w:rPr>
        <w:t>起草。</w:t>
      </w:r>
    </w:p>
    <w:p w14:paraId="7F2A67D6">
      <w:pPr>
        <w:pStyle w:val="60"/>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三、标准的编制原则</w:t>
      </w:r>
    </w:p>
    <w:p w14:paraId="0FC59A89">
      <w:pPr>
        <w:pStyle w:val="26"/>
        <w:spacing w:line="360" w:lineRule="auto"/>
        <w:ind w:firstLine="640"/>
        <w:rPr>
          <w:rFonts w:ascii="仿宋" w:hAnsi="仿宋" w:eastAsia="仿宋" w:cs="仿宋"/>
          <w:sz w:val="32"/>
          <w:szCs w:val="32"/>
        </w:rPr>
      </w:pPr>
      <w:r>
        <w:rPr>
          <w:rFonts w:hint="eastAsia" w:ascii="仿宋" w:hAnsi="仿宋" w:eastAsia="仿宋" w:cs="仿宋"/>
          <w:sz w:val="32"/>
          <w:szCs w:val="32"/>
        </w:rPr>
        <w:t>标准起草小组在编制标准过程中，以国家、行业现有的标准为制订基础，结合我国目前行业现状，按照GB/T 1.1-2020《标准化工作导则 第1部分：标准化文件的结构和起草规则》的规定及相关要求编制。</w:t>
      </w:r>
    </w:p>
    <w:p w14:paraId="12A108E8">
      <w:pPr>
        <w:pStyle w:val="60"/>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四、标准编制过程</w:t>
      </w:r>
    </w:p>
    <w:p w14:paraId="1650E19B">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1、项目调研阶段</w:t>
      </w:r>
    </w:p>
    <w:p w14:paraId="791567E4">
      <w:pPr>
        <w:pStyle w:val="26"/>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月，以机器人灵巧手驱动用不锈钢微绳弯曲疲劳性能测试方法为核心，系统开展技术调研与行业论证，紧扣高端智能制造升级及机器人核心零部件国产化发展路线，依托行业龙头企业在微绳制备、柔性驱动集成、疲劳检测领域的中试与产业化经验，参考国内外机械构件疲劳测试、精密零部件性能评价及机器人构件检测相关标准，对调研数据进行归集比对与系统梳理，明确弯曲疲劳基准参数、测试边界准则、误差分析方法等核心指标的取值范围与工况适用性，验证检测方法的科学性与通用性，为该领域团体标准的编制筑牢坚实的技术支撑。</w:t>
      </w:r>
    </w:p>
    <w:p w14:paraId="7A3CFD09">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2、项目立项阶段</w:t>
      </w:r>
    </w:p>
    <w:p w14:paraId="701AD5D9">
      <w:pPr>
        <w:pStyle w:val="26"/>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15</w:t>
      </w:r>
      <w:r>
        <w:rPr>
          <w:rFonts w:hint="eastAsia" w:ascii="仿宋" w:hAnsi="仿宋" w:eastAsia="仿宋" w:cs="仿宋"/>
          <w:sz w:val="32"/>
          <w:szCs w:val="32"/>
          <w:lang w:eastAsia="zh-CN"/>
        </w:rPr>
        <w:t xml:space="preserve">日，中国西部开发促进会正式立项《机器人灵巧手驱动用不锈钢微绳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弯曲疲劳性能测试方法》团体标准，明确标准立项获批，正式启动该团体标准的规范化编制流程。</w:t>
      </w:r>
    </w:p>
    <w:p w14:paraId="27D74635">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3、标准起草阶段</w:t>
      </w:r>
    </w:p>
    <w:p w14:paraId="23412FFD">
      <w:pPr>
        <w:pStyle w:val="26"/>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立项后，成立标准编制工作起草小组，全面统筹标准编制组织工作，同步开展标准起草单位的筹备与征集，经严格征集、评审与筛选，确定标准起草工作组核心成员单位。工作组基于前期调研成果，于202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 xml:space="preserve">月完成《机器人灵巧手驱动用不锈钢微绳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弯曲疲劳性能测试方法》团体标准草案稿编写；并于</w:t>
      </w:r>
      <w:r>
        <w:rPr>
          <w:rFonts w:hint="eastAsia" w:ascii="仿宋" w:hAnsi="仿宋" w:eastAsia="仿宋" w:cs="仿宋"/>
          <w:sz w:val="32"/>
          <w:szCs w:val="32"/>
          <w:lang w:val="en-US" w:eastAsia="zh-CN"/>
        </w:rPr>
        <w:t>7月28日</w:t>
      </w:r>
      <w:r>
        <w:rPr>
          <w:rFonts w:hint="eastAsia" w:ascii="仿宋" w:hAnsi="仿宋" w:eastAsia="仿宋" w:cs="仿宋"/>
          <w:sz w:val="32"/>
          <w:szCs w:val="32"/>
          <w:lang w:eastAsia="zh-CN"/>
        </w:rPr>
        <w:t>召开标准专题会议，针对草案稿内容研讨优化，完善标准框架与核心条款。</w:t>
      </w:r>
    </w:p>
    <w:p w14:paraId="3A1619F7">
      <w:pPr>
        <w:pStyle w:val="26"/>
        <w:spacing w:line="360" w:lineRule="auto"/>
        <w:ind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4、意见征集阶段</w:t>
      </w:r>
    </w:p>
    <w:p w14:paraId="44F248F2">
      <w:pPr>
        <w:pStyle w:val="26"/>
        <w:spacing w:line="360" w:lineRule="auto"/>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2026年7月30日，中国西部开发促进会发布通知，面向行业公开征集《机器人灵巧手驱动用不锈钢微绳  弯曲疲劳性能测试方法》团体标准修改意见，广泛吸纳各方专业建议，对标准内容进行全面优化完善。</w:t>
      </w:r>
    </w:p>
    <w:p w14:paraId="6B9AD321">
      <w:pPr>
        <w:pStyle w:val="26"/>
        <w:keepNext w:val="0"/>
        <w:keepLines w:val="0"/>
        <w:pageBreakBefore w:val="0"/>
        <w:widowControl w:val="0"/>
        <w:kinsoku/>
        <w:wordWrap/>
        <w:overflowPunct/>
        <w:topLinePunct w:val="0"/>
        <w:autoSpaceDE w:val="0"/>
        <w:autoSpaceDN w:val="0"/>
        <w:bidi w:val="0"/>
        <w:adjustRightInd/>
        <w:snapToGrid/>
        <w:spacing w:line="360" w:lineRule="auto"/>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后续，标准起草工作组将结合意见征集阶段收集的反馈建议，对标准草案稿进行修订完善，并按流程进行送审及报批等工作。</w:t>
      </w:r>
    </w:p>
    <w:p w14:paraId="2E71ACF5">
      <w:pPr>
        <w:pStyle w:val="60"/>
        <w:numPr>
          <w:ilvl w:val="1"/>
          <w:numId w:val="0"/>
        </w:numPr>
        <w:spacing w:before="156" w:after="156"/>
        <w:rPr>
          <w:rFonts w:ascii="仿宋" w:hAnsi="仿宋" w:eastAsia="仿宋" w:cs="仿宋"/>
          <w:b/>
          <w:bCs/>
          <w:color w:val="000000"/>
          <w:sz w:val="32"/>
          <w:szCs w:val="32"/>
        </w:rPr>
      </w:pPr>
      <w:r>
        <w:rPr>
          <w:rFonts w:hint="eastAsia" w:ascii="仿宋" w:hAnsi="仿宋" w:eastAsia="仿宋" w:cs="仿宋"/>
          <w:b/>
          <w:bCs/>
          <w:color w:val="000000"/>
          <w:sz w:val="32"/>
          <w:szCs w:val="32"/>
        </w:rPr>
        <w:t>五、标准主要内容</w:t>
      </w:r>
    </w:p>
    <w:p w14:paraId="472B0CAB">
      <w:pPr>
        <w:pStyle w:val="26"/>
        <w:ind w:firstLine="0" w:firstLineChars="0"/>
        <w:rPr>
          <w:rFonts w:ascii="仿宋" w:hAnsi="仿宋" w:eastAsia="仿宋" w:cs="仿宋"/>
          <w:b/>
          <w:bCs/>
          <w:sz w:val="32"/>
          <w:szCs w:val="32"/>
        </w:rPr>
      </w:pPr>
      <w:r>
        <w:rPr>
          <w:rFonts w:hint="eastAsia" w:ascii="仿宋" w:hAnsi="仿宋" w:eastAsia="仿宋" w:cs="仿宋"/>
          <w:b/>
          <w:bCs/>
          <w:sz w:val="32"/>
          <w:szCs w:val="32"/>
        </w:rPr>
        <w:t>1、范围</w:t>
      </w:r>
    </w:p>
    <w:p w14:paraId="63A40A2E">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firstLine="640" w:firstLineChars="200"/>
        <w:textAlignment w:val="auto"/>
        <w:rPr>
          <w:rFonts w:hint="eastAsia" w:ascii="仿宋" w:hAnsi="仿宋" w:eastAsia="仿宋" w:cs="仿宋"/>
          <w:kern w:val="0"/>
          <w:sz w:val="32"/>
          <w:szCs w:val="32"/>
          <w:lang w:val="en-US" w:eastAsia="zh-CN" w:bidi="ar-SA"/>
        </w:rPr>
      </w:pPr>
      <w:bookmarkStart w:id="35" w:name="_Toc298936802"/>
      <w:bookmarkStart w:id="36" w:name="_Toc298938636"/>
      <w:bookmarkStart w:id="37" w:name="_Toc298937189"/>
      <w:bookmarkStart w:id="38" w:name="_Toc304828067"/>
      <w:bookmarkStart w:id="39" w:name="_Toc309993181"/>
      <w:bookmarkStart w:id="40" w:name="_Toc304402665"/>
      <w:bookmarkStart w:id="41" w:name="_Toc298937550"/>
      <w:bookmarkStart w:id="42" w:name="_Toc304825009"/>
      <w:bookmarkStart w:id="43" w:name="_Toc304825082"/>
      <w:bookmarkStart w:id="44" w:name="_Toc298937153"/>
      <w:bookmarkStart w:id="45" w:name="_Toc309995391"/>
      <w:bookmarkStart w:id="46" w:name="_Toc304824970"/>
      <w:bookmarkStart w:id="47" w:name="_Toc309995579"/>
      <w:bookmarkStart w:id="48" w:name="_Toc298923384"/>
      <w:bookmarkStart w:id="49" w:name="_Toc298937202"/>
      <w:bookmarkStart w:id="50" w:name="_Toc310002638"/>
      <w:bookmarkStart w:id="51" w:name="_Toc298937463"/>
      <w:bookmarkStart w:id="52" w:name="_Toc298937168"/>
      <w:bookmarkStart w:id="53" w:name="_Toc298937358"/>
      <w:bookmarkStart w:id="54" w:name="_Toc309996000"/>
      <w:bookmarkStart w:id="55" w:name="_Toc298937610"/>
      <w:bookmarkStart w:id="56" w:name="_Toc15783"/>
      <w:bookmarkStart w:id="57" w:name="_Toc298938784"/>
      <w:bookmarkStart w:id="58" w:name="_Toc309997041"/>
      <w:bookmarkStart w:id="59" w:name="_Toc499110427"/>
      <w:bookmarkStart w:id="60" w:name="_Toc298937101"/>
      <w:bookmarkStart w:id="61" w:name="_Toc309994552"/>
      <w:bookmarkStart w:id="62" w:name="_Toc298936925"/>
      <w:bookmarkStart w:id="63" w:name="_Toc17330"/>
      <w:bookmarkStart w:id="64" w:name="_Toc298937323"/>
      <w:bookmarkStart w:id="65" w:name="_Toc309995473"/>
      <w:bookmarkStart w:id="66" w:name="_Toc298937277"/>
      <w:bookmarkStart w:id="67" w:name="_Toc298937420"/>
      <w:r>
        <w:rPr>
          <w:rFonts w:hint="eastAsia" w:ascii="仿宋" w:hAnsi="仿宋" w:eastAsia="仿宋" w:cs="仿宋"/>
          <w:kern w:val="0"/>
          <w:sz w:val="32"/>
          <w:szCs w:val="32"/>
          <w:lang w:val="en-US" w:eastAsia="zh-CN" w:bidi="ar-SA"/>
        </w:rPr>
        <w:t>本文件规定了机器人灵巧手驱动用不锈钢微绳（以下简称“微绳”）弯曲疲劳性能的测试原理、试验设备、试样、试验程序、数据处理及试验报告等内容。</w:t>
      </w:r>
    </w:p>
    <w:p w14:paraId="71A4D437">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firstLine="640" w:firstLineChars="200"/>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本文件适用于机器人灵巧手驱动用不锈钢微绳的弯曲疲劳试验。</w:t>
      </w:r>
    </w:p>
    <w:p w14:paraId="0A84BCA1">
      <w:pPr>
        <w:pStyle w:val="26"/>
        <w:numPr>
          <w:ilvl w:val="0"/>
          <w:numId w:val="0"/>
        </w:numPr>
        <w:rPr>
          <w:rFonts w:hint="eastAsia" w:ascii="仿宋" w:hAnsi="仿宋" w:eastAsia="仿宋" w:cs="仿宋"/>
          <w:b/>
          <w:bCs/>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规范性引用文件</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Start w:id="68" w:name="BT2"/>
      <w:bookmarkEnd w:id="68"/>
      <w:bookmarkStart w:id="69" w:name="_Toc298937203"/>
      <w:bookmarkStart w:id="70" w:name="_Toc304824971"/>
      <w:bookmarkStart w:id="71" w:name="_Toc304402666"/>
      <w:bookmarkStart w:id="72" w:name="_Toc304825083"/>
      <w:bookmarkStart w:id="73" w:name="_Toc309994553"/>
      <w:bookmarkStart w:id="74" w:name="_Toc298937421"/>
      <w:bookmarkStart w:id="75" w:name="_Toc298938785"/>
      <w:bookmarkStart w:id="76" w:name="_Toc309993182"/>
      <w:bookmarkStart w:id="77" w:name="_Toc20407"/>
      <w:bookmarkStart w:id="78" w:name="_Toc304825010"/>
      <w:bookmarkStart w:id="79" w:name="_Toc310002639"/>
      <w:bookmarkStart w:id="80" w:name="_Toc309995392"/>
      <w:bookmarkStart w:id="81" w:name="_Toc298937464"/>
      <w:bookmarkStart w:id="82" w:name="_Toc298937324"/>
      <w:bookmarkStart w:id="83" w:name="_Toc309997042"/>
      <w:bookmarkStart w:id="84" w:name="_Toc298936803"/>
      <w:bookmarkStart w:id="85" w:name="_Toc298937359"/>
      <w:bookmarkStart w:id="86" w:name="_Toc298937278"/>
      <w:bookmarkStart w:id="87" w:name="_Toc298938637"/>
      <w:bookmarkStart w:id="88" w:name="_Toc499110428"/>
      <w:bookmarkStart w:id="89" w:name="_Toc298937169"/>
      <w:bookmarkStart w:id="90" w:name="_Toc309995474"/>
      <w:bookmarkStart w:id="91" w:name="_Toc309996001"/>
      <w:bookmarkStart w:id="92" w:name="_Toc298937190"/>
      <w:bookmarkStart w:id="93" w:name="_Toc304828068"/>
      <w:bookmarkStart w:id="94" w:name="_Toc298937102"/>
      <w:bookmarkStart w:id="95" w:name="_Toc298936926"/>
      <w:bookmarkStart w:id="96" w:name="_Toc298937551"/>
      <w:bookmarkStart w:id="97" w:name="_Toc298937154"/>
      <w:bookmarkStart w:id="98" w:name="_Toc14492"/>
      <w:bookmarkStart w:id="99" w:name="_Toc298937611"/>
      <w:bookmarkStart w:id="100" w:name="_Toc309995580"/>
    </w:p>
    <w:p w14:paraId="4D197148">
      <w:pPr>
        <w:pStyle w:val="26"/>
        <w:numPr>
          <w:ilvl w:val="0"/>
          <w:numId w:val="0"/>
        </w:numPr>
        <w:ind w:firstLine="640" w:firstLineChars="200"/>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87E162C">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8358  钢丝绳  破断拉力测定方法</w:t>
      </w:r>
    </w:p>
    <w:p w14:paraId="04B34D7E">
      <w:pPr>
        <w:pStyle w:val="33"/>
        <w:keepNext w:val="0"/>
        <w:keepLines w:val="0"/>
        <w:pageBreakBefore w:val="0"/>
        <w:widowControl/>
        <w:kinsoku/>
        <w:wordWrap/>
        <w:overflowPunct/>
        <w:topLinePunct w:val="0"/>
        <w:autoSpaceDE w:val="0"/>
        <w:autoSpaceDN w:val="0"/>
        <w:bidi w:val="0"/>
        <w:adjustRightInd/>
        <w:snapToGrid/>
        <w:spacing w:beforeAutospacing="0" w:afterAutospacing="0" w:line="240" w:lineRule="auto"/>
        <w:ind w:left="420"/>
        <w:textAlignment w:val="auto"/>
        <w:rPr>
          <w:rFonts w:hint="eastAsia" w:ascii="仿宋" w:hAnsi="仿宋" w:eastAsia="仿宋" w:cs="仿宋"/>
          <w:color w:val="auto"/>
          <w:kern w:val="0"/>
          <w:sz w:val="32"/>
          <w:szCs w:val="32"/>
          <w:lang w:val="en-US" w:eastAsia="zh-CN" w:bidi="zh-CN"/>
        </w:rPr>
      </w:pPr>
      <w:r>
        <w:rPr>
          <w:rFonts w:hint="eastAsia" w:ascii="仿宋" w:hAnsi="仿宋" w:eastAsia="仿宋" w:cs="仿宋"/>
          <w:color w:val="auto"/>
          <w:kern w:val="0"/>
          <w:sz w:val="32"/>
          <w:szCs w:val="32"/>
          <w:lang w:val="en-US" w:eastAsia="zh-CN" w:bidi="zh-CN"/>
        </w:rPr>
        <w:t>GB/T 12347  钢丝绳弯曲疲劳试验方法</w:t>
      </w:r>
    </w:p>
    <w:p w14:paraId="512B5F76">
      <w:pPr>
        <w:pStyle w:val="143"/>
        <w:numPr>
          <w:ilvl w:val="0"/>
          <w:numId w:val="13"/>
        </w:numPr>
        <w:spacing w:before="312" w:after="312"/>
        <w:rPr>
          <w:rFonts w:hint="eastAsia" w:ascii="仿宋" w:hAnsi="仿宋" w:eastAsia="仿宋" w:cs="仿宋"/>
          <w:b/>
          <w:bCs/>
          <w:sz w:val="32"/>
          <w:szCs w:val="32"/>
          <w:lang w:val="en-US" w:eastAsia="zh-CN" w:bidi="ar-SA"/>
        </w:rPr>
      </w:pPr>
      <w:r>
        <w:rPr>
          <w:rFonts w:hint="eastAsia" w:ascii="仿宋" w:hAnsi="仿宋" w:eastAsia="仿宋" w:cs="仿宋"/>
          <w:b/>
          <w:bCs/>
          <w:sz w:val="32"/>
          <w:szCs w:val="32"/>
          <w:lang w:val="en-US" w:eastAsia="zh-CN" w:bidi="ar-SA"/>
        </w:rPr>
        <w:t>术语和定义</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Toc31824"/>
      <w:bookmarkEnd w:id="101"/>
      <w:bookmarkStart w:id="102" w:name="_Toc28815"/>
      <w:bookmarkEnd w:id="102"/>
      <w:bookmarkStart w:id="103" w:name="_Toc24305"/>
      <w:bookmarkEnd w:id="103"/>
      <w:bookmarkStart w:id="104" w:name="_Toc53575559"/>
      <w:bookmarkStart w:id="105" w:name="_Toc53480861"/>
      <w:bookmarkStart w:id="106" w:name="_Toc53587167"/>
      <w:bookmarkStart w:id="107" w:name="_Hlk53576250"/>
      <w:bookmarkStart w:id="108" w:name="_Toc23010"/>
      <w:bookmarkStart w:id="109" w:name="_Toc24216"/>
      <w:bookmarkStart w:id="110" w:name="_Toc10606"/>
      <w:bookmarkStart w:id="111" w:name="_Toc27503"/>
      <w:bookmarkStart w:id="112" w:name="_Toc53480577"/>
      <w:bookmarkStart w:id="113" w:name="_Toc53501691"/>
    </w:p>
    <w:bookmarkEnd w:id="104"/>
    <w:bookmarkEnd w:id="105"/>
    <w:bookmarkEnd w:id="106"/>
    <w:bookmarkEnd w:id="107"/>
    <w:bookmarkEnd w:id="108"/>
    <w:bookmarkEnd w:id="109"/>
    <w:bookmarkEnd w:id="110"/>
    <w:bookmarkEnd w:id="111"/>
    <w:bookmarkEnd w:id="112"/>
    <w:bookmarkEnd w:id="113"/>
    <w:p w14:paraId="391469B0">
      <w:pPr>
        <w:pStyle w:val="26"/>
        <w:numPr>
          <w:ilvl w:val="0"/>
          <w:numId w:val="0"/>
        </w:numP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下列术语和定义适用于本文件。</w:t>
      </w:r>
    </w:p>
    <w:p w14:paraId="18EB8F9F">
      <w:pPr>
        <w:pStyle w:val="49"/>
        <w:bidi w:val="0"/>
        <w:ind w:left="0" w:leftChars="0" w:firstLine="0" w:firstLineChars="0"/>
        <w:rPr>
          <w:rFonts w:hint="eastAsia" w:ascii="仿宋" w:hAnsi="仿宋" w:eastAsia="仿宋" w:cs="仿宋"/>
          <w:sz w:val="32"/>
          <w:szCs w:val="32"/>
        </w:rPr>
      </w:pPr>
    </w:p>
    <w:p w14:paraId="18A2BBB9">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灵巧手  dexterous hand</w:t>
      </w:r>
    </w:p>
    <w:p w14:paraId="01D20867">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具备接近或类似人手的自由度数量和排列方式，能灵活完成多种复杂抓握和操作任务的仿生手装置。</w:t>
      </w:r>
    </w:p>
    <w:p w14:paraId="60444335">
      <w:pPr>
        <w:pStyle w:val="33"/>
        <w:widowControl/>
        <w:autoSpaceDE w:val="0"/>
        <w:autoSpaceDN w:val="0"/>
        <w:spacing w:beforeAutospacing="0" w:afterAutospacing="0"/>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注：</w:t>
      </w:r>
      <w:r>
        <w:rPr>
          <w:rFonts w:hint="eastAsia" w:ascii="仿宋" w:hAnsi="仿宋" w:eastAsia="仿宋" w:cs="仿宋"/>
          <w:sz w:val="32"/>
          <w:szCs w:val="32"/>
        </w:rPr>
        <w:t>“灵巧”主要体现为高自由度与高操作能力的平衡。灵巧手通常具有多个可独立或协同运动的关节，能够适应不同形状和操作需求的目标物体。</w:t>
      </w:r>
    </w:p>
    <w:p w14:paraId="6A8AE73F">
      <w:pPr>
        <w:pStyle w:val="143"/>
        <w:numPr>
          <w:ilvl w:val="0"/>
          <w:numId w:val="13"/>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试验原理</w:t>
      </w:r>
    </w:p>
    <w:p w14:paraId="4C69216F">
      <w:pPr>
        <w:pStyle w:val="33"/>
        <w:widowControl/>
        <w:autoSpaceDE w:val="0"/>
        <w:autoSpaceDN w:val="0"/>
        <w:spacing w:beforeAutospacing="0" w:afterAutospacing="0"/>
        <w:ind w:firstLine="640" w:firstLineChars="200"/>
        <w:jc w:val="both"/>
        <w:rPr>
          <w:rFonts w:hint="default"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规定了机器人灵巧手驱动用不锈钢微绳弯曲疲劳性能的试验原理。</w:t>
      </w:r>
    </w:p>
    <w:p w14:paraId="5BDF0136">
      <w:pPr>
        <w:pStyle w:val="143"/>
        <w:numPr>
          <w:ilvl w:val="0"/>
          <w:numId w:val="13"/>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试验装置</w:t>
      </w:r>
    </w:p>
    <w:p w14:paraId="0C5435E6">
      <w:pPr>
        <w:pStyle w:val="33"/>
        <w:widowControl/>
        <w:autoSpaceDE w:val="0"/>
        <w:autoSpaceDN w:val="0"/>
        <w:spacing w:beforeAutospacing="0" w:afterAutospacing="0"/>
        <w:ind w:firstLine="640" w:firstLineChars="200"/>
        <w:jc w:val="both"/>
        <w:rPr>
          <w:rFonts w:hint="default"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规定了弯曲疲劳性能测试的试验装置。</w:t>
      </w:r>
    </w:p>
    <w:p w14:paraId="3826F8F3">
      <w:pPr>
        <w:pStyle w:val="143"/>
        <w:numPr>
          <w:ilvl w:val="0"/>
          <w:numId w:val="13"/>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试样要求</w:t>
      </w:r>
    </w:p>
    <w:p w14:paraId="47DEC887">
      <w:pPr>
        <w:pStyle w:val="33"/>
        <w:widowControl/>
        <w:autoSpaceDE w:val="0"/>
        <w:autoSpaceDN w:val="0"/>
        <w:spacing w:beforeAutospacing="0" w:afterAutospacing="0"/>
        <w:ind w:firstLine="640" w:firstLineChars="200"/>
        <w:jc w:val="both"/>
        <w:rPr>
          <w:rFonts w:hint="eastAsia"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规定了弯曲疲劳性能测试的样品要求。</w:t>
      </w:r>
    </w:p>
    <w:p w14:paraId="12D5C999">
      <w:pPr>
        <w:pStyle w:val="143"/>
        <w:numPr>
          <w:ilvl w:val="0"/>
          <w:numId w:val="13"/>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试验程序</w:t>
      </w:r>
    </w:p>
    <w:p w14:paraId="7CEAFA38">
      <w:pPr>
        <w:pStyle w:val="33"/>
        <w:widowControl/>
        <w:autoSpaceDE w:val="0"/>
        <w:autoSpaceDN w:val="0"/>
        <w:spacing w:beforeAutospacing="0" w:afterAutospacing="0"/>
        <w:ind w:firstLine="640" w:firstLineChars="200"/>
        <w:jc w:val="both"/>
        <w:rPr>
          <w:rFonts w:hint="default"/>
          <w:highlight w:val="none"/>
          <w:lang w:val="en-US" w:eastAsia="zh-CN"/>
        </w:rPr>
      </w:pPr>
      <w:r>
        <w:rPr>
          <w:rFonts w:hint="eastAsia" w:ascii="仿宋" w:hAnsi="仿宋" w:eastAsia="仿宋" w:cs="仿宋"/>
          <w:sz w:val="32"/>
          <w:szCs w:val="32"/>
          <w:lang w:val="en-US" w:eastAsia="zh-CN" w:bidi="zh-CN"/>
        </w:rPr>
        <w:t>规定了弯曲疲劳性能测试的试验程序，包括一般要求、参数、试验步骤等。</w:t>
      </w:r>
    </w:p>
    <w:p w14:paraId="2D7FAAC5">
      <w:pPr>
        <w:pStyle w:val="143"/>
        <w:numPr>
          <w:ilvl w:val="0"/>
          <w:numId w:val="13"/>
        </w:numPr>
        <w:spacing w:before="312" w:after="312"/>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pPr>
      <w:r>
        <w:rPr>
          <w:rFonts w:hint="eastAsia" w:ascii="仿宋_GB2312" w:hAnsi="宋体" w:eastAsia="仿宋_GB2312" w:cs="宋体"/>
          <w:b/>
          <w:bCs/>
          <w:color w:val="000000" w:themeColor="text1"/>
          <w:kern w:val="2"/>
          <w:sz w:val="32"/>
          <w:szCs w:val="32"/>
          <w:lang w:val="en-US" w:eastAsia="zh-CN"/>
          <w14:textFill>
            <w14:solidFill>
              <w14:schemeClr w14:val="tx1"/>
            </w14:solidFill>
          </w14:textFill>
        </w:rPr>
        <w:t>试验报告</w:t>
      </w:r>
    </w:p>
    <w:p w14:paraId="17E20874">
      <w:pPr>
        <w:pStyle w:val="33"/>
        <w:widowControl/>
        <w:autoSpaceDE w:val="0"/>
        <w:autoSpaceDN w:val="0"/>
        <w:spacing w:beforeAutospacing="0" w:afterAutospacing="0"/>
        <w:ind w:firstLine="640" w:firstLineChars="200"/>
        <w:jc w:val="both"/>
        <w:rPr>
          <w:rFonts w:hint="default" w:ascii="仿宋" w:hAnsi="仿宋" w:eastAsia="仿宋" w:cs="仿宋"/>
          <w:sz w:val="32"/>
          <w:szCs w:val="32"/>
          <w:lang w:val="en-US" w:eastAsia="zh-CN" w:bidi="zh-CN"/>
        </w:rPr>
      </w:pPr>
      <w:r>
        <w:rPr>
          <w:rFonts w:hint="eastAsia" w:ascii="仿宋" w:hAnsi="仿宋" w:eastAsia="仿宋" w:cs="仿宋"/>
          <w:sz w:val="32"/>
          <w:szCs w:val="32"/>
          <w:lang w:val="en-US" w:eastAsia="zh-CN" w:bidi="zh-CN"/>
        </w:rPr>
        <w:t>规定了弯曲疲劳性能测试的试验报告要求。</w:t>
      </w:r>
    </w:p>
    <w:p w14:paraId="1F323B41">
      <w:pPr>
        <w:pStyle w:val="60"/>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六、标准水平分析</w:t>
      </w:r>
    </w:p>
    <w:p w14:paraId="49D765F3">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6.1采用国际标准和国外先进标准的程度</w:t>
      </w:r>
    </w:p>
    <w:p w14:paraId="649F3D9F">
      <w:pPr>
        <w:spacing w:before="156" w:beforeLines="50" w:after="156" w:afterLines="50"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经查，国内外无相同类型的标准，故没有相应的国内外标准可采用。</w:t>
      </w:r>
    </w:p>
    <w:p w14:paraId="0E5A0B05">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6.2与国际标准及国外标准水平对比</w:t>
      </w:r>
    </w:p>
    <w:p w14:paraId="66DFC7E8">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本标准达到国内先进水平。</w:t>
      </w:r>
    </w:p>
    <w:p w14:paraId="74ADF87C">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6.3与现有标准及制定中的标准协调配套情况</w:t>
      </w:r>
    </w:p>
    <w:p w14:paraId="6E68DF36">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本标准的制定与现有的标准及制定中的标准协调配套，无重复交叉现象。</w:t>
      </w:r>
    </w:p>
    <w:p w14:paraId="3406E990">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6.4设计国内外专利及处置情况</w:t>
      </w:r>
    </w:p>
    <w:p w14:paraId="57A9E62E">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经查，本标准没有涉及国内外专利。</w:t>
      </w:r>
    </w:p>
    <w:p w14:paraId="0E3AEC7C">
      <w:pPr>
        <w:pStyle w:val="60"/>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七、与有关的现行法律、法规和强制性国家标准及相关标准协调配套情况</w:t>
      </w:r>
    </w:p>
    <w:p w14:paraId="176ED774">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本标准的制定过程、技术指标的选定、检验项目的设置符合现行法律、法规和强制性国家标准的规定。</w:t>
      </w:r>
    </w:p>
    <w:p w14:paraId="419DD82C">
      <w:pPr>
        <w:pStyle w:val="60"/>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八、重大分歧意见的处理经过和依据</w:t>
      </w:r>
    </w:p>
    <w:p w14:paraId="7B06D915">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77C45D7B">
      <w:pPr>
        <w:pStyle w:val="60"/>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九、标准作为强制性或推荐性标准的建议</w:t>
      </w:r>
    </w:p>
    <w:p w14:paraId="5C138B44">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建议该标准作为推荐性团体标准。</w:t>
      </w:r>
    </w:p>
    <w:p w14:paraId="7FAA26F1">
      <w:pPr>
        <w:pStyle w:val="60"/>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十、贯彻标准的要求和措施建议，包括（组织措施、技术措施、过渡办法）</w:t>
      </w:r>
    </w:p>
    <w:p w14:paraId="32925B1B">
      <w:pPr>
        <w:pStyle w:val="60"/>
        <w:numPr>
          <w:ilvl w:val="1"/>
          <w:numId w:val="0"/>
        </w:numPr>
        <w:spacing w:before="156" w:after="156"/>
        <w:ind w:leftChars="0"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由于本标准首次制定，没有</w:t>
      </w:r>
      <w:r>
        <w:rPr>
          <w:rFonts w:hint="eastAsia" w:ascii="仿宋_GB2312" w:hAnsi="宋体" w:eastAsia="仿宋_GB2312" w:cs="宋体"/>
          <w:color w:val="000000"/>
          <w:sz w:val="32"/>
          <w:szCs w:val="32"/>
          <w:lang w:val="en-US" w:eastAsia="zh-CN"/>
        </w:rPr>
        <w:t>特殊</w:t>
      </w:r>
      <w:r>
        <w:rPr>
          <w:rFonts w:hint="eastAsia" w:ascii="仿宋_GB2312" w:hAnsi="宋体" w:eastAsia="仿宋_GB2312" w:cs="宋体"/>
          <w:color w:val="000000"/>
          <w:sz w:val="32"/>
          <w:szCs w:val="32"/>
        </w:rPr>
        <w:t>要求。</w:t>
      </w:r>
    </w:p>
    <w:p w14:paraId="35E4CE26">
      <w:pPr>
        <w:pStyle w:val="60"/>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十一、废止现有有关标准的建议</w:t>
      </w:r>
    </w:p>
    <w:p w14:paraId="0C2E30F2">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42D507BE">
      <w:pPr>
        <w:spacing w:line="360" w:lineRule="auto"/>
        <w:rPr>
          <w:rFonts w:hint="eastAsia" w:ascii="仿宋_GB2312" w:hAnsi="宋体" w:eastAsia="仿宋_GB2312" w:cs="宋体"/>
          <w:color w:val="000000"/>
          <w:sz w:val="32"/>
          <w:szCs w:val="32"/>
        </w:rPr>
      </w:pPr>
    </w:p>
    <w:p w14:paraId="48482C18">
      <w:pPr>
        <w:pStyle w:val="26"/>
        <w:numPr>
          <w:ilvl w:val="255"/>
          <w:numId w:val="0"/>
        </w:numPr>
        <w:wordWrap/>
        <w:jc w:val="right"/>
        <w:rPr>
          <w:rFonts w:hint="eastAsia" w:ascii="仿宋" w:hAnsi="仿宋" w:eastAsia="仿宋" w:cs="仿宋"/>
          <w:kern w:val="0"/>
          <w:sz w:val="32"/>
          <w:szCs w:val="32"/>
          <w:highlight w:val="none"/>
        </w:rPr>
      </w:pPr>
    </w:p>
    <w:p w14:paraId="2328E6E8">
      <w:pPr>
        <w:pStyle w:val="26"/>
        <w:numPr>
          <w:ilvl w:val="255"/>
          <w:numId w:val="0"/>
        </w:numPr>
        <w:wordWrap/>
        <w:jc w:val="righ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机器人灵巧手驱动用不锈钢微绳  弯曲疲劳</w:t>
      </w:r>
    </w:p>
    <w:p w14:paraId="15AA6302">
      <w:pPr>
        <w:pStyle w:val="26"/>
        <w:numPr>
          <w:ilvl w:val="255"/>
          <w:numId w:val="0"/>
        </w:numPr>
        <w:wordWrap/>
        <w:jc w:val="righ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性能测试方法</w:t>
      </w:r>
      <w:r>
        <w:rPr>
          <w:rFonts w:hint="eastAsia" w:ascii="仿宋" w:hAnsi="仿宋" w:eastAsia="仿宋" w:cs="仿宋"/>
          <w:kern w:val="0"/>
          <w:sz w:val="32"/>
          <w:szCs w:val="32"/>
          <w:highlight w:val="none"/>
        </w:rPr>
        <w:t>》</w:t>
      </w:r>
      <w:bookmarkStart w:id="114" w:name="_GoBack"/>
      <w:bookmarkEnd w:id="114"/>
    </w:p>
    <w:p w14:paraId="1113CCFE">
      <w:pPr>
        <w:pStyle w:val="26"/>
        <w:numPr>
          <w:ilvl w:val="255"/>
          <w:numId w:val="0"/>
        </w:numPr>
        <w:wordWrap w:val="0"/>
        <w:jc w:val="center"/>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团体标准起草组</w:t>
      </w:r>
    </w:p>
    <w:p w14:paraId="312BC785">
      <w:pPr>
        <w:pStyle w:val="26"/>
        <w:numPr>
          <w:ilvl w:val="255"/>
          <w:numId w:val="0"/>
        </w:numPr>
        <w:wordWrap w:val="0"/>
        <w:ind w:firstLine="5760" w:firstLineChars="1800"/>
        <w:jc w:val="both"/>
        <w:rPr>
          <w:rFonts w:ascii="仿宋" w:hAnsi="仿宋" w:eastAsia="仿宋" w:cs="仿宋"/>
          <w:color w:val="000000"/>
          <w:sz w:val="32"/>
          <w:szCs w:val="32"/>
          <w:highlight w:val="none"/>
        </w:rPr>
      </w:pPr>
      <w:r>
        <w:rPr>
          <w:rFonts w:hint="eastAsia" w:ascii="仿宋" w:hAnsi="仿宋" w:eastAsia="仿宋" w:cs="仿宋"/>
          <w:kern w:val="0"/>
          <w:sz w:val="32"/>
          <w:szCs w:val="32"/>
          <w:highlight w:val="none"/>
        </w:rPr>
        <w:t>202</w:t>
      </w:r>
      <w:r>
        <w:rPr>
          <w:rFonts w:hint="eastAsia" w:ascii="仿宋" w:hAnsi="仿宋" w:eastAsia="仿宋" w:cs="仿宋"/>
          <w:kern w:val="0"/>
          <w:sz w:val="32"/>
          <w:szCs w:val="32"/>
          <w:highlight w:val="none"/>
          <w:lang w:val="en-US" w:eastAsia="zh-CN"/>
        </w:rPr>
        <w:t>6</w:t>
      </w:r>
      <w:r>
        <w:rPr>
          <w:rFonts w:hint="eastAsia" w:ascii="仿宋" w:hAnsi="仿宋" w:eastAsia="仿宋" w:cs="仿宋"/>
          <w:kern w:val="0"/>
          <w:sz w:val="32"/>
          <w:szCs w:val="32"/>
          <w:highlight w:val="none"/>
        </w:rPr>
        <w:t>年</w:t>
      </w:r>
      <w:r>
        <w:rPr>
          <w:rFonts w:hint="eastAsia" w:ascii="仿宋" w:hAnsi="仿宋" w:eastAsia="仿宋" w:cs="仿宋"/>
          <w:kern w:val="0"/>
          <w:sz w:val="32"/>
          <w:szCs w:val="32"/>
          <w:highlight w:val="none"/>
          <w:lang w:val="en-US" w:eastAsia="zh-CN"/>
        </w:rPr>
        <w:t>7</w:t>
      </w:r>
      <w:r>
        <w:rPr>
          <w:rFonts w:hint="eastAsia" w:ascii="仿宋" w:hAnsi="仿宋" w:eastAsia="仿宋" w:cs="仿宋"/>
          <w:kern w:val="0"/>
          <w:sz w:val="32"/>
          <w:szCs w:val="32"/>
          <w:highlight w:val="none"/>
        </w:rPr>
        <w:t xml:space="preserve">月    </w:t>
      </w:r>
    </w:p>
    <w:sectPr>
      <w:footerReference r:id="rId4" w:type="default"/>
      <w:headerReference r:id="rId3" w:type="even"/>
      <w:footerReference r:id="rId5" w:type="even"/>
      <w:pgSz w:w="11906" w:h="16838"/>
      <w:pgMar w:top="1440" w:right="1800" w:bottom="1440" w:left="1800"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E5213">
    <w:pPr>
      <w:pStyle w:val="20"/>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48615">
    <w:pPr>
      <w:pStyle w:val="20"/>
      <w:ind w:firstLine="180" w:firstLineChars="100"/>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B38AF">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81ACD"/>
    <w:multiLevelType w:val="singleLevel"/>
    <w:tmpl w:val="F2D81ACD"/>
    <w:lvl w:ilvl="0" w:tentative="0">
      <w:start w:val="2"/>
      <w:numFmt w:val="chineseCounting"/>
      <w:suff w:val="nothing"/>
      <w:lvlText w:val="%1、"/>
      <w:lvlJc w:val="left"/>
      <w:rPr>
        <w:rFonts w:hint="eastAsia"/>
      </w:rPr>
    </w:lvl>
  </w:abstractNum>
  <w:abstractNum w:abstractNumId="1">
    <w:nsid w:val="FA49A52F"/>
    <w:multiLevelType w:val="singleLevel"/>
    <w:tmpl w:val="FA49A52F"/>
    <w:lvl w:ilvl="0" w:tentative="0">
      <w:start w:val="3"/>
      <w:numFmt w:val="decimal"/>
      <w:suff w:val="nothing"/>
      <w:lvlText w:val="%1、"/>
      <w:lvlJc w:val="left"/>
    </w:lvl>
  </w:abstractNum>
  <w:abstractNum w:abstractNumId="2">
    <w:nsid w:val="0F3812E5"/>
    <w:multiLevelType w:val="multilevel"/>
    <w:tmpl w:val="0F3812E5"/>
    <w:lvl w:ilvl="0" w:tentative="0">
      <w:start w:val="1"/>
      <w:numFmt w:val="none"/>
      <w:suff w:val="nothing"/>
      <w:lvlText w:val="%1"/>
      <w:lvlJc w:val="left"/>
      <w:pPr>
        <w:ind w:left="0" w:firstLine="0"/>
      </w:pPr>
      <w:rPr>
        <w:rFonts w:hint="eastAsia"/>
      </w:rPr>
    </w:lvl>
    <w:lvl w:ilvl="1" w:tentative="0">
      <w:start w:val="3"/>
      <w:numFmt w:val="decimal"/>
      <w:pStyle w:val="50"/>
      <w:suff w:val="nothing"/>
      <w:lvlText w:val="%1%2　"/>
      <w:lvlJc w:val="left"/>
      <w:pPr>
        <w:ind w:left="0" w:firstLine="0"/>
      </w:pPr>
      <w:rPr>
        <w:rFonts w:hint="default" w:ascii="黑体" w:eastAsia="黑体"/>
        <w:b w:val="0"/>
        <w:i w:val="0"/>
        <w:sz w:val="21"/>
      </w:rPr>
    </w:lvl>
    <w:lvl w:ilvl="2" w:tentative="0">
      <w:start w:val="1"/>
      <w:numFmt w:val="decimal"/>
      <w:pStyle w:val="49"/>
      <w:suff w:val="nothing"/>
      <w:lvlText w:val="%1%2.%3　"/>
      <w:lvlJc w:val="left"/>
      <w:pPr>
        <w:tabs>
          <w:tab w:val="left" w:pos="0"/>
        </w:tabs>
        <w:ind w:left="0" w:firstLine="0"/>
      </w:pPr>
      <w:rPr>
        <w:rFonts w:hint="default" w:ascii="黑体" w:hAnsi="Times New Roman" w:eastAsia="黑体" w:cs="Times New Roman"/>
        <w:b w:val="0"/>
        <w:bCs w:val="0"/>
        <w:i w:val="0"/>
        <w:iCs w:val="0"/>
        <w:caps w:val="0"/>
        <w:smallCaps w:val="0"/>
        <w:strike w:val="0"/>
        <w:dstrike w:val="0"/>
        <w:vanish w:val="0"/>
        <w:color w:val="000000"/>
        <w:spacing w:val="0"/>
        <w:kern w:val="0"/>
        <w:position w:val="0"/>
        <w:sz w:val="28"/>
        <w:szCs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4">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tentative="0">
      <w:start w:val="1"/>
      <w:numFmt w:val="none"/>
      <w:pStyle w:val="136"/>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D733618"/>
    <w:multiLevelType w:val="multilevel"/>
    <w:tmpl w:val="3D733618"/>
    <w:lvl w:ilvl="0" w:tentative="0">
      <w:start w:val="1"/>
      <w:numFmt w:val="decimal"/>
      <w:pStyle w:val="27"/>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8">
    <w:nsid w:val="44C50F90"/>
    <w:multiLevelType w:val="multilevel"/>
    <w:tmpl w:val="44C50F90"/>
    <w:lvl w:ilvl="0" w:tentative="0">
      <w:start w:val="1"/>
      <w:numFmt w:val="lowerLetter"/>
      <w:pStyle w:val="11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57D3FBC"/>
    <w:multiLevelType w:val="multilevel"/>
    <w:tmpl w:val="657D3FBC"/>
    <w:lvl w:ilvl="0" w:tentative="0">
      <w:start w:val="1"/>
      <w:numFmt w:val="upperLetter"/>
      <w:pStyle w:val="10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2">
    <w:nsid w:val="6DBF04F4"/>
    <w:multiLevelType w:val="multilevel"/>
    <w:tmpl w:val="6DBF04F4"/>
    <w:lvl w:ilvl="0" w:tentative="0">
      <w:start w:val="1"/>
      <w:numFmt w:val="none"/>
      <w:pStyle w:val="17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7"/>
  </w:num>
  <w:num w:numId="2">
    <w:abstractNumId w:val="2"/>
  </w:num>
  <w:num w:numId="3">
    <w:abstractNumId w:val="4"/>
  </w:num>
  <w:num w:numId="4">
    <w:abstractNumId w:val="10"/>
  </w:num>
  <w:num w:numId="5">
    <w:abstractNumId w:val="11"/>
  </w:num>
  <w:num w:numId="6">
    <w:abstractNumId w:val="5"/>
  </w:num>
  <w:num w:numId="7">
    <w:abstractNumId w:val="9"/>
  </w:num>
  <w:num w:numId="8">
    <w:abstractNumId w:val="3"/>
  </w:num>
  <w:num w:numId="9">
    <w:abstractNumId w:val="6"/>
  </w:num>
  <w:num w:numId="10">
    <w:abstractNumId w:val="8"/>
  </w:num>
  <w:num w:numId="11">
    <w:abstractNumId w:val="12"/>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removePersonalInformation/>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3OGJiOTVkZTA3ZGVkZWNiZTFjYzA0ZGYxNjRjZjUifQ=="/>
  </w:docVars>
  <w:rsids>
    <w:rsidRoot w:val="00650531"/>
    <w:rsid w:val="00000244"/>
    <w:rsid w:val="0000025A"/>
    <w:rsid w:val="0000185F"/>
    <w:rsid w:val="00002107"/>
    <w:rsid w:val="00002850"/>
    <w:rsid w:val="00002B97"/>
    <w:rsid w:val="000050B2"/>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2D8F"/>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0A8"/>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5B5"/>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4D9F"/>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1EDB"/>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BCF"/>
    <w:rsid w:val="00F075D1"/>
    <w:rsid w:val="00F11139"/>
    <w:rsid w:val="00F11296"/>
    <w:rsid w:val="00F11BB5"/>
    <w:rsid w:val="00F122E2"/>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260E98"/>
    <w:rsid w:val="018B718A"/>
    <w:rsid w:val="01927D66"/>
    <w:rsid w:val="01B22FF0"/>
    <w:rsid w:val="02057360"/>
    <w:rsid w:val="02194A13"/>
    <w:rsid w:val="02626557"/>
    <w:rsid w:val="02DA1673"/>
    <w:rsid w:val="036A76D3"/>
    <w:rsid w:val="03962305"/>
    <w:rsid w:val="03F9277D"/>
    <w:rsid w:val="042E630D"/>
    <w:rsid w:val="047459CF"/>
    <w:rsid w:val="04A037AB"/>
    <w:rsid w:val="04B769D7"/>
    <w:rsid w:val="04D4494D"/>
    <w:rsid w:val="0537491E"/>
    <w:rsid w:val="057B5C57"/>
    <w:rsid w:val="05904C71"/>
    <w:rsid w:val="059C64D5"/>
    <w:rsid w:val="05F23A3F"/>
    <w:rsid w:val="066162C0"/>
    <w:rsid w:val="06EB3D51"/>
    <w:rsid w:val="071B7D16"/>
    <w:rsid w:val="07352AE7"/>
    <w:rsid w:val="07504EC1"/>
    <w:rsid w:val="07634114"/>
    <w:rsid w:val="07D4164E"/>
    <w:rsid w:val="083245C7"/>
    <w:rsid w:val="086452DB"/>
    <w:rsid w:val="089C18DA"/>
    <w:rsid w:val="08D5292B"/>
    <w:rsid w:val="094B2BCC"/>
    <w:rsid w:val="09D01CF6"/>
    <w:rsid w:val="0AC4273A"/>
    <w:rsid w:val="0AE4604C"/>
    <w:rsid w:val="0B243148"/>
    <w:rsid w:val="0B3D2AD9"/>
    <w:rsid w:val="0B536728"/>
    <w:rsid w:val="0BA13D85"/>
    <w:rsid w:val="0C122745"/>
    <w:rsid w:val="0C157BD6"/>
    <w:rsid w:val="0C1A784C"/>
    <w:rsid w:val="0C8D427D"/>
    <w:rsid w:val="0CD342B6"/>
    <w:rsid w:val="0DA9093F"/>
    <w:rsid w:val="0E290DBD"/>
    <w:rsid w:val="0E4D4CDF"/>
    <w:rsid w:val="0E8A2A67"/>
    <w:rsid w:val="0E9B6AB7"/>
    <w:rsid w:val="0F8B22AC"/>
    <w:rsid w:val="0F942BDE"/>
    <w:rsid w:val="0FED6A04"/>
    <w:rsid w:val="102A64CE"/>
    <w:rsid w:val="10F07A96"/>
    <w:rsid w:val="1132553A"/>
    <w:rsid w:val="116D7696"/>
    <w:rsid w:val="119500A0"/>
    <w:rsid w:val="11D95B65"/>
    <w:rsid w:val="11EF2883"/>
    <w:rsid w:val="11F36B75"/>
    <w:rsid w:val="12512550"/>
    <w:rsid w:val="12CD45BC"/>
    <w:rsid w:val="12CF6372"/>
    <w:rsid w:val="13F54E26"/>
    <w:rsid w:val="148D41AD"/>
    <w:rsid w:val="14CF174C"/>
    <w:rsid w:val="14E47D71"/>
    <w:rsid w:val="150A274F"/>
    <w:rsid w:val="153C0D7C"/>
    <w:rsid w:val="15483208"/>
    <w:rsid w:val="159B1B8F"/>
    <w:rsid w:val="15F97F17"/>
    <w:rsid w:val="162735CA"/>
    <w:rsid w:val="16C70262"/>
    <w:rsid w:val="16F84A8E"/>
    <w:rsid w:val="172D440A"/>
    <w:rsid w:val="173B6C95"/>
    <w:rsid w:val="178D48F7"/>
    <w:rsid w:val="189E24DB"/>
    <w:rsid w:val="18E11E1D"/>
    <w:rsid w:val="196E7664"/>
    <w:rsid w:val="198F7ACB"/>
    <w:rsid w:val="19C51C3C"/>
    <w:rsid w:val="19D4303C"/>
    <w:rsid w:val="1A2067E1"/>
    <w:rsid w:val="1A6A4539"/>
    <w:rsid w:val="1BCD48DA"/>
    <w:rsid w:val="1C056A2C"/>
    <w:rsid w:val="1C994529"/>
    <w:rsid w:val="1CFF27DF"/>
    <w:rsid w:val="1D0410D7"/>
    <w:rsid w:val="1D2F4832"/>
    <w:rsid w:val="1D697189"/>
    <w:rsid w:val="1DEE7BCD"/>
    <w:rsid w:val="1E2B3732"/>
    <w:rsid w:val="1E3C2C0B"/>
    <w:rsid w:val="1E3F091B"/>
    <w:rsid w:val="1EB06519"/>
    <w:rsid w:val="1EF32FF2"/>
    <w:rsid w:val="1F3A7C37"/>
    <w:rsid w:val="20022AF0"/>
    <w:rsid w:val="202A7BF8"/>
    <w:rsid w:val="20482782"/>
    <w:rsid w:val="20DF41FE"/>
    <w:rsid w:val="211B39F2"/>
    <w:rsid w:val="212E7BC9"/>
    <w:rsid w:val="2144119B"/>
    <w:rsid w:val="21DC5877"/>
    <w:rsid w:val="22061A13"/>
    <w:rsid w:val="222800C3"/>
    <w:rsid w:val="23290648"/>
    <w:rsid w:val="237D604C"/>
    <w:rsid w:val="238B7253"/>
    <w:rsid w:val="23BF6121"/>
    <w:rsid w:val="23FE39BD"/>
    <w:rsid w:val="24211C07"/>
    <w:rsid w:val="245F4818"/>
    <w:rsid w:val="246F462F"/>
    <w:rsid w:val="24786C81"/>
    <w:rsid w:val="24816262"/>
    <w:rsid w:val="24B248A8"/>
    <w:rsid w:val="24D757B6"/>
    <w:rsid w:val="256D62F8"/>
    <w:rsid w:val="262F241A"/>
    <w:rsid w:val="266933D7"/>
    <w:rsid w:val="267E4497"/>
    <w:rsid w:val="268E3C87"/>
    <w:rsid w:val="26E94DE4"/>
    <w:rsid w:val="27AD772F"/>
    <w:rsid w:val="27D551EF"/>
    <w:rsid w:val="27FC37CC"/>
    <w:rsid w:val="281D5833"/>
    <w:rsid w:val="287348EA"/>
    <w:rsid w:val="288B02DF"/>
    <w:rsid w:val="2935321D"/>
    <w:rsid w:val="2A070FB7"/>
    <w:rsid w:val="2CE00993"/>
    <w:rsid w:val="2CF27B34"/>
    <w:rsid w:val="2D3E73E6"/>
    <w:rsid w:val="2D830B39"/>
    <w:rsid w:val="2D99286E"/>
    <w:rsid w:val="2E257B1B"/>
    <w:rsid w:val="2E4B20C4"/>
    <w:rsid w:val="2E4E23FE"/>
    <w:rsid w:val="2E677AE4"/>
    <w:rsid w:val="2E686A8B"/>
    <w:rsid w:val="2E6B483B"/>
    <w:rsid w:val="2E8E6ECC"/>
    <w:rsid w:val="2EF75DDF"/>
    <w:rsid w:val="2F335142"/>
    <w:rsid w:val="308552DA"/>
    <w:rsid w:val="30C469DC"/>
    <w:rsid w:val="30CA5BDB"/>
    <w:rsid w:val="30E86825"/>
    <w:rsid w:val="318178A1"/>
    <w:rsid w:val="31E26BEB"/>
    <w:rsid w:val="335F00B6"/>
    <w:rsid w:val="33C346B6"/>
    <w:rsid w:val="33C34EFC"/>
    <w:rsid w:val="34CC177B"/>
    <w:rsid w:val="35946891"/>
    <w:rsid w:val="35AB7232"/>
    <w:rsid w:val="35D61655"/>
    <w:rsid w:val="362A1092"/>
    <w:rsid w:val="36461B5D"/>
    <w:rsid w:val="36AD56C5"/>
    <w:rsid w:val="36DC5408"/>
    <w:rsid w:val="37797999"/>
    <w:rsid w:val="37905325"/>
    <w:rsid w:val="387D1AEA"/>
    <w:rsid w:val="38822CFA"/>
    <w:rsid w:val="38E402E7"/>
    <w:rsid w:val="38E9737D"/>
    <w:rsid w:val="38F850C2"/>
    <w:rsid w:val="390D500F"/>
    <w:rsid w:val="393B42B2"/>
    <w:rsid w:val="39DA644F"/>
    <w:rsid w:val="39E73A42"/>
    <w:rsid w:val="3A186B09"/>
    <w:rsid w:val="3A5D3A88"/>
    <w:rsid w:val="3A6F11F3"/>
    <w:rsid w:val="3AAF1923"/>
    <w:rsid w:val="3AC950C9"/>
    <w:rsid w:val="3B0C28D2"/>
    <w:rsid w:val="3B3011F7"/>
    <w:rsid w:val="3B47283E"/>
    <w:rsid w:val="3B6561D5"/>
    <w:rsid w:val="3B963D3A"/>
    <w:rsid w:val="3B976570"/>
    <w:rsid w:val="3CD36411"/>
    <w:rsid w:val="3D4F499E"/>
    <w:rsid w:val="3D8739B6"/>
    <w:rsid w:val="3E500D27"/>
    <w:rsid w:val="3ED96E09"/>
    <w:rsid w:val="3F273070"/>
    <w:rsid w:val="3F575F4A"/>
    <w:rsid w:val="40624A0E"/>
    <w:rsid w:val="40657ACF"/>
    <w:rsid w:val="41233E23"/>
    <w:rsid w:val="41BF5866"/>
    <w:rsid w:val="41D4737F"/>
    <w:rsid w:val="41F16D17"/>
    <w:rsid w:val="42397461"/>
    <w:rsid w:val="42FB3CA3"/>
    <w:rsid w:val="43DB2C4A"/>
    <w:rsid w:val="4476626D"/>
    <w:rsid w:val="44A7686B"/>
    <w:rsid w:val="44B66A11"/>
    <w:rsid w:val="45126EB0"/>
    <w:rsid w:val="4539127E"/>
    <w:rsid w:val="4571647E"/>
    <w:rsid w:val="46037733"/>
    <w:rsid w:val="465D414E"/>
    <w:rsid w:val="46845B8C"/>
    <w:rsid w:val="46FB6942"/>
    <w:rsid w:val="470E0400"/>
    <w:rsid w:val="47303087"/>
    <w:rsid w:val="474B478B"/>
    <w:rsid w:val="47A550C1"/>
    <w:rsid w:val="47D74267"/>
    <w:rsid w:val="48120A86"/>
    <w:rsid w:val="48256D81"/>
    <w:rsid w:val="48895562"/>
    <w:rsid w:val="49187E48"/>
    <w:rsid w:val="496B4C67"/>
    <w:rsid w:val="499A4B7B"/>
    <w:rsid w:val="49D514FA"/>
    <w:rsid w:val="4A742353"/>
    <w:rsid w:val="4AB8769B"/>
    <w:rsid w:val="4ADD58CC"/>
    <w:rsid w:val="4B7342A7"/>
    <w:rsid w:val="4BE6053A"/>
    <w:rsid w:val="4C362B3D"/>
    <w:rsid w:val="4C73309C"/>
    <w:rsid w:val="4C813CAB"/>
    <w:rsid w:val="4CA47D11"/>
    <w:rsid w:val="4CE600FB"/>
    <w:rsid w:val="4CED47CD"/>
    <w:rsid w:val="4CF219AF"/>
    <w:rsid w:val="4D065771"/>
    <w:rsid w:val="4D0B0C3B"/>
    <w:rsid w:val="4D1602E1"/>
    <w:rsid w:val="4D190D53"/>
    <w:rsid w:val="4D430291"/>
    <w:rsid w:val="4DE052E3"/>
    <w:rsid w:val="4DE337D5"/>
    <w:rsid w:val="4E9D0E82"/>
    <w:rsid w:val="4ED400DC"/>
    <w:rsid w:val="4F1D47D7"/>
    <w:rsid w:val="4F6221DE"/>
    <w:rsid w:val="4FAE1D52"/>
    <w:rsid w:val="50BE4216"/>
    <w:rsid w:val="50BE68C4"/>
    <w:rsid w:val="52047523"/>
    <w:rsid w:val="53B37335"/>
    <w:rsid w:val="53EC3BAC"/>
    <w:rsid w:val="549A6186"/>
    <w:rsid w:val="55281DAF"/>
    <w:rsid w:val="55D66C88"/>
    <w:rsid w:val="566702F9"/>
    <w:rsid w:val="568B0C91"/>
    <w:rsid w:val="56975989"/>
    <w:rsid w:val="56DC7EC7"/>
    <w:rsid w:val="56E768AC"/>
    <w:rsid w:val="570975B4"/>
    <w:rsid w:val="576222A2"/>
    <w:rsid w:val="578F7888"/>
    <w:rsid w:val="57A53DBE"/>
    <w:rsid w:val="583166A5"/>
    <w:rsid w:val="58D05DE7"/>
    <w:rsid w:val="58FA1C02"/>
    <w:rsid w:val="592316E9"/>
    <w:rsid w:val="593E4146"/>
    <w:rsid w:val="59E0617E"/>
    <w:rsid w:val="59FE7432"/>
    <w:rsid w:val="5A3A490E"/>
    <w:rsid w:val="5A5F7132"/>
    <w:rsid w:val="5A790E13"/>
    <w:rsid w:val="5A9329EF"/>
    <w:rsid w:val="5B076365"/>
    <w:rsid w:val="5BAA161F"/>
    <w:rsid w:val="5C10118B"/>
    <w:rsid w:val="5C2A169D"/>
    <w:rsid w:val="5CA05EB7"/>
    <w:rsid w:val="5D963292"/>
    <w:rsid w:val="5DCD5B82"/>
    <w:rsid w:val="5DEA30CB"/>
    <w:rsid w:val="5DEF5A0F"/>
    <w:rsid w:val="5E420235"/>
    <w:rsid w:val="5E6C7D00"/>
    <w:rsid w:val="5EBE1A6C"/>
    <w:rsid w:val="5EFA28BD"/>
    <w:rsid w:val="5F340E12"/>
    <w:rsid w:val="5FC36A67"/>
    <w:rsid w:val="60116111"/>
    <w:rsid w:val="60B84EF1"/>
    <w:rsid w:val="613B66F7"/>
    <w:rsid w:val="61846885"/>
    <w:rsid w:val="61E37639"/>
    <w:rsid w:val="61F4714D"/>
    <w:rsid w:val="6263198D"/>
    <w:rsid w:val="6298186E"/>
    <w:rsid w:val="62D559AF"/>
    <w:rsid w:val="634E0BFD"/>
    <w:rsid w:val="639C78BD"/>
    <w:rsid w:val="643653B8"/>
    <w:rsid w:val="645D37AF"/>
    <w:rsid w:val="646832B1"/>
    <w:rsid w:val="648B05D1"/>
    <w:rsid w:val="64CD1E40"/>
    <w:rsid w:val="64CE3BD1"/>
    <w:rsid w:val="65144950"/>
    <w:rsid w:val="65422D4F"/>
    <w:rsid w:val="656C6332"/>
    <w:rsid w:val="6615691A"/>
    <w:rsid w:val="662C7ADB"/>
    <w:rsid w:val="66551508"/>
    <w:rsid w:val="66E11A66"/>
    <w:rsid w:val="674C6DED"/>
    <w:rsid w:val="67770352"/>
    <w:rsid w:val="67AE2497"/>
    <w:rsid w:val="67C41CBB"/>
    <w:rsid w:val="67F86871"/>
    <w:rsid w:val="684318AA"/>
    <w:rsid w:val="69DD7EFB"/>
    <w:rsid w:val="6A3E7097"/>
    <w:rsid w:val="6A516F28"/>
    <w:rsid w:val="6A802926"/>
    <w:rsid w:val="6A88563D"/>
    <w:rsid w:val="6AB9187F"/>
    <w:rsid w:val="6B3D24B0"/>
    <w:rsid w:val="6B965E5B"/>
    <w:rsid w:val="6C2E10A7"/>
    <w:rsid w:val="6C9A5295"/>
    <w:rsid w:val="6CDE34BF"/>
    <w:rsid w:val="6D572222"/>
    <w:rsid w:val="6E5B2E86"/>
    <w:rsid w:val="6EB54BA2"/>
    <w:rsid w:val="6EBB4295"/>
    <w:rsid w:val="7045716D"/>
    <w:rsid w:val="704C5591"/>
    <w:rsid w:val="70B10931"/>
    <w:rsid w:val="718E48CE"/>
    <w:rsid w:val="71D76797"/>
    <w:rsid w:val="71EA249C"/>
    <w:rsid w:val="72576487"/>
    <w:rsid w:val="72996EE2"/>
    <w:rsid w:val="72DC06A1"/>
    <w:rsid w:val="73272C99"/>
    <w:rsid w:val="732857F3"/>
    <w:rsid w:val="73590446"/>
    <w:rsid w:val="73D47B1B"/>
    <w:rsid w:val="73E34BA4"/>
    <w:rsid w:val="73E57241"/>
    <w:rsid w:val="73E76BB2"/>
    <w:rsid w:val="7402551C"/>
    <w:rsid w:val="740B247D"/>
    <w:rsid w:val="743D4B16"/>
    <w:rsid w:val="75605DEF"/>
    <w:rsid w:val="7561536D"/>
    <w:rsid w:val="75E65458"/>
    <w:rsid w:val="75F705EE"/>
    <w:rsid w:val="762553A5"/>
    <w:rsid w:val="76276979"/>
    <w:rsid w:val="76A74C81"/>
    <w:rsid w:val="76AC5DF9"/>
    <w:rsid w:val="7758241F"/>
    <w:rsid w:val="784813C5"/>
    <w:rsid w:val="78775C06"/>
    <w:rsid w:val="78782D79"/>
    <w:rsid w:val="790F4618"/>
    <w:rsid w:val="791A798E"/>
    <w:rsid w:val="798006BC"/>
    <w:rsid w:val="79C25BC5"/>
    <w:rsid w:val="79DF5F38"/>
    <w:rsid w:val="7A86111E"/>
    <w:rsid w:val="7A8E3E47"/>
    <w:rsid w:val="7B223D6B"/>
    <w:rsid w:val="7C1728A9"/>
    <w:rsid w:val="7C260CFC"/>
    <w:rsid w:val="7CD76B5A"/>
    <w:rsid w:val="7CD90CCA"/>
    <w:rsid w:val="7D3905FD"/>
    <w:rsid w:val="7D453845"/>
    <w:rsid w:val="7D754A9C"/>
    <w:rsid w:val="7DDF2F52"/>
    <w:rsid w:val="7DE44C08"/>
    <w:rsid w:val="7E082795"/>
    <w:rsid w:val="7E520CE5"/>
    <w:rsid w:val="7F637BB3"/>
    <w:rsid w:val="7F8768A0"/>
    <w:rsid w:val="7F8A5242"/>
    <w:rsid w:val="7FF86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5">
    <w:name w:val="index 8"/>
    <w:basedOn w:val="1"/>
    <w:next w:val="1"/>
    <w:autoRedefine/>
    <w:qFormat/>
    <w:uiPriority w:val="0"/>
    <w:pPr>
      <w:ind w:left="1680" w:hanging="210"/>
      <w:jc w:val="left"/>
    </w:pPr>
    <w:rPr>
      <w:rFonts w:ascii="Calibri" w:hAnsi="Calibri"/>
      <w:sz w:val="20"/>
      <w:szCs w:val="20"/>
    </w:rPr>
  </w:style>
  <w:style w:type="paragraph" w:styleId="6">
    <w:name w:val="caption"/>
    <w:basedOn w:val="1"/>
    <w:next w:val="1"/>
    <w:autoRedefine/>
    <w:qFormat/>
    <w:uiPriority w:val="0"/>
    <w:pPr>
      <w:spacing w:before="152" w:after="160"/>
    </w:pPr>
    <w:rPr>
      <w:rFonts w:ascii="Arial" w:hAnsi="Arial" w:eastAsia="黑体" w:cs="Arial"/>
      <w:sz w:val="20"/>
      <w:szCs w:val="20"/>
    </w:rPr>
  </w:style>
  <w:style w:type="paragraph" w:styleId="7">
    <w:name w:val="index 5"/>
    <w:basedOn w:val="1"/>
    <w:next w:val="1"/>
    <w:autoRedefine/>
    <w:qFormat/>
    <w:uiPriority w:val="0"/>
    <w:pPr>
      <w:ind w:left="1050" w:hanging="210"/>
      <w:jc w:val="left"/>
    </w:pPr>
    <w:rPr>
      <w:rFonts w:ascii="Calibri" w:hAnsi="Calibri"/>
      <w:sz w:val="20"/>
      <w:szCs w:val="20"/>
    </w:rPr>
  </w:style>
  <w:style w:type="paragraph" w:styleId="8">
    <w:name w:val="Document Map"/>
    <w:basedOn w:val="1"/>
    <w:autoRedefine/>
    <w:semiHidden/>
    <w:qFormat/>
    <w:uiPriority w:val="0"/>
    <w:pPr>
      <w:shd w:val="clear" w:color="auto" w:fill="000080"/>
    </w:pPr>
  </w:style>
  <w:style w:type="paragraph" w:styleId="9">
    <w:name w:val="annotation text"/>
    <w:basedOn w:val="1"/>
    <w:autoRedefine/>
    <w:qFormat/>
    <w:uiPriority w:val="0"/>
    <w:pPr>
      <w:jc w:val="left"/>
    </w:pPr>
  </w:style>
  <w:style w:type="paragraph" w:styleId="10">
    <w:name w:val="index 6"/>
    <w:basedOn w:val="1"/>
    <w:next w:val="1"/>
    <w:autoRedefine/>
    <w:qFormat/>
    <w:uiPriority w:val="0"/>
    <w:pPr>
      <w:ind w:left="1260" w:hanging="210"/>
      <w:jc w:val="left"/>
    </w:pPr>
    <w:rPr>
      <w:rFonts w:ascii="Calibri" w:hAnsi="Calibri"/>
      <w:sz w:val="20"/>
      <w:szCs w:val="20"/>
    </w:rPr>
  </w:style>
  <w:style w:type="paragraph" w:styleId="11">
    <w:name w:val="Body Text"/>
    <w:basedOn w:val="1"/>
    <w:autoRedefine/>
    <w:semiHidden/>
    <w:unhideWhenUsed/>
    <w:qFormat/>
    <w:uiPriority w:val="99"/>
    <w:pPr>
      <w:spacing w:after="120"/>
    </w:pPr>
  </w:style>
  <w:style w:type="paragraph" w:styleId="12">
    <w:name w:val="index 4"/>
    <w:basedOn w:val="1"/>
    <w:next w:val="1"/>
    <w:autoRedefine/>
    <w:qFormat/>
    <w:uiPriority w:val="0"/>
    <w:pPr>
      <w:ind w:left="840" w:hanging="210"/>
      <w:jc w:val="left"/>
    </w:pPr>
    <w:rPr>
      <w:rFonts w:ascii="Calibri" w:hAnsi="Calibri"/>
      <w:sz w:val="20"/>
      <w:szCs w:val="20"/>
    </w:rPr>
  </w:style>
  <w:style w:type="paragraph" w:styleId="13">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4">
    <w:name w:val="toc 3"/>
    <w:basedOn w:val="1"/>
    <w:next w:val="1"/>
    <w:autoRedefine/>
    <w:qFormat/>
    <w:uiPriority w:val="39"/>
    <w:pPr>
      <w:tabs>
        <w:tab w:val="right" w:leader="dot" w:pos="9242"/>
      </w:tabs>
      <w:ind w:firstLine="1252" w:firstLineChars="100"/>
      <w:jc w:val="left"/>
    </w:pPr>
    <w:rPr>
      <w:rFonts w:ascii="宋体"/>
      <w:szCs w:val="21"/>
    </w:rPr>
  </w:style>
  <w:style w:type="paragraph" w:styleId="15">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16">
    <w:name w:val="index 3"/>
    <w:basedOn w:val="1"/>
    <w:next w:val="1"/>
    <w:autoRedefine/>
    <w:qFormat/>
    <w:uiPriority w:val="0"/>
    <w:pPr>
      <w:ind w:left="630" w:hanging="210"/>
      <w:jc w:val="left"/>
    </w:pPr>
    <w:rPr>
      <w:rFonts w:ascii="Calibri" w:hAnsi="Calibri"/>
      <w:sz w:val="20"/>
      <w:szCs w:val="20"/>
    </w:rPr>
  </w:style>
  <w:style w:type="paragraph" w:styleId="17">
    <w:name w:val="Body Text Indent 2"/>
    <w:basedOn w:val="1"/>
    <w:link w:val="168"/>
    <w:autoRedefine/>
    <w:unhideWhenUsed/>
    <w:qFormat/>
    <w:uiPriority w:val="99"/>
    <w:pPr>
      <w:spacing w:after="120" w:line="480" w:lineRule="auto"/>
      <w:ind w:left="420" w:leftChars="200"/>
      <w:jc w:val="left"/>
    </w:pPr>
    <w:rPr>
      <w:rFonts w:eastAsia="PMingLiU-ExtB"/>
      <w:sz w:val="24"/>
      <w:lang w:eastAsia="zh-TW"/>
    </w:rPr>
  </w:style>
  <w:style w:type="paragraph" w:styleId="18">
    <w:name w:val="endnote text"/>
    <w:basedOn w:val="1"/>
    <w:autoRedefine/>
    <w:semiHidden/>
    <w:qFormat/>
    <w:uiPriority w:val="0"/>
    <w:pPr>
      <w:snapToGrid w:val="0"/>
      <w:jc w:val="left"/>
    </w:pPr>
  </w:style>
  <w:style w:type="paragraph" w:styleId="19">
    <w:name w:val="Balloon Text"/>
    <w:basedOn w:val="1"/>
    <w:autoRedefine/>
    <w:semiHidden/>
    <w:qFormat/>
    <w:uiPriority w:val="0"/>
    <w:rPr>
      <w:sz w:val="18"/>
      <w:szCs w:val="18"/>
    </w:rPr>
  </w:style>
  <w:style w:type="paragraph" w:styleId="20">
    <w:name w:val="footer"/>
    <w:basedOn w:val="1"/>
    <w:link w:val="166"/>
    <w:autoRedefine/>
    <w:qFormat/>
    <w:uiPriority w:val="99"/>
    <w:pPr>
      <w:snapToGrid w:val="0"/>
      <w:ind w:right="210" w:rightChars="100"/>
      <w:jc w:val="right"/>
    </w:pPr>
    <w:rPr>
      <w:sz w:val="18"/>
      <w:szCs w:val="18"/>
    </w:rPr>
  </w:style>
  <w:style w:type="paragraph" w:styleId="21">
    <w:name w:val="header"/>
    <w:basedOn w:val="1"/>
    <w:link w:val="63"/>
    <w:autoRedefine/>
    <w:qFormat/>
    <w:uiPriority w:val="99"/>
    <w:pPr>
      <w:snapToGrid w:val="0"/>
      <w:jc w:val="left"/>
    </w:pPr>
    <w:rPr>
      <w:sz w:val="18"/>
      <w:szCs w:val="18"/>
    </w:rPr>
  </w:style>
  <w:style w:type="paragraph" w:styleId="22">
    <w:name w:val="toc 1"/>
    <w:basedOn w:val="1"/>
    <w:next w:val="1"/>
    <w:autoRedefine/>
    <w:qFormat/>
    <w:uiPriority w:val="39"/>
    <w:pPr>
      <w:tabs>
        <w:tab w:val="right" w:leader="dot" w:pos="9242"/>
      </w:tabs>
      <w:spacing w:beforeLines="25" w:afterLines="25"/>
      <w:jc w:val="left"/>
    </w:pPr>
    <w:rPr>
      <w:rFonts w:ascii="宋体"/>
      <w:szCs w:val="21"/>
    </w:rPr>
  </w:style>
  <w:style w:type="paragraph" w:styleId="23">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4">
    <w:name w:val="index heading"/>
    <w:basedOn w:val="1"/>
    <w:next w:val="25"/>
    <w:autoRedefine/>
    <w:qFormat/>
    <w:uiPriority w:val="0"/>
    <w:pPr>
      <w:spacing w:before="120" w:after="120"/>
      <w:jc w:val="center"/>
    </w:pPr>
    <w:rPr>
      <w:rFonts w:ascii="Calibri" w:hAnsi="Calibri"/>
      <w:b/>
      <w:bCs/>
      <w:iCs/>
      <w:szCs w:val="20"/>
    </w:rPr>
  </w:style>
  <w:style w:type="paragraph" w:styleId="25">
    <w:name w:val="index 1"/>
    <w:basedOn w:val="1"/>
    <w:next w:val="26"/>
    <w:autoRedefine/>
    <w:qFormat/>
    <w:uiPriority w:val="0"/>
    <w:pPr>
      <w:tabs>
        <w:tab w:val="right" w:leader="dot" w:pos="9299"/>
      </w:tabs>
      <w:jc w:val="left"/>
    </w:pPr>
    <w:rPr>
      <w:rFonts w:ascii="宋体"/>
      <w:szCs w:val="21"/>
    </w:rPr>
  </w:style>
  <w:style w:type="paragraph" w:customStyle="1" w:styleId="26">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7">
    <w:name w:val="footnote text"/>
    <w:basedOn w:val="1"/>
    <w:autoRedefine/>
    <w:qFormat/>
    <w:uiPriority w:val="0"/>
    <w:pPr>
      <w:numPr>
        <w:ilvl w:val="0"/>
        <w:numId w:val="1"/>
      </w:numPr>
      <w:snapToGrid w:val="0"/>
      <w:jc w:val="left"/>
    </w:pPr>
    <w:rPr>
      <w:rFonts w:ascii="宋体"/>
      <w:sz w:val="18"/>
      <w:szCs w:val="18"/>
    </w:rPr>
  </w:style>
  <w:style w:type="paragraph" w:styleId="28">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29">
    <w:name w:val="index 7"/>
    <w:basedOn w:val="1"/>
    <w:next w:val="1"/>
    <w:autoRedefine/>
    <w:qFormat/>
    <w:uiPriority w:val="0"/>
    <w:pPr>
      <w:ind w:left="1470" w:hanging="210"/>
      <w:jc w:val="left"/>
    </w:pPr>
    <w:rPr>
      <w:rFonts w:ascii="Calibri" w:hAnsi="Calibri"/>
      <w:sz w:val="20"/>
      <w:szCs w:val="20"/>
    </w:rPr>
  </w:style>
  <w:style w:type="paragraph" w:styleId="30">
    <w:name w:val="index 9"/>
    <w:basedOn w:val="1"/>
    <w:next w:val="1"/>
    <w:autoRedefine/>
    <w:qFormat/>
    <w:uiPriority w:val="0"/>
    <w:pPr>
      <w:ind w:left="1890" w:hanging="210"/>
      <w:jc w:val="left"/>
    </w:pPr>
    <w:rPr>
      <w:rFonts w:ascii="Calibri" w:hAnsi="Calibri"/>
      <w:sz w:val="20"/>
      <w:szCs w:val="20"/>
    </w:rPr>
  </w:style>
  <w:style w:type="paragraph" w:styleId="31">
    <w:name w:val="toc 2"/>
    <w:basedOn w:val="1"/>
    <w:next w:val="1"/>
    <w:autoRedefine/>
    <w:qFormat/>
    <w:uiPriority w:val="39"/>
    <w:pPr>
      <w:tabs>
        <w:tab w:val="right" w:leader="dot" w:pos="9242"/>
      </w:tabs>
    </w:pPr>
    <w:rPr>
      <w:rFonts w:ascii="宋体"/>
      <w:szCs w:val="21"/>
    </w:rPr>
  </w:style>
  <w:style w:type="paragraph" w:styleId="32">
    <w:name w:val="toc 9"/>
    <w:basedOn w:val="1"/>
    <w:next w:val="1"/>
    <w:autoRedefine/>
    <w:semiHidden/>
    <w:qFormat/>
    <w:uiPriority w:val="0"/>
    <w:pPr>
      <w:ind w:left="1470"/>
      <w:jc w:val="left"/>
    </w:pPr>
    <w:rPr>
      <w:sz w:val="20"/>
      <w:szCs w:val="20"/>
    </w:rPr>
  </w:style>
  <w:style w:type="paragraph" w:styleId="33">
    <w:name w:val="Normal (Web)"/>
    <w:basedOn w:val="1"/>
    <w:autoRedefine/>
    <w:qFormat/>
    <w:uiPriority w:val="0"/>
    <w:pPr>
      <w:spacing w:beforeAutospacing="1" w:afterAutospacing="1"/>
      <w:jc w:val="left"/>
    </w:pPr>
    <w:rPr>
      <w:kern w:val="0"/>
      <w:sz w:val="24"/>
    </w:rPr>
  </w:style>
  <w:style w:type="paragraph" w:styleId="34">
    <w:name w:val="index 2"/>
    <w:basedOn w:val="1"/>
    <w:next w:val="1"/>
    <w:autoRedefine/>
    <w:qFormat/>
    <w:uiPriority w:val="0"/>
    <w:pPr>
      <w:ind w:left="420" w:hanging="210"/>
      <w:jc w:val="left"/>
    </w:pPr>
    <w:rPr>
      <w:rFonts w:ascii="Calibri" w:hAnsi="Calibri"/>
      <w:sz w:val="20"/>
      <w:szCs w:val="20"/>
    </w:rPr>
  </w:style>
  <w:style w:type="paragraph" w:styleId="35">
    <w:name w:val="annotation subject"/>
    <w:basedOn w:val="9"/>
    <w:next w:val="9"/>
    <w:autoRedefine/>
    <w:semiHidden/>
    <w:qFormat/>
    <w:uiPriority w:val="0"/>
    <w:rPr>
      <w:b/>
      <w:bCs/>
    </w:rPr>
  </w:style>
  <w:style w:type="paragraph" w:styleId="36">
    <w:name w:val="Body Text First Indent"/>
    <w:basedOn w:val="11"/>
    <w:autoRedefine/>
    <w:qFormat/>
    <w:uiPriority w:val="0"/>
    <w:pPr>
      <w:ind w:firstLine="420" w:firstLineChars="100"/>
    </w:pPr>
  </w:style>
  <w:style w:type="table" w:styleId="38">
    <w:name w:val="Table Grid"/>
    <w:basedOn w:val="37"/>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basedOn w:val="39"/>
    <w:autoRedefine/>
    <w:qFormat/>
    <w:uiPriority w:val="0"/>
    <w:rPr>
      <w:b/>
    </w:rPr>
  </w:style>
  <w:style w:type="character" w:styleId="41">
    <w:name w:val="endnote reference"/>
    <w:autoRedefine/>
    <w:semiHidden/>
    <w:qFormat/>
    <w:uiPriority w:val="0"/>
    <w:rPr>
      <w:vertAlign w:val="superscript"/>
    </w:rPr>
  </w:style>
  <w:style w:type="character" w:styleId="42">
    <w:name w:val="page number"/>
    <w:autoRedefine/>
    <w:qFormat/>
    <w:uiPriority w:val="0"/>
    <w:rPr>
      <w:rFonts w:ascii="Times New Roman" w:hAnsi="Times New Roman" w:eastAsia="宋体"/>
      <w:sz w:val="18"/>
    </w:rPr>
  </w:style>
  <w:style w:type="character" w:styleId="43">
    <w:name w:val="FollowedHyperlink"/>
    <w:autoRedefine/>
    <w:qFormat/>
    <w:uiPriority w:val="0"/>
    <w:rPr>
      <w:color w:val="800080"/>
      <w:u w:val="single"/>
    </w:rPr>
  </w:style>
  <w:style w:type="character" w:styleId="44">
    <w:name w:val="Emphasis"/>
    <w:autoRedefine/>
    <w:qFormat/>
    <w:uiPriority w:val="20"/>
    <w:rPr>
      <w:i/>
      <w:iCs/>
    </w:rPr>
  </w:style>
  <w:style w:type="character" w:styleId="45">
    <w:name w:val="Hyperlink"/>
    <w:autoRedefine/>
    <w:qFormat/>
    <w:uiPriority w:val="99"/>
    <w:rPr>
      <w:color w:val="0000FF"/>
      <w:spacing w:val="0"/>
      <w:w w:val="100"/>
      <w:szCs w:val="21"/>
      <w:u w:val="single"/>
    </w:rPr>
  </w:style>
  <w:style w:type="character" w:styleId="46">
    <w:name w:val="annotation reference"/>
    <w:autoRedefine/>
    <w:semiHidden/>
    <w:qFormat/>
    <w:uiPriority w:val="0"/>
    <w:rPr>
      <w:sz w:val="21"/>
      <w:szCs w:val="21"/>
    </w:rPr>
  </w:style>
  <w:style w:type="character" w:styleId="47">
    <w:name w:val="footnote reference"/>
    <w:autoRedefine/>
    <w:semiHidden/>
    <w:qFormat/>
    <w:uiPriority w:val="0"/>
    <w:rPr>
      <w:vertAlign w:val="superscript"/>
    </w:rPr>
  </w:style>
  <w:style w:type="paragraph" w:customStyle="1" w:styleId="48">
    <w:name w:val="标准文件_一级无标题"/>
    <w:basedOn w:val="49"/>
    <w:autoRedefine/>
    <w:qFormat/>
    <w:uiPriority w:val="0"/>
    <w:pPr>
      <w:spacing w:before="0" w:beforeLines="0" w:after="0" w:afterLines="0"/>
      <w:outlineLvl w:val="9"/>
    </w:pPr>
    <w:rPr>
      <w:rFonts w:ascii="宋体" w:eastAsia="宋体"/>
    </w:rPr>
  </w:style>
  <w:style w:type="paragraph" w:customStyle="1" w:styleId="49">
    <w:name w:val="标准文件_一级条标题"/>
    <w:basedOn w:val="50"/>
    <w:next w:val="51"/>
    <w:autoRedefine/>
    <w:qFormat/>
    <w:uiPriority w:val="0"/>
    <w:pPr>
      <w:numPr>
        <w:ilvl w:val="2"/>
      </w:numPr>
      <w:spacing w:before="50" w:beforeLines="50" w:after="50" w:afterLines="50"/>
      <w:outlineLvl w:val="1"/>
    </w:pPr>
  </w:style>
  <w:style w:type="paragraph" w:customStyle="1" w:styleId="50">
    <w:name w:val="标准文件_章标题"/>
    <w:next w:val="51"/>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51">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26"/>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26"/>
    <w:link w:val="58"/>
    <w:autoRedefine/>
    <w:qFormat/>
    <w:uiPriority w:val="0"/>
    <w:pPr>
      <w:numPr>
        <w:ilvl w:val="2"/>
      </w:numPr>
      <w:spacing w:before="50" w:after="50"/>
      <w:ind w:left="1843"/>
      <w:outlineLvl w:val="3"/>
    </w:pPr>
  </w:style>
  <w:style w:type="paragraph" w:customStyle="1" w:styleId="60">
    <w:name w:val="一级条标题"/>
    <w:next w:val="1"/>
    <w:autoRedefine/>
    <w:qFormat/>
    <w:uiPriority w:val="0"/>
    <w:pPr>
      <w:numPr>
        <w:ilvl w:val="1"/>
        <w:numId w:val="3"/>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26"/>
    <w:link w:val="61"/>
    <w:autoRedefine/>
    <w:qFormat/>
    <w:uiPriority w:val="0"/>
    <w:pPr>
      <w:numPr>
        <w:ilvl w:val="3"/>
      </w:numPr>
      <w:outlineLvl w:val="4"/>
    </w:pPr>
  </w:style>
  <w:style w:type="character" w:customStyle="1" w:styleId="63">
    <w:name w:val="页眉 字符"/>
    <w:link w:val="21"/>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26"/>
    <w:next w:val="26"/>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26"/>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26"/>
    <w:autoRedefine/>
    <w:qFormat/>
    <w:uiPriority w:val="0"/>
    <w:pPr>
      <w:outlineLvl w:val="6"/>
    </w:pPr>
  </w:style>
  <w:style w:type="paragraph" w:customStyle="1" w:styleId="77">
    <w:name w:val="附录四级条标题"/>
    <w:basedOn w:val="78"/>
    <w:next w:val="26"/>
    <w:autoRedefine/>
    <w:qFormat/>
    <w:uiPriority w:val="0"/>
    <w:pPr>
      <w:outlineLvl w:val="5"/>
    </w:pPr>
  </w:style>
  <w:style w:type="paragraph" w:customStyle="1" w:styleId="78">
    <w:name w:val="附录三级条标题"/>
    <w:basedOn w:val="79"/>
    <w:next w:val="26"/>
    <w:autoRedefine/>
    <w:qFormat/>
    <w:uiPriority w:val="0"/>
    <w:pPr>
      <w:outlineLvl w:val="4"/>
    </w:pPr>
  </w:style>
  <w:style w:type="paragraph" w:customStyle="1" w:styleId="79">
    <w:name w:val="附录二级条标题"/>
    <w:basedOn w:val="1"/>
    <w:next w:val="26"/>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26"/>
    <w:next w:val="26"/>
    <w:autoRedefine/>
    <w:qFormat/>
    <w:uiPriority w:val="0"/>
    <w:pPr>
      <w:ind w:firstLine="0" w:firstLineChars="0"/>
      <w:jc w:val="center"/>
    </w:pPr>
    <w:rPr>
      <w:rFonts w:ascii="黑体" w:eastAsia="黑体"/>
    </w:rPr>
  </w:style>
  <w:style w:type="paragraph" w:customStyle="1" w:styleId="81">
    <w:name w:val="注：（正文）"/>
    <w:basedOn w:val="82"/>
    <w:next w:val="26"/>
    <w:autoRedefine/>
    <w:qFormat/>
    <w:uiPriority w:val="0"/>
  </w:style>
  <w:style w:type="paragraph" w:customStyle="1" w:styleId="82">
    <w:name w:val="注："/>
    <w:next w:val="26"/>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26"/>
    <w:autoRedefine/>
    <w:qFormat/>
    <w:uiPriority w:val="0"/>
    <w:pPr>
      <w:numPr>
        <w:ilvl w:val="0"/>
        <w:numId w:val="0"/>
      </w:numPr>
      <w:autoSpaceDN w:val="0"/>
      <w:spacing w:beforeLines="50" w:afterLines="50"/>
      <w:outlineLvl w:val="2"/>
    </w:pPr>
  </w:style>
  <w:style w:type="paragraph" w:customStyle="1" w:styleId="86">
    <w:name w:val="附录章标题"/>
    <w:next w:val="26"/>
    <w:autoRedefine/>
    <w:qFormat/>
    <w:uiPriority w:val="0"/>
    <w:pPr>
      <w:numPr>
        <w:ilvl w:val="1"/>
        <w:numId w:val="4"/>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5"/>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26"/>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26"/>
    <w:autoRedefine/>
    <w:qFormat/>
    <w:uiPriority w:val="0"/>
    <w:pPr>
      <w:numPr>
        <w:ilvl w:val="0"/>
        <w:numId w:val="0"/>
      </w:numPr>
      <w:outlineLvl w:val="6"/>
    </w:pPr>
  </w:style>
  <w:style w:type="paragraph" w:customStyle="1" w:styleId="95">
    <w:name w:val="四级条标题"/>
    <w:basedOn w:val="62"/>
    <w:next w:val="26"/>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26"/>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6"/>
      </w:numPr>
      <w:spacing w:line="14" w:lineRule="exact"/>
      <w:jc w:val="center"/>
      <w:outlineLvl w:val="0"/>
    </w:pPr>
    <w:rPr>
      <w:color w:val="FFFFFF"/>
    </w:rPr>
  </w:style>
  <w:style w:type="paragraph" w:customStyle="1" w:styleId="101">
    <w:name w:val="附录表标题"/>
    <w:basedOn w:val="1"/>
    <w:next w:val="26"/>
    <w:autoRedefine/>
    <w:qFormat/>
    <w:uiPriority w:val="0"/>
    <w:pPr>
      <w:numPr>
        <w:ilvl w:val="1"/>
        <w:numId w:val="7"/>
      </w:numPr>
      <w:spacing w:beforeLines="50" w:afterLines="50"/>
      <w:jc w:val="center"/>
    </w:pPr>
    <w:rPr>
      <w:rFonts w:ascii="黑体" w:eastAsia="黑体"/>
      <w:szCs w:val="21"/>
    </w:rPr>
  </w:style>
  <w:style w:type="paragraph" w:customStyle="1" w:styleId="102">
    <w:name w:val="附录公式编号制表符"/>
    <w:basedOn w:val="1"/>
    <w:next w:val="26"/>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26"/>
    <w:autoRedefine/>
    <w:qFormat/>
    <w:uiPriority w:val="0"/>
    <w:pPr>
      <w:keepNext/>
      <w:widowControl/>
      <w:numPr>
        <w:ilvl w:val="0"/>
        <w:numId w:val="4"/>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8"/>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9"/>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10"/>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10"/>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9"/>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26"/>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5"/>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10"/>
      </w:numPr>
    </w:pPr>
    <w:rPr>
      <w:rFonts w:ascii="宋体" w:hAnsi="Times New Roman" w:eastAsia="宋体" w:cs="Times New Roman"/>
      <w:sz w:val="21"/>
      <w:lang w:val="en-US" w:eastAsia="zh-CN" w:bidi="ar-SA"/>
    </w:rPr>
  </w:style>
  <w:style w:type="paragraph" w:customStyle="1" w:styleId="135">
    <w:name w:val="正文公式编号制表符"/>
    <w:basedOn w:val="26"/>
    <w:next w:val="26"/>
    <w:autoRedefine/>
    <w:qFormat/>
    <w:uiPriority w:val="0"/>
    <w:pPr>
      <w:ind w:firstLine="0" w:firstLineChars="0"/>
    </w:pPr>
  </w:style>
  <w:style w:type="paragraph" w:customStyle="1" w:styleId="136">
    <w:name w:val="列项——（一级）"/>
    <w:autoRedefine/>
    <w:qFormat/>
    <w:uiPriority w:val="0"/>
    <w:pPr>
      <w:widowControl w:val="0"/>
      <w:numPr>
        <w:ilvl w:val="0"/>
        <w:numId w:val="9"/>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26"/>
    <w:autoRedefine/>
    <w:qFormat/>
    <w:uiPriority w:val="0"/>
    <w:pPr>
      <w:numPr>
        <w:ilvl w:val="0"/>
        <w:numId w:val="3"/>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26"/>
    <w:autoRedefine/>
    <w:qFormat/>
    <w:uiPriority w:val="0"/>
    <w:pPr>
      <w:numPr>
        <w:ilvl w:val="1"/>
        <w:numId w:val="6"/>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26"/>
    <w:next w:val="26"/>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26"/>
    <w:autoRedefine/>
    <w:qFormat/>
    <w:uiPriority w:val="0"/>
    <w:pPr>
      <w:numPr>
        <w:ilvl w:val="0"/>
        <w:numId w:val="7"/>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27"/>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26"/>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26"/>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3"/>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0"/>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39"/>
    <w:link w:val="17"/>
    <w:autoRedefine/>
    <w:qFormat/>
    <w:uiPriority w:val="99"/>
    <w:rPr>
      <w:rFonts w:eastAsia="PMingLiU-ExtB"/>
      <w:kern w:val="2"/>
      <w:sz w:val="24"/>
      <w:szCs w:val="24"/>
      <w:lang w:eastAsia="zh-TW"/>
    </w:rPr>
  </w:style>
  <w:style w:type="paragraph" w:customStyle="1" w:styleId="169">
    <w:name w:val="标准文件_术语条一"/>
    <w:basedOn w:val="48"/>
    <w:next w:val="51"/>
    <w:autoRedefine/>
    <w:qFormat/>
    <w:uiPriority w:val="0"/>
  </w:style>
  <w:style w:type="character" w:customStyle="1" w:styleId="170">
    <w:name w:val="标准文件_段 Char"/>
    <w:basedOn w:val="39"/>
    <w:autoRedefine/>
    <w:qFormat/>
    <w:uiPriority w:val="0"/>
    <w:rPr>
      <w:rFonts w:hint="eastAsia" w:ascii="宋体" w:hAnsi="宋体" w:eastAsia="宋体" w:cs="宋体"/>
      <w:sz w:val="21"/>
    </w:rPr>
  </w:style>
  <w:style w:type="paragraph" w:customStyle="1" w:styleId="17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72">
    <w:name w:val="正文1"/>
    <w:qFormat/>
    <w:uiPriority w:val="0"/>
    <w:pPr>
      <w:jc w:val="both"/>
    </w:pPr>
    <w:rPr>
      <w:rFonts w:ascii="Calibri" w:hAnsi="Calibri" w:eastAsia="宋体" w:cs="Calibri"/>
      <w:kern w:val="2"/>
      <w:sz w:val="21"/>
      <w:szCs w:val="21"/>
      <w:lang w:val="en-US" w:eastAsia="zh-CN" w:bidi="ar-SA"/>
    </w:rPr>
  </w:style>
  <w:style w:type="paragraph" w:customStyle="1" w:styleId="173">
    <w:name w:val="标准文件_注："/>
    <w:next w:val="51"/>
    <w:autoRedefine/>
    <w:qFormat/>
    <w:uiPriority w:val="0"/>
    <w:pPr>
      <w:widowControl w:val="0"/>
      <w:numPr>
        <w:ilvl w:val="0"/>
        <w:numId w:val="11"/>
      </w:numPr>
      <w:autoSpaceDE w:val="0"/>
      <w:autoSpaceDN w:val="0"/>
      <w:jc w:val="both"/>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02_GZBD标准模板.dotx</Template>
  <Pages>8</Pages>
  <Words>2543</Words>
  <Characters>2767</Characters>
  <Lines>14</Lines>
  <Paragraphs>3</Paragraphs>
  <TotalTime>0</TotalTime>
  <ScaleCrop>false</ScaleCrop>
  <LinksUpToDate>false</LinksUpToDate>
  <CharactersWithSpaces>2873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2024-05-28T07:02:00Z</cp:lastPrinted>
  <dcterms:modified xsi:type="dcterms:W3CDTF">2026-07-29T03:01:24Z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C9288B688AA74D738B0C8191A0AAE3DD_13</vt:lpwstr>
  </property>
  <property fmtid="{D5CDD505-2E9C-101B-9397-08002B2CF9AE}" pid="4" name="KSOTemplateDocerSaveRecord">
    <vt:lpwstr>eyJoZGlkIjoiNDJlNWMzZjM0MTExZTRkN2NjNTM1ZTY0ZjU0ZGQ5YzMiLCJ1c2VySWQiOiI0MzQwMTU3MTAifQ==</vt:lpwstr>
  </property>
</Properties>
</file>