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16923">
      <w:pPr>
        <w:pStyle w:val="139"/>
        <w:numPr>
          <w:ilvl w:val="0"/>
          <w:numId w:val="0"/>
        </w:numPr>
        <w:spacing w:beforeLines="0" w:afterLines="0"/>
        <w:jc w:val="center"/>
        <w:rPr>
          <w:rFonts w:hint="eastAsia" w:ascii="方正小标宋简体" w:hAnsi="方正小标宋简体" w:eastAsia="方正小标宋简体" w:cs="方正小标宋简体"/>
          <w:sz w:val="36"/>
          <w:szCs w:val="36"/>
        </w:rPr>
      </w:pPr>
      <w:bookmarkStart w:id="0" w:name="_Toc37234703"/>
      <w:bookmarkStart w:id="1" w:name="_Toc304402664"/>
      <w:bookmarkStart w:id="2" w:name="_Toc309995390"/>
      <w:bookmarkStart w:id="3" w:name="_Toc309994551"/>
      <w:bookmarkStart w:id="4" w:name="_Toc298937188"/>
      <w:bookmarkStart w:id="5" w:name="_Toc298938783"/>
      <w:bookmarkStart w:id="6" w:name="_Toc298937167"/>
      <w:bookmarkStart w:id="7" w:name="_Toc298937276"/>
      <w:bookmarkStart w:id="8" w:name="_Toc298936924"/>
      <w:bookmarkStart w:id="9" w:name="_Toc309995472"/>
      <w:bookmarkStart w:id="10" w:name="_Toc309997040"/>
      <w:bookmarkStart w:id="11" w:name="_Toc298937152"/>
      <w:bookmarkStart w:id="12" w:name="_Toc298937462"/>
      <w:bookmarkStart w:id="13" w:name="_Toc298938635"/>
      <w:bookmarkStart w:id="14" w:name="_Toc304828066"/>
      <w:bookmarkStart w:id="15" w:name="_Toc298936801"/>
      <w:bookmarkStart w:id="16" w:name="_Toc298937419"/>
      <w:bookmarkStart w:id="17" w:name="_Toc310002637"/>
      <w:bookmarkStart w:id="18" w:name="_Toc304824969"/>
      <w:bookmarkStart w:id="19" w:name="_Toc6138"/>
      <w:bookmarkStart w:id="20" w:name="_Toc304825008"/>
      <w:bookmarkStart w:id="21" w:name="_Toc309993180"/>
      <w:bookmarkStart w:id="22" w:name="_Toc298937609"/>
      <w:bookmarkStart w:id="23" w:name="_Toc499110426"/>
      <w:bookmarkStart w:id="24" w:name="_Toc309995999"/>
      <w:bookmarkStart w:id="25" w:name="_Toc298937100"/>
      <w:bookmarkStart w:id="26" w:name="_Toc298937322"/>
      <w:bookmarkStart w:id="27" w:name="_Toc304825081"/>
      <w:bookmarkStart w:id="28" w:name="_Toc298937357"/>
      <w:bookmarkStart w:id="29" w:name="_Toc298923383"/>
      <w:bookmarkStart w:id="30" w:name="_Toc298937201"/>
      <w:bookmarkStart w:id="31" w:name="_Toc309995578"/>
      <w:r>
        <w:rPr>
          <w:rFonts w:hint="eastAsia" w:ascii="方正小标宋简体" w:hAnsi="方正小标宋简体" w:eastAsia="方正小标宋简体" w:cs="方正小标宋简体"/>
          <w:sz w:val="36"/>
          <w:szCs w:val="36"/>
        </w:rPr>
        <w:t>《</w:t>
      </w:r>
      <w:sdt>
        <w:sdtPr>
          <w:rPr>
            <w:rFonts w:hint="eastAsia" w:ascii="方正小标宋简体" w:hAnsi="方正小标宋简体" w:eastAsia="方正小标宋简体" w:cs="方正小标宋简体"/>
            <w:sz w:val="36"/>
            <w:szCs w:val="36"/>
          </w:rPr>
          <w:tag w:val="NEW_STAND_NAME"/>
          <w:id w:val="595910757"/>
          <w:placeholder>
            <w:docPart w:val="{bdec89b2-61f7-4ca6-98e2-c36374a47443}"/>
          </w:placeholder>
        </w:sdtPr>
        <w:sdtEndPr>
          <w:rPr>
            <w:rFonts w:hint="eastAsia" w:ascii="方正小标宋简体" w:hAnsi="方正小标宋简体" w:eastAsia="方正小标宋简体" w:cs="方正小标宋简体"/>
            <w:sz w:val="36"/>
            <w:szCs w:val="36"/>
            <w:lang w:eastAsia="zh-CN"/>
          </w:rPr>
        </w:sdtEndPr>
        <w:sdtContent>
          <w:r>
            <w:rPr>
              <w:rFonts w:hint="eastAsia" w:ascii="方正小标宋简体" w:hAnsi="方正小标宋简体" w:eastAsia="方正小标宋简体" w:cs="方正小标宋简体"/>
              <w:sz w:val="36"/>
              <w:szCs w:val="36"/>
              <w:lang w:eastAsia="zh-CN"/>
            </w:rPr>
            <w:t>电力通信数据模型通用设计规范</w:t>
          </w:r>
        </w:sdtContent>
      </w:sdt>
      <w:r>
        <w:rPr>
          <w:rFonts w:hint="eastAsia" w:ascii="方正小标宋简体" w:hAnsi="方正小标宋简体" w:eastAsia="方正小标宋简体" w:cs="方正小标宋简体"/>
          <w:sz w:val="36"/>
          <w:szCs w:val="36"/>
        </w:rPr>
        <w:t xml:space="preserve">》征求意见稿 </w:t>
      </w:r>
    </w:p>
    <w:p w14:paraId="36CE64D8">
      <w:pPr>
        <w:pStyle w:val="139"/>
        <w:numPr>
          <w:ilvl w:val="0"/>
          <w:numId w:val="0"/>
        </w:numPr>
        <w:spacing w:beforeLines="0" w:afterLine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团体标准编制说明</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7C42FC17">
      <w:pPr>
        <w:pStyle w:val="139"/>
        <w:numPr>
          <w:ilvl w:val="0"/>
          <w:numId w:val="0"/>
        </w:numPr>
        <w:spacing w:before="312" w:after="312"/>
        <w:rPr>
          <w:rFonts w:hint="eastAsia" w:ascii="仿宋" w:hAnsi="仿宋" w:eastAsia="仿宋" w:cs="仿宋"/>
          <w:b/>
          <w:bCs/>
          <w:color w:val="000000"/>
          <w:sz w:val="32"/>
          <w:szCs w:val="32"/>
        </w:rPr>
      </w:pPr>
      <w:bookmarkStart w:id="32" w:name="_Toc298937549"/>
      <w:bookmarkEnd w:id="32"/>
      <w:bookmarkStart w:id="33" w:name="BT1"/>
      <w:bookmarkEnd w:id="33"/>
      <w:r>
        <w:rPr>
          <w:rFonts w:hint="eastAsia" w:ascii="仿宋" w:hAnsi="仿宋" w:eastAsia="仿宋" w:cs="仿宋"/>
          <w:b/>
          <w:bCs/>
          <w:color w:val="000000"/>
          <w:sz w:val="32"/>
          <w:szCs w:val="32"/>
        </w:rPr>
        <w:t>一、任务来源</w:t>
      </w:r>
    </w:p>
    <w:p w14:paraId="452EBCDB">
      <w:pPr>
        <w:pStyle w:val="36"/>
        <w:spacing w:after="0"/>
        <w:ind w:firstLine="640" w:firstLineChars="200"/>
        <w:rPr>
          <w:rFonts w:hint="eastAsia" w:ascii="仿宋" w:hAnsi="仿宋" w:eastAsia="仿宋" w:cs="仿宋"/>
          <w:sz w:val="32"/>
          <w:szCs w:val="32"/>
        </w:rPr>
      </w:pPr>
      <w:r>
        <w:rPr>
          <w:rFonts w:hint="eastAsia" w:ascii="仿宋" w:hAnsi="仿宋" w:eastAsia="仿宋" w:cs="仿宋"/>
          <w:sz w:val="32"/>
          <w:szCs w:val="32"/>
        </w:rPr>
        <w:t>随着我国新型电力系统建设</w:t>
      </w:r>
      <w:bookmarkStart w:id="116" w:name="_GoBack"/>
      <w:bookmarkEnd w:id="116"/>
      <w:r>
        <w:rPr>
          <w:rFonts w:hint="eastAsia" w:ascii="仿宋" w:hAnsi="仿宋" w:eastAsia="仿宋" w:cs="仿宋"/>
          <w:sz w:val="32"/>
          <w:szCs w:val="32"/>
        </w:rPr>
        <w:t>持续推进，能源数字化转型不断深化，源网荷储多元协同、多业务融合互通已成为行业核心发展趋势。电力通信网作为支撑电力系统安全稳定运行、承载各类生产管理业务的关键信息基础设施，其数据模型的标准化、通用化设计水平，直接决定了电力系统数据贯通效率、业务协同能力与智能运维成效。传统分散式、业务专属的数据模型设计模式存在数据语义不统一、跨系统互通性差、复用扩展能力弱等短板，逐渐难以适配电力行业数字化、智能化的发展要求。数据模型作为电力通信系统数据交互与业务协同的核心基础，依托其对数据语义统一、信息架构规范、业务逻辑映射的核心作用，成为提升电力通信网运维效率、降低系统对接成本、增强全场景业务支撑能力的关键技术优化方向。</w:t>
      </w:r>
    </w:p>
    <w:p w14:paraId="72559F4A">
      <w:pPr>
        <w:pStyle w:val="36"/>
        <w:spacing w:after="0"/>
        <w:ind w:firstLine="640" w:firstLineChars="200"/>
        <w:rPr>
          <w:rFonts w:hint="eastAsia" w:ascii="仿宋" w:hAnsi="仿宋" w:eastAsia="仿宋" w:cs="仿宋"/>
          <w:sz w:val="32"/>
          <w:szCs w:val="32"/>
        </w:rPr>
      </w:pPr>
      <w:r>
        <w:rPr>
          <w:rFonts w:hint="eastAsia" w:ascii="仿宋" w:hAnsi="仿宋" w:eastAsia="仿宋" w:cs="仿宋"/>
          <w:sz w:val="32"/>
          <w:szCs w:val="32"/>
        </w:rPr>
        <w:t>传统电力通信数据模型设计普遍存在设计规范不统一、数据定义粒度差异大、模型架构灵活性不足等问题，应用过程中易出现跨系统数据交互壁垒、业务协同链路不畅、数据治理成本偏高的情况，造成数据复用率低、系统集成周期长、运维管控效率下降等运行隐患，同时难以适配新型电力系统下多主体接入、多业务融合、全场景覆盖的发展需求，进一步限制了电力通信网络的服务支撑能力与业务适配范围。</w:t>
      </w:r>
    </w:p>
    <w:p w14:paraId="54EF61DE">
      <w:pPr>
        <w:pStyle w:val="36"/>
        <w:spacing w:after="0"/>
        <w:ind w:firstLine="640" w:firstLineChars="200"/>
        <w:rPr>
          <w:rFonts w:hint="eastAsia" w:ascii="仿宋" w:hAnsi="仿宋" w:eastAsia="仿宋" w:cs="仿宋"/>
          <w:sz w:val="32"/>
          <w:szCs w:val="32"/>
        </w:rPr>
      </w:pPr>
      <w:r>
        <w:rPr>
          <w:rFonts w:hint="eastAsia" w:ascii="仿宋" w:hAnsi="仿宋" w:eastAsia="仿宋" w:cs="仿宋"/>
          <w:sz w:val="32"/>
          <w:szCs w:val="32"/>
        </w:rPr>
        <w:t>单一维度的数据模型优化手段存在明显局限性：仅开展单业务场景的模型适配优化，实施成本低、调整灵活性好，但受限于原有系统架构与数据定义体系，跨专业数据互通性提升幅度有限、全场景覆盖支撑不足；仅实施底层数据架构重构，可有效统一数据语义标准与模型架构，却存在改造工程量大、存量系统适配性差、业务迭代响应慢等问题，难以直接适配电力通信多业务快速迭代、多场景灵活拓展的运行需求。</w:t>
      </w:r>
    </w:p>
    <w:p w14:paraId="4400FA18">
      <w:pPr>
        <w:pStyle w:val="36"/>
        <w:spacing w:after="0"/>
        <w:ind w:firstLine="640" w:firstLineChars="200"/>
        <w:rPr>
          <w:rFonts w:hint="eastAsia" w:ascii="仿宋" w:hAnsi="仿宋" w:eastAsia="仿宋" w:cs="仿宋"/>
          <w:sz w:val="32"/>
          <w:szCs w:val="32"/>
        </w:rPr>
      </w:pPr>
      <w:r>
        <w:rPr>
          <w:rFonts w:hint="eastAsia" w:ascii="仿宋" w:hAnsi="仿宋" w:eastAsia="仿宋" w:cs="仿宋"/>
          <w:sz w:val="32"/>
          <w:szCs w:val="32"/>
        </w:rPr>
        <w:t>在此背景下，电力通信数据模型通用设计技术通过将统一数据语义规范与分层可扩展建模架构相结合，融合两类优化手段的优势，兼顾跨系统数据互通、多业务场景适配、存量系统兼容与建设经济性，构建标准统一、语义一致、弹性扩展的电力通信数据模型体系，强化跨专业、跨层级、跨主体的数据协同能力，降低数据治理成本与系统集成复杂度，提升电力通信网络的智能运维水平与业务支撑效率，同时保障数据交互的规范性与安全性，是支撑电力通信网数字化升级、实现全场景高效可靠服务的核心技术路径。与之配套建立完善的技术要求体系与标准化设计流程，对规范电力通信数据模型设计工程质量、量化评价模型应用效果、推动电力通信数字化技术迭代具有重要意义。综上所述，《电力通信数据模型通用设计规范》团体标准的编制是行业内的一项重要工作，对于规范数据模型设计市场秩序、提升电力通信网络数字化运维水平、促进电力通信数据技术创新和推动电力行业数字化转型具有重要意义。根据《团体标准管理规定》等国家部委有关规定，特立项本标准。本标准项目计划编号为2026-</w:t>
      </w:r>
      <w:r>
        <w:rPr>
          <w:rFonts w:hint="eastAsia" w:ascii="仿宋" w:hAnsi="仿宋" w:eastAsia="仿宋" w:cs="仿宋"/>
          <w:sz w:val="32"/>
          <w:szCs w:val="32"/>
          <w:lang w:val="en-US" w:eastAsia="zh-CN"/>
        </w:rPr>
        <w:t>495</w:t>
      </w:r>
      <w:r>
        <w:rPr>
          <w:rFonts w:hint="eastAsia" w:ascii="仿宋" w:hAnsi="仿宋" w:eastAsia="仿宋" w:cs="仿宋"/>
          <w:sz w:val="32"/>
          <w:szCs w:val="32"/>
        </w:rPr>
        <w:t>-CWDPA。</w:t>
      </w:r>
    </w:p>
    <w:p w14:paraId="75F60046">
      <w:pPr>
        <w:pStyle w:val="139"/>
        <w:numPr>
          <w:ilvl w:val="0"/>
          <w:numId w:val="12"/>
        </w:numPr>
        <w:spacing w:before="312" w:after="312"/>
        <w:rPr>
          <w:rFonts w:hint="eastAsia" w:ascii="仿宋" w:hAnsi="仿宋" w:eastAsia="仿宋" w:cs="仿宋"/>
          <w:b/>
          <w:bCs/>
          <w:color w:val="000000"/>
          <w:sz w:val="32"/>
          <w:szCs w:val="32"/>
        </w:rPr>
      </w:pPr>
      <w:bookmarkStart w:id="34" w:name="BT3"/>
      <w:bookmarkEnd w:id="34"/>
      <w:r>
        <w:rPr>
          <w:rFonts w:hint="eastAsia" w:ascii="仿宋" w:hAnsi="仿宋" w:eastAsia="仿宋" w:cs="仿宋"/>
          <w:b/>
          <w:bCs/>
          <w:color w:val="000000"/>
          <w:sz w:val="32"/>
          <w:szCs w:val="32"/>
        </w:rPr>
        <w:t>起草单位</w:t>
      </w:r>
    </w:p>
    <w:p w14:paraId="6EE4183C">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highlight w:val="none"/>
        </w:rPr>
        <w:t>本标准由</w:t>
      </w:r>
      <w:r>
        <w:rPr>
          <w:rFonts w:hint="eastAsia" w:ascii="仿宋" w:hAnsi="仿宋" w:eastAsia="仿宋" w:cs="仿宋"/>
          <w:strike w:val="0"/>
          <w:dstrike w:val="0"/>
          <w:sz w:val="32"/>
          <w:szCs w:val="32"/>
          <w:highlight w:val="none"/>
        </w:rPr>
        <w:t>国网四川省电力公司成都供电公司</w:t>
      </w:r>
      <w:r>
        <w:rPr>
          <w:rFonts w:hint="eastAsia" w:ascii="仿宋" w:hAnsi="仿宋" w:eastAsia="仿宋" w:cs="仿宋"/>
          <w:sz w:val="32"/>
          <w:szCs w:val="32"/>
          <w:highlight w:val="none"/>
        </w:rPr>
        <w:t>提出，由中国西部开发促进会归口。本标准由</w:t>
      </w:r>
      <w:r>
        <w:rPr>
          <w:rFonts w:hint="eastAsia" w:ascii="仿宋" w:hAnsi="仿宋" w:eastAsia="仿宋" w:cs="仿宋"/>
          <w:strike w:val="0"/>
          <w:dstrike w:val="0"/>
          <w:sz w:val="32"/>
          <w:szCs w:val="32"/>
          <w:highlight w:val="none"/>
        </w:rPr>
        <w:t>国网四川省电力公司成都供电公司</w:t>
      </w:r>
      <w:r>
        <w:rPr>
          <w:rFonts w:hint="eastAsia" w:ascii="仿宋" w:hAnsi="仿宋" w:eastAsia="仿宋" w:cs="仿宋"/>
          <w:strike w:val="0"/>
          <w:dstrike w:val="0"/>
          <w:sz w:val="32"/>
          <w:szCs w:val="32"/>
          <w:highlight w:val="none"/>
          <w:lang w:eastAsia="zh-CN"/>
        </w:rPr>
        <w:t>、</w:t>
      </w:r>
      <w:r>
        <w:rPr>
          <w:rFonts w:hint="eastAsia" w:ascii="仿宋" w:hAnsi="仿宋" w:eastAsia="仿宋" w:cs="仿宋"/>
          <w:strike w:val="0"/>
          <w:dstrike w:val="0"/>
          <w:sz w:val="32"/>
          <w:szCs w:val="32"/>
          <w:highlight w:val="none"/>
        </w:rPr>
        <w:t>国网四川省电力公司成都供电公司信息通信分公司</w:t>
      </w:r>
      <w:r>
        <w:rPr>
          <w:rFonts w:hint="eastAsia" w:ascii="仿宋" w:hAnsi="仿宋" w:eastAsia="仿宋" w:cs="仿宋"/>
          <w:strike w:val="0"/>
          <w:dstrike w:val="0"/>
          <w:sz w:val="32"/>
          <w:szCs w:val="32"/>
          <w:highlight w:val="none"/>
          <w:lang w:eastAsia="zh-CN"/>
        </w:rPr>
        <w:t>、</w:t>
      </w:r>
      <w:r>
        <w:rPr>
          <w:rFonts w:hint="eastAsia" w:ascii="仿宋" w:hAnsi="仿宋" w:eastAsia="仿宋" w:cs="仿宋"/>
          <w:strike w:val="0"/>
          <w:dstrike w:val="0"/>
          <w:sz w:val="32"/>
          <w:szCs w:val="32"/>
          <w:highlight w:val="none"/>
        </w:rPr>
        <w:t>国网浙江省电力有限公司信息通信分公司</w:t>
      </w:r>
      <w:r>
        <w:rPr>
          <w:rFonts w:hint="eastAsia" w:ascii="仿宋" w:hAnsi="仿宋" w:eastAsia="仿宋" w:cs="仿宋"/>
          <w:strike w:val="0"/>
          <w:dstrike w:val="0"/>
          <w:sz w:val="32"/>
          <w:szCs w:val="32"/>
          <w:highlight w:val="none"/>
          <w:lang w:eastAsia="zh-CN"/>
        </w:rPr>
        <w:t>、</w:t>
      </w:r>
      <w:r>
        <w:rPr>
          <w:rFonts w:hint="eastAsia" w:ascii="仿宋" w:hAnsi="仿宋" w:eastAsia="仿宋" w:cs="仿宋"/>
          <w:strike w:val="0"/>
          <w:dstrike w:val="0"/>
          <w:sz w:val="32"/>
          <w:szCs w:val="32"/>
          <w:highlight w:val="none"/>
        </w:rPr>
        <w:t>国网电力科学研究院有限公司</w:t>
      </w:r>
      <w:r>
        <w:rPr>
          <w:rFonts w:hint="eastAsia" w:ascii="仿宋" w:hAnsi="仿宋" w:eastAsia="仿宋" w:cs="仿宋"/>
          <w:strike w:val="0"/>
          <w:dstrike w:val="0"/>
          <w:sz w:val="32"/>
          <w:szCs w:val="32"/>
          <w:highlight w:val="none"/>
          <w:lang w:val="en-US" w:eastAsia="zh-CN"/>
        </w:rPr>
        <w:t>共同</w:t>
      </w:r>
      <w:r>
        <w:rPr>
          <w:rFonts w:hint="eastAsia" w:ascii="仿宋" w:hAnsi="仿宋" w:eastAsia="仿宋" w:cs="仿宋"/>
          <w:sz w:val="32"/>
          <w:szCs w:val="32"/>
          <w:highlight w:val="none"/>
        </w:rPr>
        <w:t>起草。</w:t>
      </w:r>
    </w:p>
    <w:p w14:paraId="7F2A67D6">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三、标准的编制原则</w:t>
      </w:r>
    </w:p>
    <w:p w14:paraId="0FC59A89">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标准起草小组在编制标准过程中，以国家、行业现有的标准为制订基础，结合我国目前的行业现状，按照GB/T 1.1-2020《标准化工作导则 第1部分：标准化文件的结构和起草规则》的规定及相关要求编制。</w:t>
      </w:r>
    </w:p>
    <w:p w14:paraId="12A108E8">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四、标准编制过程</w:t>
      </w:r>
    </w:p>
    <w:p w14:paraId="1650E19B">
      <w:pPr>
        <w:pStyle w:val="26"/>
        <w:spacing w:line="360" w:lineRule="auto"/>
        <w:ind w:firstLine="643"/>
        <w:rPr>
          <w:rFonts w:hint="eastAsia" w:ascii="仿宋" w:hAnsi="仿宋" w:eastAsia="仿宋" w:cs="仿宋"/>
          <w:b/>
          <w:bCs/>
          <w:sz w:val="32"/>
          <w:szCs w:val="32"/>
        </w:rPr>
      </w:pPr>
      <w:r>
        <w:rPr>
          <w:rFonts w:hint="eastAsia" w:ascii="仿宋" w:hAnsi="仿宋" w:eastAsia="仿宋" w:cs="仿宋"/>
          <w:b/>
          <w:bCs/>
          <w:sz w:val="32"/>
          <w:szCs w:val="32"/>
        </w:rPr>
        <w:t>1、项目调研阶段</w:t>
      </w:r>
    </w:p>
    <w:p w14:paraId="1A4DA9F0">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6</w:t>
      </w:r>
      <w:r>
        <w:rPr>
          <w:rFonts w:hint="eastAsia" w:ascii="仿宋" w:hAnsi="仿宋" w:eastAsia="仿宋" w:cs="仿宋"/>
          <w:sz w:val="32"/>
          <w:szCs w:val="32"/>
        </w:rPr>
        <w:t>月，标准起草工作组围绕</w:t>
      </w:r>
      <w:r>
        <w:rPr>
          <w:rFonts w:hint="eastAsia" w:ascii="仿宋" w:hAnsi="仿宋" w:eastAsia="仿宋" w:cs="仿宋"/>
          <w:sz w:val="32"/>
          <w:szCs w:val="32"/>
          <w:lang w:val="en-US" w:eastAsia="zh-CN"/>
        </w:rPr>
        <w:t>行业</w:t>
      </w:r>
      <w:r>
        <w:rPr>
          <w:rFonts w:hint="eastAsia" w:ascii="仿宋" w:hAnsi="仿宋" w:eastAsia="仿宋" w:cs="仿宋"/>
          <w:sz w:val="32"/>
          <w:szCs w:val="32"/>
        </w:rPr>
        <w:t>领域开展全面技术调研与专业咨询，广泛收集相关行业资料。结合国内</w:t>
      </w:r>
      <w:r>
        <w:rPr>
          <w:rFonts w:hint="eastAsia" w:ascii="仿宋" w:hAnsi="仿宋" w:eastAsia="仿宋" w:cs="仿宋"/>
          <w:sz w:val="32"/>
          <w:szCs w:val="32"/>
          <w:lang w:val="en-US" w:eastAsia="zh-CN"/>
        </w:rPr>
        <w:t>电力通信模型</w:t>
      </w:r>
      <w:r>
        <w:rPr>
          <w:rFonts w:hint="eastAsia" w:ascii="仿宋" w:hAnsi="仿宋" w:eastAsia="仿宋" w:cs="仿宋"/>
          <w:sz w:val="32"/>
          <w:szCs w:val="32"/>
        </w:rPr>
        <w:t>相关标准为核心参考依据，完成前期调研与资料梳理工作，为本标准编制奠定坚实技术基础。</w:t>
      </w:r>
    </w:p>
    <w:p w14:paraId="7A3CFD09">
      <w:pPr>
        <w:pStyle w:val="26"/>
        <w:spacing w:line="360" w:lineRule="auto"/>
        <w:ind w:firstLine="643"/>
        <w:rPr>
          <w:rFonts w:hint="eastAsia" w:ascii="仿宋" w:hAnsi="仿宋" w:eastAsia="仿宋" w:cs="仿宋"/>
          <w:b/>
          <w:bCs/>
          <w:sz w:val="32"/>
          <w:szCs w:val="32"/>
        </w:rPr>
      </w:pPr>
      <w:r>
        <w:rPr>
          <w:rFonts w:hint="eastAsia" w:ascii="仿宋" w:hAnsi="仿宋" w:eastAsia="仿宋" w:cs="仿宋"/>
          <w:b/>
          <w:bCs/>
          <w:sz w:val="32"/>
          <w:szCs w:val="32"/>
        </w:rPr>
        <w:t>2、项目立项阶段</w:t>
      </w:r>
    </w:p>
    <w:p w14:paraId="7A36A6FB">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日，中国西部开发促进会正式立项《</w:t>
      </w:r>
      <w:r>
        <w:rPr>
          <w:rFonts w:hint="eastAsia" w:ascii="仿宋" w:hAnsi="仿宋" w:eastAsia="仿宋" w:cs="仿宋"/>
          <w:sz w:val="32"/>
          <w:szCs w:val="32"/>
          <w:lang w:eastAsia="zh-CN"/>
        </w:rPr>
        <w:t>电力通信数据模型通用设计规范</w:t>
      </w:r>
      <w:r>
        <w:rPr>
          <w:rFonts w:hint="eastAsia" w:ascii="仿宋" w:hAnsi="仿宋" w:eastAsia="仿宋" w:cs="仿宋"/>
          <w:sz w:val="32"/>
          <w:szCs w:val="32"/>
        </w:rPr>
        <w:t>》团体标准，明确标准立项获批，正式启动该团体标准的规范化编制流程。</w:t>
      </w:r>
    </w:p>
    <w:p w14:paraId="27D74635">
      <w:pPr>
        <w:pStyle w:val="26"/>
        <w:spacing w:line="360" w:lineRule="auto"/>
        <w:ind w:firstLine="643"/>
        <w:rPr>
          <w:rFonts w:hint="eastAsia" w:ascii="仿宋" w:hAnsi="仿宋" w:eastAsia="仿宋" w:cs="仿宋"/>
          <w:b/>
          <w:bCs/>
          <w:sz w:val="32"/>
          <w:szCs w:val="32"/>
        </w:rPr>
      </w:pPr>
      <w:r>
        <w:rPr>
          <w:rFonts w:hint="eastAsia" w:ascii="仿宋" w:hAnsi="仿宋" w:eastAsia="仿宋" w:cs="仿宋"/>
          <w:b/>
          <w:bCs/>
          <w:sz w:val="32"/>
          <w:szCs w:val="32"/>
        </w:rPr>
        <w:t>3、标准起草阶段</w:t>
      </w:r>
    </w:p>
    <w:p w14:paraId="7387EC18">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立项后，成立标准编制工作起草小组，全面统筹标准编制组织工作，同步开展标准起草单位的筹备与征集，经严格征集、评审与筛选，确定标准起草工作组核心成员单位。工作组基于前期调研成果，于2026年</w:t>
      </w:r>
      <w:r>
        <w:rPr>
          <w:rFonts w:hint="eastAsia" w:ascii="仿宋" w:hAnsi="仿宋" w:eastAsia="仿宋" w:cs="仿宋"/>
          <w:sz w:val="32"/>
          <w:szCs w:val="32"/>
          <w:lang w:val="en-US" w:eastAsia="zh-CN"/>
        </w:rPr>
        <w:t>7</w:t>
      </w:r>
      <w:r>
        <w:rPr>
          <w:rFonts w:hint="eastAsia" w:ascii="仿宋" w:hAnsi="仿宋" w:eastAsia="仿宋" w:cs="仿宋"/>
          <w:sz w:val="32"/>
          <w:szCs w:val="32"/>
        </w:rPr>
        <w:t>月完成《</w:t>
      </w:r>
      <w:r>
        <w:rPr>
          <w:rFonts w:hint="eastAsia" w:ascii="仿宋" w:hAnsi="仿宋" w:eastAsia="仿宋" w:cs="仿宋"/>
          <w:sz w:val="32"/>
          <w:szCs w:val="32"/>
          <w:lang w:eastAsia="zh-CN"/>
        </w:rPr>
        <w:t>电力通信数据模型通用设计规范</w:t>
      </w:r>
      <w:r>
        <w:rPr>
          <w:rFonts w:hint="eastAsia" w:ascii="仿宋" w:hAnsi="仿宋" w:eastAsia="仿宋" w:cs="仿宋"/>
          <w:sz w:val="32"/>
          <w:szCs w:val="32"/>
        </w:rPr>
        <w:t>》团体标准草案稿编写；并于</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24</w:t>
      </w:r>
      <w:r>
        <w:rPr>
          <w:rFonts w:hint="eastAsia" w:ascii="仿宋" w:hAnsi="仿宋" w:eastAsia="仿宋" w:cs="仿宋"/>
          <w:sz w:val="32"/>
          <w:szCs w:val="32"/>
        </w:rPr>
        <w:t>日召开标准启动会议，针对草案稿内容研讨优化，完善标准框架与核心条款。</w:t>
      </w:r>
    </w:p>
    <w:p w14:paraId="3A1619F7">
      <w:pPr>
        <w:pStyle w:val="26"/>
        <w:spacing w:line="360" w:lineRule="auto"/>
        <w:ind w:firstLine="643"/>
        <w:rPr>
          <w:rFonts w:hint="eastAsia" w:ascii="仿宋" w:hAnsi="仿宋" w:eastAsia="仿宋" w:cs="仿宋"/>
          <w:b/>
          <w:bCs/>
          <w:sz w:val="32"/>
          <w:szCs w:val="32"/>
        </w:rPr>
      </w:pPr>
      <w:r>
        <w:rPr>
          <w:rFonts w:hint="eastAsia" w:ascii="仿宋" w:hAnsi="仿宋" w:eastAsia="仿宋" w:cs="仿宋"/>
          <w:b/>
          <w:bCs/>
          <w:sz w:val="32"/>
          <w:szCs w:val="32"/>
        </w:rPr>
        <w:t>4、意见征集阶段</w:t>
      </w:r>
    </w:p>
    <w:p w14:paraId="10CC5300">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日，中国西部开发促进会发布通知，面向行业公开征集《</w:t>
      </w:r>
      <w:r>
        <w:rPr>
          <w:rFonts w:hint="eastAsia" w:ascii="仿宋" w:hAnsi="仿宋" w:eastAsia="仿宋" w:cs="仿宋"/>
          <w:sz w:val="32"/>
          <w:szCs w:val="32"/>
          <w:lang w:eastAsia="zh-CN"/>
        </w:rPr>
        <w:t>电力通信数据模型通用设计规范</w:t>
      </w:r>
      <w:r>
        <w:rPr>
          <w:rFonts w:hint="eastAsia" w:ascii="仿宋" w:hAnsi="仿宋" w:eastAsia="仿宋" w:cs="仿宋"/>
          <w:sz w:val="32"/>
          <w:szCs w:val="32"/>
        </w:rPr>
        <w:t>》团体标准修改意见，广泛吸纳各方专业建议，对标准内容进行全面优化完善。</w:t>
      </w:r>
    </w:p>
    <w:p w14:paraId="6B9AD321">
      <w:pPr>
        <w:pStyle w:val="26"/>
        <w:widowControl w:val="0"/>
        <w:spacing w:line="360" w:lineRule="auto"/>
        <w:ind w:firstLine="640"/>
        <w:rPr>
          <w:rFonts w:hint="eastAsia" w:ascii="仿宋" w:hAnsi="仿宋" w:eastAsia="仿宋" w:cs="仿宋"/>
          <w:sz w:val="32"/>
          <w:szCs w:val="32"/>
        </w:rPr>
      </w:pPr>
      <w:r>
        <w:rPr>
          <w:rFonts w:hint="eastAsia" w:ascii="仿宋" w:hAnsi="仿宋" w:eastAsia="仿宋" w:cs="仿宋"/>
          <w:sz w:val="32"/>
          <w:szCs w:val="32"/>
        </w:rPr>
        <w:t>后续，标准起草工作组将结合意见征集阶段收集的反馈建议，对标准草案稿进行修订完善，并按流程进行送审及报批等工作。</w:t>
      </w:r>
    </w:p>
    <w:p w14:paraId="2E71ACF5">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五、标准主要内容</w:t>
      </w:r>
    </w:p>
    <w:p w14:paraId="472B0CAB">
      <w:pPr>
        <w:pStyle w:val="26"/>
        <w:ind w:firstLine="0" w:firstLineChars="0"/>
        <w:rPr>
          <w:rFonts w:hint="eastAsia" w:ascii="仿宋" w:hAnsi="仿宋" w:eastAsia="仿宋" w:cs="仿宋"/>
          <w:b/>
          <w:bCs/>
          <w:sz w:val="32"/>
          <w:szCs w:val="32"/>
        </w:rPr>
      </w:pPr>
      <w:r>
        <w:rPr>
          <w:rFonts w:hint="eastAsia" w:ascii="仿宋" w:hAnsi="仿宋" w:eastAsia="仿宋" w:cs="仿宋"/>
          <w:b/>
          <w:bCs/>
          <w:sz w:val="32"/>
          <w:szCs w:val="32"/>
        </w:rPr>
        <w:t>1、范围</w:t>
      </w:r>
    </w:p>
    <w:p w14:paraId="03F6D31B">
      <w:pPr>
        <w:pStyle w:val="33"/>
        <w:widowControl/>
        <w:autoSpaceDE w:val="0"/>
        <w:autoSpaceDN w:val="0"/>
        <w:spacing w:beforeAutospacing="0" w:afterAutospacing="0"/>
        <w:ind w:firstLine="640" w:firstLineChars="200"/>
        <w:rPr>
          <w:rFonts w:hint="eastAsia" w:ascii="仿宋" w:hAnsi="仿宋" w:eastAsia="仿宋" w:cs="仿宋"/>
          <w:sz w:val="32"/>
          <w:szCs w:val="32"/>
        </w:rPr>
      </w:pPr>
      <w:bookmarkStart w:id="35" w:name="OLE_LINK1"/>
      <w:bookmarkStart w:id="36" w:name="OLE_LINK2"/>
      <w:bookmarkStart w:id="37" w:name="_Toc304828067"/>
      <w:bookmarkStart w:id="38" w:name="_Toc298936925"/>
      <w:bookmarkStart w:id="39" w:name="_Toc309995391"/>
      <w:bookmarkStart w:id="40" w:name="_Toc298937550"/>
      <w:bookmarkStart w:id="41" w:name="_Toc309994552"/>
      <w:bookmarkStart w:id="42" w:name="_Toc298937168"/>
      <w:bookmarkStart w:id="43" w:name="_Toc298937358"/>
      <w:bookmarkStart w:id="44" w:name="_Toc298923384"/>
      <w:bookmarkStart w:id="45" w:name="_Toc298937153"/>
      <w:bookmarkStart w:id="46" w:name="_Toc309995473"/>
      <w:bookmarkStart w:id="47" w:name="_Toc304825009"/>
      <w:bookmarkStart w:id="48" w:name="_Toc304402665"/>
      <w:bookmarkStart w:id="49" w:name="_Toc310002638"/>
      <w:bookmarkStart w:id="50" w:name="_Toc304825082"/>
      <w:bookmarkStart w:id="51" w:name="_Toc298937189"/>
      <w:bookmarkStart w:id="52" w:name="_Toc17330"/>
      <w:bookmarkStart w:id="53" w:name="_Toc298937420"/>
      <w:bookmarkStart w:id="54" w:name="_Toc298937610"/>
      <w:bookmarkStart w:id="55" w:name="_Toc309996000"/>
      <w:bookmarkStart w:id="56" w:name="_Toc298936802"/>
      <w:bookmarkStart w:id="57" w:name="_Toc15783"/>
      <w:bookmarkStart w:id="58" w:name="_Toc298938636"/>
      <w:bookmarkStart w:id="59" w:name="_Toc298937202"/>
      <w:bookmarkStart w:id="60" w:name="_Toc298937323"/>
      <w:bookmarkStart w:id="61" w:name="_Toc298937463"/>
      <w:bookmarkStart w:id="62" w:name="_Toc304824970"/>
      <w:bookmarkStart w:id="63" w:name="_Toc298937101"/>
      <w:bookmarkStart w:id="64" w:name="_Toc298937277"/>
      <w:bookmarkStart w:id="65" w:name="_Toc309997041"/>
      <w:bookmarkStart w:id="66" w:name="_Toc309995579"/>
      <w:bookmarkStart w:id="67" w:name="_Toc309993181"/>
      <w:bookmarkStart w:id="68" w:name="_Toc298938784"/>
      <w:bookmarkStart w:id="69" w:name="_Toc499110427"/>
      <w:r>
        <w:rPr>
          <w:rFonts w:hint="eastAsia" w:ascii="仿宋" w:hAnsi="仿宋" w:eastAsia="仿宋" w:cs="仿宋"/>
          <w:sz w:val="32"/>
          <w:szCs w:val="32"/>
        </w:rPr>
        <w:t>本文件规定了电力通信通用数据模型的设计基本原则、整体架构分类、数据对象唯一标识编码规则、元数据管理与对象扩展的通用设计要求。</w:t>
      </w:r>
    </w:p>
    <w:p w14:paraId="679EDB85">
      <w:pPr>
        <w:pStyle w:val="33"/>
        <w:widowControl/>
        <w:autoSpaceDE w:val="0"/>
        <w:autoSpaceDN w:val="0"/>
        <w:spacing w:beforeAutospacing="0" w:afterAutospacing="0"/>
        <w:ind w:firstLine="640" w:firstLineChars="200"/>
        <w:rPr>
          <w:rFonts w:hint="eastAsia" w:ascii="仿宋" w:hAnsi="仿宋" w:eastAsia="仿宋" w:cs="仿宋"/>
          <w:sz w:val="32"/>
          <w:szCs w:val="32"/>
        </w:rPr>
      </w:pPr>
      <w:r>
        <w:rPr>
          <w:rFonts w:hint="eastAsia" w:ascii="仿宋" w:hAnsi="仿宋" w:eastAsia="仿宋" w:cs="仿宋"/>
          <w:sz w:val="32"/>
          <w:szCs w:val="32"/>
        </w:rPr>
        <w:t>本文件适用于电力通信系统的规划设计、建设实施、运行维护及跨系统数据共享交互。</w:t>
      </w:r>
    </w:p>
    <w:bookmarkEnd w:id="35"/>
    <w:bookmarkEnd w:id="36"/>
    <w:p w14:paraId="0A84BCA1">
      <w:pPr>
        <w:pStyle w:val="26"/>
        <w:ind w:firstLine="0" w:firstLineChars="0"/>
        <w:rPr>
          <w:rFonts w:hint="eastAsia" w:ascii="仿宋" w:hAnsi="仿宋" w:eastAsia="仿宋" w:cs="仿宋"/>
          <w:b/>
          <w:bCs/>
          <w:sz w:val="32"/>
          <w:szCs w:val="32"/>
        </w:rPr>
      </w:pPr>
      <w:r>
        <w:rPr>
          <w:rFonts w:hint="eastAsia" w:ascii="仿宋" w:hAnsi="仿宋" w:eastAsia="仿宋" w:cs="仿宋"/>
          <w:b/>
          <w:bCs/>
          <w:sz w:val="32"/>
          <w:szCs w:val="32"/>
        </w:rPr>
        <w:t>2、规范性引用文件</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Start w:id="70" w:name="BT2"/>
      <w:bookmarkEnd w:id="70"/>
      <w:bookmarkStart w:id="71" w:name="_Toc298936803"/>
      <w:bookmarkStart w:id="72" w:name="_Toc309995474"/>
      <w:bookmarkStart w:id="73" w:name="_Toc298937551"/>
      <w:bookmarkStart w:id="74" w:name="_Toc310002639"/>
      <w:bookmarkStart w:id="75" w:name="_Toc304402666"/>
      <w:bookmarkStart w:id="76" w:name="_Toc298937102"/>
      <w:bookmarkStart w:id="77" w:name="_Toc304825083"/>
      <w:bookmarkStart w:id="78" w:name="_Toc298937154"/>
      <w:bookmarkStart w:id="79" w:name="_Toc298937421"/>
      <w:bookmarkStart w:id="80" w:name="_Toc14492"/>
      <w:bookmarkStart w:id="81" w:name="_Toc298938637"/>
      <w:bookmarkStart w:id="82" w:name="_Toc499110428"/>
      <w:bookmarkStart w:id="83" w:name="_Toc298937278"/>
      <w:bookmarkStart w:id="84" w:name="_Toc304824971"/>
      <w:bookmarkStart w:id="85" w:name="_Toc309995392"/>
      <w:bookmarkStart w:id="86" w:name="_Toc309996001"/>
      <w:bookmarkStart w:id="87" w:name="_Toc309993182"/>
      <w:bookmarkStart w:id="88" w:name="_Toc298937464"/>
      <w:bookmarkStart w:id="89" w:name="_Toc298937190"/>
      <w:bookmarkStart w:id="90" w:name="_Toc309994553"/>
      <w:bookmarkStart w:id="91" w:name="_Toc309995580"/>
      <w:bookmarkStart w:id="92" w:name="_Toc298937611"/>
      <w:bookmarkStart w:id="93" w:name="_Toc304825010"/>
      <w:bookmarkStart w:id="94" w:name="_Toc298937359"/>
      <w:bookmarkStart w:id="95" w:name="_Toc298937203"/>
      <w:bookmarkStart w:id="96" w:name="_Toc309997042"/>
      <w:bookmarkStart w:id="97" w:name="_Toc304828068"/>
      <w:bookmarkStart w:id="98" w:name="_Toc298938785"/>
      <w:bookmarkStart w:id="99" w:name="_Toc20407"/>
      <w:bookmarkStart w:id="100" w:name="_Toc298937324"/>
      <w:bookmarkStart w:id="101" w:name="_Toc298936926"/>
      <w:bookmarkStart w:id="102" w:name="_Toc298937169"/>
    </w:p>
    <w:p w14:paraId="0D6A9B47">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523B82A">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2260  中华人民共和国行政区划代码标准</w:t>
      </w:r>
    </w:p>
    <w:p w14:paraId="2857714A">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18391.1  信息技术数据元的规范与标准化  第1部分：数据元的规范与标准化框架</w:t>
      </w:r>
    </w:p>
    <w:p w14:paraId="5EC2CB94">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 xml:space="preserve">GB/T 30149  电网通用模型描述规范 </w:t>
      </w:r>
    </w:p>
    <w:p w14:paraId="3864FE85">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GB/T 33590.2  智能电网调度控制系统技术规范  第2部分：术语</w:t>
      </w:r>
    </w:p>
    <w:p w14:paraId="43DD8156">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DL/T 1991  电力行业公共信息模型</w:t>
      </w:r>
    </w:p>
    <w:p w14:paraId="2A5DAE78">
      <w:pPr>
        <w:pStyle w:val="33"/>
        <w:widowControl/>
        <w:autoSpaceDE w:val="0"/>
        <w:autoSpaceDN w:val="0"/>
        <w:spacing w:beforeAutospacing="0" w:afterAutospacing="0"/>
        <w:ind w:firstLine="640" w:firstLineChars="200"/>
        <w:rPr>
          <w:rFonts w:hint="eastAsia" w:ascii="仿宋" w:hAnsi="仿宋" w:eastAsia="仿宋" w:cs="仿宋"/>
          <w:sz w:val="32"/>
          <w:szCs w:val="32"/>
          <w:lang w:bidi="zh-CN"/>
        </w:rPr>
      </w:pPr>
      <w:r>
        <w:rPr>
          <w:rFonts w:hint="eastAsia" w:ascii="仿宋" w:hAnsi="仿宋" w:eastAsia="仿宋" w:cs="仿宋"/>
          <w:sz w:val="32"/>
          <w:szCs w:val="32"/>
          <w:lang w:bidi="zh-CN"/>
        </w:rPr>
        <w:t>DL/T 5365  电力数据通信网络工程初步设计文件内容深度规定（附条文说明）</w:t>
      </w:r>
    </w:p>
    <w:p w14:paraId="512B5F76">
      <w:pPr>
        <w:pStyle w:val="139"/>
        <w:numPr>
          <w:ilvl w:val="0"/>
          <w:numId w:val="13"/>
        </w:numPr>
        <w:spacing w:before="312" w:after="312"/>
        <w:rPr>
          <w:rFonts w:hint="eastAsia" w:ascii="仿宋" w:hAnsi="仿宋" w:eastAsia="仿宋" w:cs="仿宋"/>
          <w:b/>
          <w:bCs/>
          <w:sz w:val="32"/>
          <w:szCs w:val="32"/>
        </w:rPr>
      </w:pPr>
      <w:r>
        <w:rPr>
          <w:rFonts w:hint="eastAsia" w:ascii="仿宋" w:hAnsi="仿宋" w:eastAsia="仿宋" w:cs="仿宋"/>
          <w:b/>
          <w:bCs/>
          <w:sz w:val="32"/>
          <w:szCs w:val="32"/>
        </w:rPr>
        <w:t>术语和定义</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Start w:id="103" w:name="_Toc24305"/>
      <w:bookmarkEnd w:id="103"/>
      <w:bookmarkStart w:id="104" w:name="_Toc31824"/>
      <w:bookmarkEnd w:id="104"/>
      <w:bookmarkStart w:id="105" w:name="_Toc28815"/>
      <w:bookmarkEnd w:id="105"/>
      <w:bookmarkStart w:id="106" w:name="_Toc23010"/>
      <w:bookmarkStart w:id="107" w:name="_Toc27503"/>
      <w:bookmarkStart w:id="108" w:name="_Toc53480577"/>
      <w:bookmarkStart w:id="109" w:name="_Toc53575559"/>
      <w:bookmarkStart w:id="110" w:name="_Toc24216"/>
      <w:bookmarkStart w:id="111" w:name="_Toc10606"/>
      <w:bookmarkStart w:id="112" w:name="_Hlk53576250"/>
      <w:bookmarkStart w:id="113" w:name="_Toc53480861"/>
      <w:bookmarkStart w:id="114" w:name="_Toc53587167"/>
      <w:bookmarkStart w:id="115" w:name="_Toc53501691"/>
    </w:p>
    <w:bookmarkEnd w:id="106"/>
    <w:bookmarkEnd w:id="107"/>
    <w:bookmarkEnd w:id="108"/>
    <w:bookmarkEnd w:id="109"/>
    <w:bookmarkEnd w:id="110"/>
    <w:bookmarkEnd w:id="111"/>
    <w:bookmarkEnd w:id="112"/>
    <w:bookmarkEnd w:id="113"/>
    <w:bookmarkEnd w:id="114"/>
    <w:bookmarkEnd w:id="115"/>
    <w:p w14:paraId="67C93C98">
      <w:pPr>
        <w:pStyle w:val="26"/>
        <w:ind w:firstLine="640"/>
        <w:rPr>
          <w:rFonts w:hint="eastAsia" w:ascii="仿宋" w:hAnsi="仿宋" w:eastAsia="仿宋" w:cs="仿宋"/>
          <w:sz w:val="32"/>
          <w:szCs w:val="32"/>
        </w:rPr>
      </w:pPr>
      <w:r>
        <w:rPr>
          <w:rFonts w:hint="eastAsia" w:ascii="仿宋" w:hAnsi="仿宋" w:eastAsia="仿宋" w:cs="仿宋"/>
          <w:sz w:val="32"/>
          <w:szCs w:val="32"/>
        </w:rPr>
        <w:t>下列术语和定义适用于本文件。</w:t>
      </w:r>
    </w:p>
    <w:p w14:paraId="1A28C574">
      <w:pPr>
        <w:pStyle w:val="26"/>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3.1</w:t>
      </w:r>
    </w:p>
    <w:p w14:paraId="7833D226">
      <w:pPr>
        <w:pStyle w:val="26"/>
        <w:ind w:firstLine="640"/>
        <w:rPr>
          <w:rFonts w:hint="eastAsia" w:ascii="仿宋" w:hAnsi="仿宋" w:eastAsia="仿宋" w:cs="仿宋"/>
          <w:sz w:val="32"/>
          <w:szCs w:val="32"/>
        </w:rPr>
      </w:pPr>
      <w:r>
        <w:rPr>
          <w:rFonts w:hint="eastAsia" w:ascii="仿宋" w:hAnsi="仿宋" w:eastAsia="仿宋" w:cs="仿宋"/>
          <w:sz w:val="32"/>
          <w:szCs w:val="32"/>
        </w:rPr>
        <w:t>电力通信通用数据模型  general data model for power communication</w:t>
      </w:r>
    </w:p>
    <w:p w14:paraId="50C26BBC">
      <w:pPr>
        <w:pStyle w:val="26"/>
        <w:ind w:firstLine="640"/>
        <w:rPr>
          <w:rFonts w:hint="eastAsia" w:ascii="仿宋" w:hAnsi="仿宋" w:eastAsia="仿宋" w:cs="仿宋"/>
          <w:sz w:val="32"/>
          <w:szCs w:val="32"/>
        </w:rPr>
      </w:pPr>
      <w:r>
        <w:rPr>
          <w:rFonts w:hint="eastAsia" w:ascii="仿宋" w:hAnsi="仿宋" w:eastAsia="仿宋" w:cs="仿宋"/>
          <w:sz w:val="32"/>
          <w:szCs w:val="32"/>
        </w:rPr>
        <w:t>对电力通信领域各类资源、运行状态、运维管理等数据对象进行统一抽象、标准化定义的结构化模型集合，是实现数据语义统一、跨系统交互共享的基础。</w:t>
      </w:r>
    </w:p>
    <w:p w14:paraId="0C596AB2">
      <w:pPr>
        <w:pStyle w:val="26"/>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3.2</w:t>
      </w:r>
    </w:p>
    <w:p w14:paraId="1EE023F2">
      <w:pPr>
        <w:pStyle w:val="26"/>
        <w:ind w:firstLine="640"/>
        <w:rPr>
          <w:rFonts w:hint="eastAsia" w:ascii="仿宋" w:hAnsi="仿宋" w:eastAsia="仿宋" w:cs="仿宋"/>
          <w:sz w:val="32"/>
          <w:szCs w:val="32"/>
        </w:rPr>
      </w:pPr>
      <w:r>
        <w:rPr>
          <w:rFonts w:hint="eastAsia" w:ascii="仿宋" w:hAnsi="仿宋" w:eastAsia="仿宋" w:cs="仿宋"/>
          <w:sz w:val="32"/>
          <w:szCs w:val="32"/>
        </w:rPr>
        <w:t>数据对象映射  data object mapping</w:t>
      </w:r>
    </w:p>
    <w:p w14:paraId="30779827">
      <w:pPr>
        <w:pStyle w:val="26"/>
        <w:ind w:firstLine="640"/>
        <w:rPr>
          <w:rFonts w:hint="eastAsia" w:ascii="仿宋" w:hAnsi="仿宋" w:eastAsia="仿宋" w:cs="仿宋"/>
          <w:sz w:val="32"/>
          <w:szCs w:val="32"/>
        </w:rPr>
      </w:pPr>
      <w:r>
        <w:rPr>
          <w:rFonts w:hint="eastAsia" w:ascii="仿宋" w:hAnsi="仿宋" w:eastAsia="仿宋" w:cs="仿宋"/>
          <w:sz w:val="32"/>
          <w:szCs w:val="32"/>
        </w:rPr>
        <w:t>不同业务系统间，数据对象的属性定义、关联关系的对应转换规则，用于实现异构系统间的数据一致性对齐。</w:t>
      </w:r>
    </w:p>
    <w:p w14:paraId="32C456F3">
      <w:pPr>
        <w:pStyle w:val="26"/>
        <w:numPr>
          <w:ilvl w:val="0"/>
          <w:numId w:val="13"/>
        </w:numPr>
        <w:ind w:firstLine="0" w:firstLineChars="0"/>
        <w:rPr>
          <w:rFonts w:hint="eastAsia" w:ascii="仿宋" w:hAnsi="仿宋" w:eastAsia="仿宋" w:cs="仿宋"/>
          <w:b/>
          <w:bCs/>
          <w:kern w:val="2"/>
          <w:sz w:val="32"/>
          <w:szCs w:val="32"/>
        </w:rPr>
      </w:pPr>
      <w:r>
        <w:rPr>
          <w:rFonts w:hint="eastAsia" w:ascii="仿宋" w:hAnsi="仿宋" w:eastAsia="仿宋" w:cs="仿宋"/>
          <w:b/>
          <w:bCs/>
          <w:kern w:val="2"/>
          <w:sz w:val="32"/>
          <w:szCs w:val="32"/>
          <w:lang w:val="en-US" w:eastAsia="zh-CN"/>
        </w:rPr>
        <w:t>缩略语</w:t>
      </w:r>
    </w:p>
    <w:p w14:paraId="373DA6D3">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本部分</w:t>
      </w:r>
      <w:r>
        <w:rPr>
          <w:rFonts w:hint="eastAsia" w:ascii="仿宋_GB2312" w:hAnsi="宋体" w:eastAsia="仿宋_GB2312" w:cs="宋体"/>
          <w:color w:val="000000"/>
          <w:sz w:val="32"/>
          <w:szCs w:val="32"/>
          <w:lang w:val="en-US" w:eastAsia="zh-CN"/>
        </w:rPr>
        <w:t>对</w:t>
      </w:r>
      <w:r>
        <w:rPr>
          <w:rFonts w:hint="eastAsia" w:ascii="仿宋_GB2312" w:hAnsi="宋体" w:eastAsia="仿宋_GB2312" w:cs="宋体"/>
          <w:color w:val="000000"/>
          <w:sz w:val="32"/>
          <w:szCs w:val="32"/>
          <w:lang w:eastAsia="zh-CN"/>
        </w:rPr>
        <w:t>电力通信通用数据模型的</w:t>
      </w:r>
      <w:r>
        <w:rPr>
          <w:rFonts w:hint="eastAsia" w:ascii="仿宋_GB2312" w:hAnsi="宋体" w:eastAsia="仿宋_GB2312" w:cs="宋体"/>
          <w:color w:val="000000"/>
          <w:sz w:val="32"/>
          <w:szCs w:val="32"/>
          <w:lang w:val="en-US" w:eastAsia="zh-CN"/>
        </w:rPr>
        <w:t>缩略语进行规定</w:t>
      </w:r>
      <w:r>
        <w:rPr>
          <w:rFonts w:hint="eastAsia" w:ascii="仿宋_GB2312" w:hAnsi="宋体" w:eastAsia="仿宋_GB2312" w:cs="宋体"/>
          <w:color w:val="000000"/>
          <w:sz w:val="32"/>
          <w:szCs w:val="32"/>
        </w:rPr>
        <w:t>。</w:t>
      </w:r>
    </w:p>
    <w:p w14:paraId="1B721686">
      <w:pPr>
        <w:pStyle w:val="26"/>
        <w:numPr>
          <w:ilvl w:val="0"/>
          <w:numId w:val="13"/>
        </w:numPr>
        <w:ind w:firstLine="0" w:firstLineChars="0"/>
        <w:rPr>
          <w:rFonts w:hint="eastAsia" w:ascii="仿宋" w:hAnsi="仿宋" w:eastAsia="仿宋" w:cs="仿宋"/>
          <w:b/>
          <w:bCs/>
          <w:kern w:val="2"/>
          <w:sz w:val="32"/>
          <w:szCs w:val="32"/>
        </w:rPr>
      </w:pPr>
      <w:r>
        <w:rPr>
          <w:rFonts w:hint="eastAsia" w:ascii="仿宋" w:hAnsi="仿宋" w:eastAsia="仿宋" w:cs="仿宋"/>
          <w:b/>
          <w:bCs/>
          <w:kern w:val="2"/>
          <w:sz w:val="32"/>
          <w:szCs w:val="32"/>
          <w:lang w:val="en-US" w:eastAsia="zh-CN"/>
        </w:rPr>
        <w:t>总则</w:t>
      </w:r>
    </w:p>
    <w:p w14:paraId="1A82492D">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本部分</w:t>
      </w:r>
      <w:r>
        <w:rPr>
          <w:rFonts w:hint="eastAsia" w:ascii="仿宋_GB2312" w:hAnsi="宋体" w:eastAsia="仿宋_GB2312" w:cs="宋体"/>
          <w:color w:val="000000"/>
          <w:sz w:val="32"/>
          <w:szCs w:val="32"/>
          <w:lang w:val="en-US" w:eastAsia="zh-CN"/>
        </w:rPr>
        <w:t>规范了电力通信通用数据模型的</w:t>
      </w:r>
      <w:r>
        <w:rPr>
          <w:rFonts w:hint="eastAsia" w:ascii="仿宋_GB2312" w:hAnsi="宋体" w:eastAsia="仿宋_GB2312" w:cs="宋体"/>
          <w:color w:val="000000"/>
          <w:sz w:val="32"/>
          <w:szCs w:val="32"/>
          <w:lang w:eastAsia="zh-CN"/>
        </w:rPr>
        <w:t>总则</w:t>
      </w:r>
      <w:r>
        <w:rPr>
          <w:rFonts w:hint="eastAsia" w:ascii="仿宋_GB2312" w:hAnsi="宋体" w:eastAsia="仿宋_GB2312" w:cs="宋体"/>
          <w:color w:val="000000"/>
          <w:sz w:val="32"/>
          <w:szCs w:val="32"/>
          <w:lang w:val="en-US" w:eastAsia="zh-CN"/>
        </w:rPr>
        <w:t>等要求</w:t>
      </w:r>
      <w:r>
        <w:rPr>
          <w:rFonts w:hint="eastAsia" w:ascii="仿宋_GB2312" w:hAnsi="宋体" w:eastAsia="仿宋_GB2312" w:cs="宋体"/>
          <w:color w:val="000000"/>
          <w:sz w:val="32"/>
          <w:szCs w:val="32"/>
        </w:rPr>
        <w:t>。</w:t>
      </w:r>
    </w:p>
    <w:p w14:paraId="70C7E787">
      <w:pPr>
        <w:pStyle w:val="26"/>
        <w:numPr>
          <w:ilvl w:val="0"/>
          <w:numId w:val="13"/>
        </w:numPr>
        <w:ind w:firstLine="0" w:firstLineChars="0"/>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模型设计</w:t>
      </w:r>
    </w:p>
    <w:p w14:paraId="2F7D26B7">
      <w:pPr>
        <w:pStyle w:val="165"/>
        <w:ind w:firstLine="640"/>
        <w:rPr>
          <w:rFonts w:hint="eastAsia" w:ascii="仿宋" w:hAnsi="仿宋" w:eastAsia="仿宋" w:cs="仿宋"/>
          <w:sz w:val="32"/>
          <w:szCs w:val="32"/>
        </w:rPr>
      </w:pPr>
      <w:r>
        <w:rPr>
          <w:rFonts w:hint="eastAsia" w:ascii="仿宋" w:hAnsi="仿宋" w:eastAsia="仿宋" w:cs="仿宋"/>
          <w:sz w:val="32"/>
          <w:szCs w:val="32"/>
        </w:rPr>
        <w:t>本部分对</w:t>
      </w:r>
      <w:r>
        <w:rPr>
          <w:rFonts w:hint="eastAsia" w:ascii="仿宋" w:hAnsi="仿宋" w:eastAsia="仿宋" w:cs="仿宋"/>
          <w:sz w:val="32"/>
          <w:szCs w:val="32"/>
          <w:lang w:eastAsia="zh-CN"/>
        </w:rPr>
        <w:t>电力通信通用数据模型的</w:t>
      </w:r>
      <w:r>
        <w:rPr>
          <w:rFonts w:hint="eastAsia" w:ascii="仿宋" w:hAnsi="仿宋" w:eastAsia="仿宋" w:cs="仿宋"/>
          <w:sz w:val="32"/>
          <w:szCs w:val="32"/>
          <w:lang w:val="en-US" w:eastAsia="zh-CN"/>
        </w:rPr>
        <w:t>模型设计进行规定</w:t>
      </w:r>
      <w:r>
        <w:rPr>
          <w:rFonts w:hint="eastAsia" w:ascii="仿宋" w:hAnsi="仿宋" w:eastAsia="仿宋" w:cs="仿宋"/>
          <w:sz w:val="32"/>
          <w:szCs w:val="32"/>
        </w:rPr>
        <w:t>。</w:t>
      </w:r>
    </w:p>
    <w:p w14:paraId="1F323B41">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六、标准水平分析</w:t>
      </w:r>
    </w:p>
    <w:p w14:paraId="49D765F3">
      <w:pPr>
        <w:spacing w:before="156" w:beforeLines="50" w:after="156" w:afterLines="5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6.1采用国际标准和国外先进标准的程度</w:t>
      </w:r>
    </w:p>
    <w:p w14:paraId="649F3D9F">
      <w:pPr>
        <w:spacing w:before="156" w:beforeLines="50" w:after="156" w:afterLines="50"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经查，国内外无相同类型的标准，故没有相应的国内外标准可采用。</w:t>
      </w:r>
    </w:p>
    <w:p w14:paraId="0E5A0B05">
      <w:pPr>
        <w:spacing w:before="156" w:beforeLines="50" w:after="156" w:afterLines="5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6.2与国际标准及国外标准水平对比</w:t>
      </w:r>
    </w:p>
    <w:p w14:paraId="66DFC7E8">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本标准达到国内先进水平。</w:t>
      </w:r>
    </w:p>
    <w:p w14:paraId="74ADF87C">
      <w:pPr>
        <w:spacing w:before="156" w:beforeLines="50" w:after="156" w:afterLines="5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6.3与现有标准及制定中的标准协调配套情况</w:t>
      </w:r>
    </w:p>
    <w:p w14:paraId="6E68DF36">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本标准的制定与现有的标准及制定中的标准协调配套，无重复交叉现象。</w:t>
      </w:r>
    </w:p>
    <w:p w14:paraId="3406E990">
      <w:pPr>
        <w:spacing w:before="156" w:beforeLines="50" w:after="156" w:afterLines="5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6.4设计国内外专利及处置情况</w:t>
      </w:r>
    </w:p>
    <w:p w14:paraId="57A9E62E">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经查，本标准没有涉及国内外专利。</w:t>
      </w:r>
    </w:p>
    <w:p w14:paraId="0E3AEC7C">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七、与有关的现行法律、法规和强制性国家标准及相关标准协调配套情况</w:t>
      </w:r>
    </w:p>
    <w:p w14:paraId="176ED774">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本标准的制定过程、技术指标的选定、检验项目的设置符合现行法律、法规和强制性国家标准的规定。</w:t>
      </w:r>
    </w:p>
    <w:p w14:paraId="419DD82C">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八、重大分歧意见的处理经过和依据</w:t>
      </w:r>
    </w:p>
    <w:p w14:paraId="7B06D915">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77C45D7B">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九、标准作为强制性或推荐性标准的建议</w:t>
      </w:r>
    </w:p>
    <w:p w14:paraId="5C138B44">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建议该标准作为推荐性团体标准。</w:t>
      </w:r>
    </w:p>
    <w:p w14:paraId="7FAA26F1">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十、贯彻标准的要求和措施建议，包括（组织措施、技术措施、过渡办法）</w:t>
      </w:r>
    </w:p>
    <w:p w14:paraId="32925B1B">
      <w:pPr>
        <w:pStyle w:val="56"/>
        <w:numPr>
          <w:ilvl w:val="1"/>
          <w:numId w:val="0"/>
        </w:numPr>
        <w:spacing w:before="156" w:after="156"/>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由于本标准首次制定，没有特殊要求。</w:t>
      </w:r>
    </w:p>
    <w:p w14:paraId="35E4CE26">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十一、废止现有有关标准的建议</w:t>
      </w:r>
    </w:p>
    <w:p w14:paraId="0C2E30F2">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42D507BE">
      <w:pPr>
        <w:spacing w:line="360" w:lineRule="auto"/>
        <w:rPr>
          <w:rFonts w:hint="eastAsia" w:ascii="仿宋_GB2312" w:hAnsi="宋体" w:eastAsia="仿宋_GB2312" w:cs="宋体"/>
          <w:color w:val="000000"/>
          <w:sz w:val="32"/>
          <w:szCs w:val="32"/>
        </w:rPr>
      </w:pPr>
    </w:p>
    <w:p w14:paraId="15AA6302">
      <w:pPr>
        <w:pStyle w:val="26"/>
        <w:numPr>
          <w:ilvl w:val="255"/>
          <w:numId w:val="0"/>
        </w:numPr>
        <w:ind w:firstLine="1920" w:firstLineChars="600"/>
        <w:jc w:val="right"/>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电力通信数据模型通用设计规范</w:t>
      </w:r>
      <w:r>
        <w:rPr>
          <w:rFonts w:hint="eastAsia" w:ascii="仿宋" w:hAnsi="仿宋" w:eastAsia="仿宋" w:cs="仿宋"/>
          <w:sz w:val="32"/>
          <w:szCs w:val="32"/>
        </w:rPr>
        <w:t>》</w:t>
      </w:r>
    </w:p>
    <w:p w14:paraId="1113CCFE">
      <w:pPr>
        <w:pStyle w:val="26"/>
        <w:numPr>
          <w:ilvl w:val="255"/>
          <w:numId w:val="0"/>
        </w:numPr>
        <w:wordWrap w:val="0"/>
        <w:jc w:val="cente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团体标准起草组</w:t>
      </w:r>
    </w:p>
    <w:p w14:paraId="312BC785">
      <w:pPr>
        <w:pStyle w:val="26"/>
        <w:numPr>
          <w:ilvl w:val="255"/>
          <w:numId w:val="0"/>
        </w:numPr>
        <w:wordWrap w:val="0"/>
        <w:ind w:firstLine="6400" w:firstLineChars="2000"/>
        <w:rPr>
          <w:rFonts w:hint="eastAsia" w:ascii="仿宋" w:hAnsi="仿宋" w:eastAsia="仿宋" w:cs="仿宋"/>
          <w:color w:val="000000"/>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月    </w:t>
      </w:r>
    </w:p>
    <w:sectPr>
      <w:footerReference r:id="rId4" w:type="default"/>
      <w:headerReference r:id="rId3" w:type="even"/>
      <w:footerReference r:id="rId5" w:type="even"/>
      <w:pgSz w:w="11906" w:h="16838"/>
      <w:pgMar w:top="1440" w:right="1800" w:bottom="1440" w:left="1800"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E5213">
    <w:pPr>
      <w:pStyle w:val="20"/>
      <w:rPr>
        <w:rFonts w:hint="eastAsia"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8615">
    <w:pPr>
      <w:pStyle w:val="20"/>
      <w:ind w:firstLine="180" w:firstLineChars="100"/>
      <w:jc w:val="left"/>
      <w:rPr>
        <w:rFonts w:hint="eastAsia"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B38AF">
    <w:pPr>
      <w:pStyle w:val="87"/>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81ACD"/>
    <w:multiLevelType w:val="singleLevel"/>
    <w:tmpl w:val="F2D81ACD"/>
    <w:lvl w:ilvl="0" w:tentative="0">
      <w:start w:val="2"/>
      <w:numFmt w:val="chineseCounting"/>
      <w:suff w:val="nothing"/>
      <w:lvlText w:val="%1、"/>
      <w:lvlJc w:val="left"/>
      <w:rPr>
        <w:rFonts w:hint="eastAsia"/>
      </w:rPr>
    </w:lvl>
  </w:abstractNum>
  <w:abstractNum w:abstractNumId="1">
    <w:nsid w:val="FA49A52F"/>
    <w:multiLevelType w:val="singleLevel"/>
    <w:tmpl w:val="FA49A52F"/>
    <w:lvl w:ilvl="0" w:tentative="0">
      <w:start w:val="3"/>
      <w:numFmt w:val="decimal"/>
      <w:suff w:val="nothing"/>
      <w:lvlText w:val="%1、"/>
      <w:lvlJc w:val="left"/>
    </w:lvl>
  </w:abstractNum>
  <w:abstractNum w:abstractNumId="2">
    <w:nsid w:val="0F3812E5"/>
    <w:multiLevelType w:val="multilevel"/>
    <w:tmpl w:val="0F3812E5"/>
    <w:lvl w:ilvl="0" w:tentative="0">
      <w:start w:val="1"/>
      <w:numFmt w:val="none"/>
      <w:suff w:val="nothing"/>
      <w:lvlText w:val="%1"/>
      <w:lvlJc w:val="left"/>
      <w:pPr>
        <w:ind w:left="0" w:firstLine="0"/>
      </w:pPr>
      <w:rPr>
        <w:rFonts w:hint="eastAsia"/>
      </w:rPr>
    </w:lvl>
    <w:lvl w:ilvl="1" w:tentative="0">
      <w:start w:val="3"/>
      <w:numFmt w:val="decimal"/>
      <w:pStyle w:val="169"/>
      <w:suff w:val="nothing"/>
      <w:lvlText w:val="%1%2　"/>
      <w:lvlJc w:val="left"/>
      <w:pPr>
        <w:ind w:left="0" w:firstLine="0"/>
      </w:pPr>
      <w:rPr>
        <w:rFonts w:hint="default" w:ascii="黑体" w:eastAsia="黑体"/>
        <w:b w:val="0"/>
        <w:i w:val="0"/>
        <w:sz w:val="21"/>
      </w:rPr>
    </w:lvl>
    <w:lvl w:ilvl="2" w:tentative="0">
      <w:start w:val="1"/>
      <w:numFmt w:val="decimal"/>
      <w:pStyle w:val="168"/>
      <w:suff w:val="nothing"/>
      <w:lvlText w:val="%1%2.%3　"/>
      <w:lvlJc w:val="left"/>
      <w:pPr>
        <w:tabs>
          <w:tab w:val="left" w:pos="0"/>
        </w:tabs>
        <w:ind w:left="0"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8"/>
        <w:szCs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1DBF583A"/>
    <w:multiLevelType w:val="multilevel"/>
    <w:tmpl w:val="1DBF583A"/>
    <w:lvl w:ilvl="0" w:tentative="0">
      <w:start w:val="1"/>
      <w:numFmt w:val="decimal"/>
      <w:pStyle w:val="10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4">
    <w:nsid w:val="1FC91163"/>
    <w:multiLevelType w:val="multilevel"/>
    <w:tmpl w:val="1FC91163"/>
    <w:lvl w:ilvl="0" w:tentative="0">
      <w:start w:val="1"/>
      <w:numFmt w:val="decimal"/>
      <w:pStyle w:val="1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5"/>
      <w:suff w:val="nothing"/>
      <w:lvlText w:val="%1.%2.%3　"/>
      <w:lvlJc w:val="left"/>
      <w:pPr>
        <w:ind w:left="0" w:firstLine="0"/>
      </w:pPr>
      <w:rPr>
        <w:rFonts w:hint="eastAsia" w:ascii="黑体" w:hAnsi="Times New Roman" w:eastAsia="黑体"/>
        <w:b w:val="0"/>
        <w:i w:val="0"/>
        <w:sz w:val="21"/>
      </w:rPr>
    </w:lvl>
    <w:lvl w:ilvl="3" w:tentative="0">
      <w:start w:val="1"/>
      <w:numFmt w:val="decimal"/>
      <w:pStyle w:val="58"/>
      <w:suff w:val="nothing"/>
      <w:lvlText w:val="%1.%2.%3.%4　"/>
      <w:lvlJc w:val="left"/>
      <w:pPr>
        <w:ind w:left="283"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A8F7113"/>
    <w:multiLevelType w:val="multilevel"/>
    <w:tmpl w:val="2A8F7113"/>
    <w:lvl w:ilvl="0" w:tentative="0">
      <w:start w:val="1"/>
      <w:numFmt w:val="upperLetter"/>
      <w:pStyle w:val="96"/>
      <w:suff w:val="space"/>
      <w:lvlText w:val="%1"/>
      <w:lvlJc w:val="left"/>
      <w:pPr>
        <w:ind w:left="623" w:hanging="425"/>
      </w:pPr>
      <w:rPr>
        <w:rFonts w:hint="eastAsia"/>
      </w:rPr>
    </w:lvl>
    <w:lvl w:ilvl="1" w:tentative="0">
      <w:start w:val="1"/>
      <w:numFmt w:val="decimal"/>
      <w:pStyle w:val="141"/>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132"/>
      <w:suff w:val="nothing"/>
      <w:lvlText w:val="%1——"/>
      <w:lvlJc w:val="left"/>
      <w:pPr>
        <w:ind w:left="833" w:hanging="408"/>
      </w:pPr>
      <w:rPr>
        <w:rFonts w:hint="eastAsia"/>
      </w:rPr>
    </w:lvl>
    <w:lvl w:ilvl="1" w:tentative="0">
      <w:start w:val="1"/>
      <w:numFmt w:val="bullet"/>
      <w:pStyle w:val="114"/>
      <w:lvlText w:val=""/>
      <w:lvlJc w:val="left"/>
      <w:pPr>
        <w:tabs>
          <w:tab w:val="left" w:pos="760"/>
        </w:tabs>
        <w:ind w:left="1264" w:hanging="413"/>
      </w:pPr>
      <w:rPr>
        <w:rFonts w:hint="default" w:ascii="Symbol" w:hAnsi="Symbol"/>
        <w:color w:val="auto"/>
      </w:rPr>
    </w:lvl>
    <w:lvl w:ilvl="2" w:tentative="0">
      <w:start w:val="1"/>
      <w:numFmt w:val="bullet"/>
      <w:pStyle w:val="10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tentative="0">
      <w:start w:val="1"/>
      <w:numFmt w:val="lowerLetter"/>
      <w:pStyle w:val="11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2"/>
      <w:lvlText w:val="%2)"/>
      <w:lvlJc w:val="left"/>
      <w:pPr>
        <w:tabs>
          <w:tab w:val="left" w:pos="1260"/>
        </w:tabs>
        <w:ind w:left="1259" w:hanging="419"/>
      </w:pPr>
      <w:rPr>
        <w:rFonts w:hint="eastAsia"/>
      </w:rPr>
    </w:lvl>
    <w:lvl w:ilvl="2" w:tentative="0">
      <w:start w:val="1"/>
      <w:numFmt w:val="decimal"/>
      <w:pStyle w:val="13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60B55DC2"/>
    <w:multiLevelType w:val="multilevel"/>
    <w:tmpl w:val="60B55DC2"/>
    <w:lvl w:ilvl="0" w:tentative="0">
      <w:start w:val="1"/>
      <w:numFmt w:val="upperLetter"/>
      <w:pStyle w:val="152"/>
      <w:lvlText w:val="%1"/>
      <w:lvlJc w:val="left"/>
      <w:pPr>
        <w:tabs>
          <w:tab w:val="left" w:pos="0"/>
        </w:tabs>
        <w:ind w:left="0" w:hanging="425"/>
      </w:pPr>
      <w:rPr>
        <w:rFonts w:hint="eastAsia"/>
      </w:rPr>
    </w:lvl>
    <w:lvl w:ilvl="1" w:tentative="0">
      <w:start w:val="1"/>
      <w:numFmt w:val="decimal"/>
      <w:pStyle w:val="97"/>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57D3FBC"/>
    <w:multiLevelType w:val="multilevel"/>
    <w:tmpl w:val="657D3FBC"/>
    <w:lvl w:ilvl="0" w:tentative="0">
      <w:start w:val="1"/>
      <w:numFmt w:val="upperLetter"/>
      <w:pStyle w:val="10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3"/>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D6C07CD"/>
    <w:multiLevelType w:val="multilevel"/>
    <w:tmpl w:val="6D6C07CD"/>
    <w:lvl w:ilvl="0" w:tentative="0">
      <w:start w:val="1"/>
      <w:numFmt w:val="lowerLetter"/>
      <w:pStyle w:val="129"/>
      <w:lvlText w:val="%1)"/>
      <w:lvlJc w:val="left"/>
      <w:pPr>
        <w:tabs>
          <w:tab w:val="left" w:pos="839"/>
        </w:tabs>
        <w:ind w:left="839" w:hanging="419"/>
      </w:pPr>
      <w:rPr>
        <w:rFonts w:hint="eastAsia" w:ascii="宋体" w:eastAsia="宋体"/>
        <w:b w:val="0"/>
        <w:i w:val="0"/>
        <w:sz w:val="21"/>
      </w:rPr>
    </w:lvl>
    <w:lvl w:ilvl="1" w:tentative="0">
      <w:start w:val="1"/>
      <w:numFmt w:val="decimal"/>
      <w:pStyle w:val="8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7"/>
  </w:num>
  <w:num w:numId="2">
    <w:abstractNumId w:val="4"/>
  </w:num>
  <w:num w:numId="3">
    <w:abstractNumId w:val="10"/>
  </w:num>
  <w:num w:numId="4">
    <w:abstractNumId w:val="12"/>
  </w:num>
  <w:num w:numId="5">
    <w:abstractNumId w:val="5"/>
  </w:num>
  <w:num w:numId="6">
    <w:abstractNumId w:val="9"/>
  </w:num>
  <w:num w:numId="7">
    <w:abstractNumId w:val="3"/>
  </w:num>
  <w:num w:numId="8">
    <w:abstractNumId w:val="6"/>
  </w:num>
  <w:num w:numId="9">
    <w:abstractNumId w:val="8"/>
  </w:num>
  <w:num w:numId="10">
    <w:abstractNumId w:val="2"/>
  </w:num>
  <w:num w:numId="11">
    <w:abstractNumId w:val="11"/>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attachedTemplate r:id="rId1"/>
  <w:documentProtection w:edit="forms"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3OGJiOTVkZTA3ZGVkZWNiZTFjYzA0ZGYxNjRjZjUifQ=="/>
  </w:docVars>
  <w:rsids>
    <w:rsidRoot w:val="00650531"/>
    <w:rsid w:val="00000244"/>
    <w:rsid w:val="0000025A"/>
    <w:rsid w:val="0000185F"/>
    <w:rsid w:val="00002107"/>
    <w:rsid w:val="00002850"/>
    <w:rsid w:val="00002B97"/>
    <w:rsid w:val="000050B2"/>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2D8F"/>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0A8"/>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3113"/>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5B5"/>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4D9F"/>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8F"/>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1EDB"/>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D37"/>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BCF"/>
    <w:rsid w:val="00F075D1"/>
    <w:rsid w:val="00F11139"/>
    <w:rsid w:val="00F11296"/>
    <w:rsid w:val="00F11BB5"/>
    <w:rsid w:val="00F122E2"/>
    <w:rsid w:val="00F13830"/>
    <w:rsid w:val="00F1417B"/>
    <w:rsid w:val="00F14911"/>
    <w:rsid w:val="00F14963"/>
    <w:rsid w:val="00F15DA5"/>
    <w:rsid w:val="00F1679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8B718A"/>
    <w:rsid w:val="01927D66"/>
    <w:rsid w:val="01B22FF0"/>
    <w:rsid w:val="02057360"/>
    <w:rsid w:val="02194A13"/>
    <w:rsid w:val="02626557"/>
    <w:rsid w:val="029A1D6D"/>
    <w:rsid w:val="02DA1673"/>
    <w:rsid w:val="036A76D3"/>
    <w:rsid w:val="03962305"/>
    <w:rsid w:val="03C42F60"/>
    <w:rsid w:val="03F9277D"/>
    <w:rsid w:val="042E630D"/>
    <w:rsid w:val="047459CF"/>
    <w:rsid w:val="04A037AB"/>
    <w:rsid w:val="04B769D7"/>
    <w:rsid w:val="04D4494D"/>
    <w:rsid w:val="0537491E"/>
    <w:rsid w:val="057B5C57"/>
    <w:rsid w:val="05904C71"/>
    <w:rsid w:val="05F23A3F"/>
    <w:rsid w:val="066162C0"/>
    <w:rsid w:val="06EB3D51"/>
    <w:rsid w:val="06F3448F"/>
    <w:rsid w:val="071B7D16"/>
    <w:rsid w:val="07352AE7"/>
    <w:rsid w:val="07504EC1"/>
    <w:rsid w:val="07634114"/>
    <w:rsid w:val="07D4164E"/>
    <w:rsid w:val="083245C7"/>
    <w:rsid w:val="086452DB"/>
    <w:rsid w:val="089C18DA"/>
    <w:rsid w:val="08D5292B"/>
    <w:rsid w:val="094B2BCC"/>
    <w:rsid w:val="09D01CF6"/>
    <w:rsid w:val="0AC4273A"/>
    <w:rsid w:val="0AE4604C"/>
    <w:rsid w:val="0B243148"/>
    <w:rsid w:val="0B3D2AD9"/>
    <w:rsid w:val="0B536728"/>
    <w:rsid w:val="0BA13D85"/>
    <w:rsid w:val="0C122745"/>
    <w:rsid w:val="0C157BD6"/>
    <w:rsid w:val="0C1A784C"/>
    <w:rsid w:val="0C5E2F49"/>
    <w:rsid w:val="0C8D427D"/>
    <w:rsid w:val="0CD342B6"/>
    <w:rsid w:val="0DA9093F"/>
    <w:rsid w:val="0E290DBD"/>
    <w:rsid w:val="0E4D4CDF"/>
    <w:rsid w:val="0E8A2A67"/>
    <w:rsid w:val="0E9B6AB7"/>
    <w:rsid w:val="0F8B22AC"/>
    <w:rsid w:val="0FED6A04"/>
    <w:rsid w:val="102A64CE"/>
    <w:rsid w:val="10F07A96"/>
    <w:rsid w:val="1132553A"/>
    <w:rsid w:val="116D7696"/>
    <w:rsid w:val="119500A0"/>
    <w:rsid w:val="11D95B65"/>
    <w:rsid w:val="11EF2883"/>
    <w:rsid w:val="11F36B75"/>
    <w:rsid w:val="12364371"/>
    <w:rsid w:val="12512550"/>
    <w:rsid w:val="12CD45BC"/>
    <w:rsid w:val="12CF6372"/>
    <w:rsid w:val="13F54E26"/>
    <w:rsid w:val="148D41AD"/>
    <w:rsid w:val="14CF174C"/>
    <w:rsid w:val="14E47D71"/>
    <w:rsid w:val="150A274F"/>
    <w:rsid w:val="153C0D7C"/>
    <w:rsid w:val="15483208"/>
    <w:rsid w:val="159B1B8F"/>
    <w:rsid w:val="15F97F17"/>
    <w:rsid w:val="162735CA"/>
    <w:rsid w:val="16C70262"/>
    <w:rsid w:val="16F84A8E"/>
    <w:rsid w:val="172D440A"/>
    <w:rsid w:val="173B6C95"/>
    <w:rsid w:val="178D48F7"/>
    <w:rsid w:val="189E24DB"/>
    <w:rsid w:val="18E11E1D"/>
    <w:rsid w:val="196E7664"/>
    <w:rsid w:val="198F7ACB"/>
    <w:rsid w:val="19C51C3C"/>
    <w:rsid w:val="19D4303C"/>
    <w:rsid w:val="1A2067E1"/>
    <w:rsid w:val="1A6A4539"/>
    <w:rsid w:val="1BCD48DA"/>
    <w:rsid w:val="1C056A2C"/>
    <w:rsid w:val="1C994529"/>
    <w:rsid w:val="1CFF27DF"/>
    <w:rsid w:val="1D0410D7"/>
    <w:rsid w:val="1D2F4832"/>
    <w:rsid w:val="1D697189"/>
    <w:rsid w:val="1DEE7BCD"/>
    <w:rsid w:val="1E2B3732"/>
    <w:rsid w:val="1E3C2C0B"/>
    <w:rsid w:val="1E3F091B"/>
    <w:rsid w:val="1EB06519"/>
    <w:rsid w:val="1EF32FF2"/>
    <w:rsid w:val="1F3A7C37"/>
    <w:rsid w:val="20022AF0"/>
    <w:rsid w:val="202A7BF8"/>
    <w:rsid w:val="20482782"/>
    <w:rsid w:val="20DF41FE"/>
    <w:rsid w:val="211B39F2"/>
    <w:rsid w:val="212E7BC9"/>
    <w:rsid w:val="2144119B"/>
    <w:rsid w:val="21910C50"/>
    <w:rsid w:val="21DC5877"/>
    <w:rsid w:val="22061A13"/>
    <w:rsid w:val="222800C3"/>
    <w:rsid w:val="23290648"/>
    <w:rsid w:val="237D604C"/>
    <w:rsid w:val="238B7253"/>
    <w:rsid w:val="23BF6121"/>
    <w:rsid w:val="23FE39BD"/>
    <w:rsid w:val="24211C07"/>
    <w:rsid w:val="245F4818"/>
    <w:rsid w:val="24786C81"/>
    <w:rsid w:val="24816262"/>
    <w:rsid w:val="24B248A8"/>
    <w:rsid w:val="24D757B6"/>
    <w:rsid w:val="256D62F8"/>
    <w:rsid w:val="262F241A"/>
    <w:rsid w:val="266933D7"/>
    <w:rsid w:val="267E4497"/>
    <w:rsid w:val="268E3C87"/>
    <w:rsid w:val="26E94DE4"/>
    <w:rsid w:val="27AD772F"/>
    <w:rsid w:val="27D551EF"/>
    <w:rsid w:val="27FC37CC"/>
    <w:rsid w:val="281D5833"/>
    <w:rsid w:val="287348EA"/>
    <w:rsid w:val="288B02DF"/>
    <w:rsid w:val="2935321D"/>
    <w:rsid w:val="2A070FB7"/>
    <w:rsid w:val="2CE00993"/>
    <w:rsid w:val="2CF27B34"/>
    <w:rsid w:val="2D1A2D62"/>
    <w:rsid w:val="2D830B39"/>
    <w:rsid w:val="2D99286E"/>
    <w:rsid w:val="2E257B1B"/>
    <w:rsid w:val="2E4B20C4"/>
    <w:rsid w:val="2E4E23FE"/>
    <w:rsid w:val="2E677AE4"/>
    <w:rsid w:val="2E6B483B"/>
    <w:rsid w:val="2E8E6ECC"/>
    <w:rsid w:val="2EBD1909"/>
    <w:rsid w:val="2EF75DDF"/>
    <w:rsid w:val="2F335142"/>
    <w:rsid w:val="2F4131BE"/>
    <w:rsid w:val="308552DA"/>
    <w:rsid w:val="30C469DC"/>
    <w:rsid w:val="30CA5BDB"/>
    <w:rsid w:val="30E86825"/>
    <w:rsid w:val="318178A1"/>
    <w:rsid w:val="31E26BEB"/>
    <w:rsid w:val="33366540"/>
    <w:rsid w:val="335F00B6"/>
    <w:rsid w:val="33C346B6"/>
    <w:rsid w:val="33C34EFC"/>
    <w:rsid w:val="34CC177B"/>
    <w:rsid w:val="35AB7232"/>
    <w:rsid w:val="35D61655"/>
    <w:rsid w:val="362A1092"/>
    <w:rsid w:val="36461B5D"/>
    <w:rsid w:val="36AD56C5"/>
    <w:rsid w:val="36DC5408"/>
    <w:rsid w:val="37797999"/>
    <w:rsid w:val="37905325"/>
    <w:rsid w:val="37C7000E"/>
    <w:rsid w:val="387D1AEA"/>
    <w:rsid w:val="38822CFA"/>
    <w:rsid w:val="38E402E7"/>
    <w:rsid w:val="38E9737D"/>
    <w:rsid w:val="38F850C2"/>
    <w:rsid w:val="390D500F"/>
    <w:rsid w:val="393B42B2"/>
    <w:rsid w:val="39DA644F"/>
    <w:rsid w:val="39E73A42"/>
    <w:rsid w:val="3A186B09"/>
    <w:rsid w:val="3A5D3A88"/>
    <w:rsid w:val="3A6F11F3"/>
    <w:rsid w:val="3AAF1923"/>
    <w:rsid w:val="3AC950C9"/>
    <w:rsid w:val="3B0C28D2"/>
    <w:rsid w:val="3B3011F7"/>
    <w:rsid w:val="3B47283E"/>
    <w:rsid w:val="3B6561D5"/>
    <w:rsid w:val="3B963D3A"/>
    <w:rsid w:val="3B976570"/>
    <w:rsid w:val="3CD36411"/>
    <w:rsid w:val="3D4F499E"/>
    <w:rsid w:val="3D8739B6"/>
    <w:rsid w:val="3DE6488F"/>
    <w:rsid w:val="3E500D27"/>
    <w:rsid w:val="3ED96E09"/>
    <w:rsid w:val="3F273070"/>
    <w:rsid w:val="3F575F4A"/>
    <w:rsid w:val="3FF52D9F"/>
    <w:rsid w:val="40624A0E"/>
    <w:rsid w:val="40657ACF"/>
    <w:rsid w:val="41233E23"/>
    <w:rsid w:val="41BF5866"/>
    <w:rsid w:val="41D4737F"/>
    <w:rsid w:val="41F16D17"/>
    <w:rsid w:val="42397461"/>
    <w:rsid w:val="42FB3CA3"/>
    <w:rsid w:val="43DB2C4A"/>
    <w:rsid w:val="4476626D"/>
    <w:rsid w:val="44A7686B"/>
    <w:rsid w:val="44B66A11"/>
    <w:rsid w:val="45126EB0"/>
    <w:rsid w:val="4539127E"/>
    <w:rsid w:val="4571647E"/>
    <w:rsid w:val="46037733"/>
    <w:rsid w:val="465D414E"/>
    <w:rsid w:val="46845B8C"/>
    <w:rsid w:val="46FB6942"/>
    <w:rsid w:val="470E0400"/>
    <w:rsid w:val="47303087"/>
    <w:rsid w:val="474B478B"/>
    <w:rsid w:val="47A550C1"/>
    <w:rsid w:val="47B044E2"/>
    <w:rsid w:val="47D74267"/>
    <w:rsid w:val="48120A86"/>
    <w:rsid w:val="48256D81"/>
    <w:rsid w:val="48895562"/>
    <w:rsid w:val="49187E48"/>
    <w:rsid w:val="496B4C67"/>
    <w:rsid w:val="499A4B7B"/>
    <w:rsid w:val="49D514FA"/>
    <w:rsid w:val="4A742353"/>
    <w:rsid w:val="4AB8769B"/>
    <w:rsid w:val="4ADD58CC"/>
    <w:rsid w:val="4B4E1626"/>
    <w:rsid w:val="4B7342A7"/>
    <w:rsid w:val="4BE6053A"/>
    <w:rsid w:val="4C362B3D"/>
    <w:rsid w:val="4C73309C"/>
    <w:rsid w:val="4C813CAB"/>
    <w:rsid w:val="4CA47D11"/>
    <w:rsid w:val="4CE600FB"/>
    <w:rsid w:val="4CED47CD"/>
    <w:rsid w:val="4CF219AF"/>
    <w:rsid w:val="4D065771"/>
    <w:rsid w:val="4D0B0C3B"/>
    <w:rsid w:val="4D1602E1"/>
    <w:rsid w:val="4D190D53"/>
    <w:rsid w:val="4D430291"/>
    <w:rsid w:val="4DE052E3"/>
    <w:rsid w:val="4DE337D5"/>
    <w:rsid w:val="4E9D0E82"/>
    <w:rsid w:val="4ED400DC"/>
    <w:rsid w:val="4F1D47D7"/>
    <w:rsid w:val="4F6221DE"/>
    <w:rsid w:val="4FAE1D52"/>
    <w:rsid w:val="50BE68C4"/>
    <w:rsid w:val="52047523"/>
    <w:rsid w:val="53B37335"/>
    <w:rsid w:val="53EC3BAC"/>
    <w:rsid w:val="549A6186"/>
    <w:rsid w:val="55281DAF"/>
    <w:rsid w:val="55D66C88"/>
    <w:rsid w:val="566702F9"/>
    <w:rsid w:val="568B0C91"/>
    <w:rsid w:val="56975989"/>
    <w:rsid w:val="56DC7EC7"/>
    <w:rsid w:val="56E768AC"/>
    <w:rsid w:val="570975B4"/>
    <w:rsid w:val="576222A2"/>
    <w:rsid w:val="578F7888"/>
    <w:rsid w:val="57A53DBE"/>
    <w:rsid w:val="583166A5"/>
    <w:rsid w:val="58D05DE7"/>
    <w:rsid w:val="58FA1C02"/>
    <w:rsid w:val="592316E9"/>
    <w:rsid w:val="593E4146"/>
    <w:rsid w:val="59B30690"/>
    <w:rsid w:val="59E0617E"/>
    <w:rsid w:val="59FA5037"/>
    <w:rsid w:val="59FE7432"/>
    <w:rsid w:val="5A3A490E"/>
    <w:rsid w:val="5A5F7132"/>
    <w:rsid w:val="5A790E13"/>
    <w:rsid w:val="5A9329EF"/>
    <w:rsid w:val="5A97153D"/>
    <w:rsid w:val="5B076365"/>
    <w:rsid w:val="5BAA161F"/>
    <w:rsid w:val="5C0C4AA1"/>
    <w:rsid w:val="5C10118B"/>
    <w:rsid w:val="5C2A169D"/>
    <w:rsid w:val="5CA05EB7"/>
    <w:rsid w:val="5DCD5B82"/>
    <w:rsid w:val="5E420235"/>
    <w:rsid w:val="5E6C7D00"/>
    <w:rsid w:val="5EBE1A6C"/>
    <w:rsid w:val="5EFA28BD"/>
    <w:rsid w:val="5F340E12"/>
    <w:rsid w:val="5F8029B3"/>
    <w:rsid w:val="5FC36A67"/>
    <w:rsid w:val="60116111"/>
    <w:rsid w:val="60B84EF1"/>
    <w:rsid w:val="613B66F7"/>
    <w:rsid w:val="61846885"/>
    <w:rsid w:val="61853514"/>
    <w:rsid w:val="61E37639"/>
    <w:rsid w:val="61F4714D"/>
    <w:rsid w:val="6263198D"/>
    <w:rsid w:val="6298186E"/>
    <w:rsid w:val="62D559AF"/>
    <w:rsid w:val="634E0BFD"/>
    <w:rsid w:val="639C78BD"/>
    <w:rsid w:val="643653B8"/>
    <w:rsid w:val="645D37AF"/>
    <w:rsid w:val="646832B1"/>
    <w:rsid w:val="648B05D1"/>
    <w:rsid w:val="64CD1E40"/>
    <w:rsid w:val="64CE3BD1"/>
    <w:rsid w:val="65144950"/>
    <w:rsid w:val="65422D4F"/>
    <w:rsid w:val="656C6332"/>
    <w:rsid w:val="6615691A"/>
    <w:rsid w:val="66551508"/>
    <w:rsid w:val="66E11A66"/>
    <w:rsid w:val="67770352"/>
    <w:rsid w:val="67AE2497"/>
    <w:rsid w:val="67C41CBB"/>
    <w:rsid w:val="67F86871"/>
    <w:rsid w:val="684318AA"/>
    <w:rsid w:val="69DD7EFB"/>
    <w:rsid w:val="6A3E7097"/>
    <w:rsid w:val="6A516F28"/>
    <w:rsid w:val="6A802926"/>
    <w:rsid w:val="6A88563D"/>
    <w:rsid w:val="6AB9187F"/>
    <w:rsid w:val="6B3D24B0"/>
    <w:rsid w:val="6B965E5B"/>
    <w:rsid w:val="6BBC381B"/>
    <w:rsid w:val="6C2E10A7"/>
    <w:rsid w:val="6C9A5295"/>
    <w:rsid w:val="6CDE34BF"/>
    <w:rsid w:val="6D572222"/>
    <w:rsid w:val="6E5B2E86"/>
    <w:rsid w:val="6EB54BA2"/>
    <w:rsid w:val="6EBB4295"/>
    <w:rsid w:val="7045716D"/>
    <w:rsid w:val="704C5591"/>
    <w:rsid w:val="70B10931"/>
    <w:rsid w:val="718E48CE"/>
    <w:rsid w:val="71D76797"/>
    <w:rsid w:val="71EA249C"/>
    <w:rsid w:val="72576487"/>
    <w:rsid w:val="72996EE2"/>
    <w:rsid w:val="72DC06A1"/>
    <w:rsid w:val="73272C99"/>
    <w:rsid w:val="732857F3"/>
    <w:rsid w:val="73590446"/>
    <w:rsid w:val="73D47B1B"/>
    <w:rsid w:val="73E34BA4"/>
    <w:rsid w:val="73E57241"/>
    <w:rsid w:val="73E76BB2"/>
    <w:rsid w:val="7402551C"/>
    <w:rsid w:val="740B247D"/>
    <w:rsid w:val="743D4B16"/>
    <w:rsid w:val="75605DEF"/>
    <w:rsid w:val="7561536D"/>
    <w:rsid w:val="75E65458"/>
    <w:rsid w:val="75F705EE"/>
    <w:rsid w:val="76276979"/>
    <w:rsid w:val="76A74C81"/>
    <w:rsid w:val="76AC5DF9"/>
    <w:rsid w:val="7758241F"/>
    <w:rsid w:val="784813C5"/>
    <w:rsid w:val="78775C06"/>
    <w:rsid w:val="78782D79"/>
    <w:rsid w:val="790F4618"/>
    <w:rsid w:val="791A798E"/>
    <w:rsid w:val="794821F6"/>
    <w:rsid w:val="798006BC"/>
    <w:rsid w:val="79C25BC5"/>
    <w:rsid w:val="79DF5F38"/>
    <w:rsid w:val="7A86111E"/>
    <w:rsid w:val="7A8E3E47"/>
    <w:rsid w:val="7B223D6B"/>
    <w:rsid w:val="7C1728A9"/>
    <w:rsid w:val="7C260CFC"/>
    <w:rsid w:val="7CD76B5A"/>
    <w:rsid w:val="7CD90CCA"/>
    <w:rsid w:val="7D3905FD"/>
    <w:rsid w:val="7D453845"/>
    <w:rsid w:val="7D754A9C"/>
    <w:rsid w:val="7DDF2F52"/>
    <w:rsid w:val="7DE44C08"/>
    <w:rsid w:val="7E082795"/>
    <w:rsid w:val="7E520CE5"/>
    <w:rsid w:val="7F637BB3"/>
    <w:rsid w:val="7F8768A0"/>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6"/>
    <w:basedOn w:val="1"/>
    <w:next w:val="1"/>
    <w:link w:val="161"/>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5">
    <w:name w:val="index 8"/>
    <w:basedOn w:val="1"/>
    <w:next w:val="1"/>
    <w:autoRedefine/>
    <w:qFormat/>
    <w:uiPriority w:val="0"/>
    <w:pPr>
      <w:ind w:left="1680" w:hanging="210"/>
      <w:jc w:val="left"/>
    </w:pPr>
    <w:rPr>
      <w:rFonts w:ascii="Calibri" w:hAnsi="Calibri"/>
      <w:sz w:val="20"/>
      <w:szCs w:val="20"/>
    </w:rPr>
  </w:style>
  <w:style w:type="paragraph" w:styleId="6">
    <w:name w:val="caption"/>
    <w:basedOn w:val="1"/>
    <w:next w:val="1"/>
    <w:autoRedefine/>
    <w:qFormat/>
    <w:uiPriority w:val="0"/>
    <w:pPr>
      <w:spacing w:before="152" w:after="160"/>
    </w:pPr>
    <w:rPr>
      <w:rFonts w:ascii="Arial" w:hAnsi="Arial" w:eastAsia="黑体" w:cs="Arial"/>
      <w:sz w:val="20"/>
      <w:szCs w:val="20"/>
    </w:rPr>
  </w:style>
  <w:style w:type="paragraph" w:styleId="7">
    <w:name w:val="index 5"/>
    <w:basedOn w:val="1"/>
    <w:next w:val="1"/>
    <w:autoRedefine/>
    <w:qFormat/>
    <w:uiPriority w:val="0"/>
    <w:pPr>
      <w:ind w:left="1050" w:hanging="210"/>
      <w:jc w:val="left"/>
    </w:pPr>
    <w:rPr>
      <w:rFonts w:ascii="Calibri" w:hAnsi="Calibri"/>
      <w:sz w:val="20"/>
      <w:szCs w:val="20"/>
    </w:rPr>
  </w:style>
  <w:style w:type="paragraph" w:styleId="8">
    <w:name w:val="Document Map"/>
    <w:basedOn w:val="1"/>
    <w:autoRedefine/>
    <w:semiHidden/>
    <w:qFormat/>
    <w:uiPriority w:val="0"/>
    <w:pPr>
      <w:shd w:val="clear" w:color="auto" w:fill="000080"/>
    </w:pPr>
  </w:style>
  <w:style w:type="paragraph" w:styleId="9">
    <w:name w:val="annotation text"/>
    <w:basedOn w:val="1"/>
    <w:autoRedefine/>
    <w:qFormat/>
    <w:uiPriority w:val="0"/>
    <w:pPr>
      <w:jc w:val="left"/>
    </w:pPr>
  </w:style>
  <w:style w:type="paragraph" w:styleId="10">
    <w:name w:val="index 6"/>
    <w:basedOn w:val="1"/>
    <w:next w:val="1"/>
    <w:autoRedefine/>
    <w:qFormat/>
    <w:uiPriority w:val="0"/>
    <w:pPr>
      <w:ind w:left="1260" w:hanging="210"/>
      <w:jc w:val="left"/>
    </w:pPr>
    <w:rPr>
      <w:rFonts w:ascii="Calibri" w:hAnsi="Calibri"/>
      <w:sz w:val="20"/>
      <w:szCs w:val="20"/>
    </w:rPr>
  </w:style>
  <w:style w:type="paragraph" w:styleId="11">
    <w:name w:val="Body Text"/>
    <w:basedOn w:val="1"/>
    <w:autoRedefine/>
    <w:semiHidden/>
    <w:unhideWhenUsed/>
    <w:qFormat/>
    <w:uiPriority w:val="99"/>
    <w:pPr>
      <w:spacing w:after="120"/>
    </w:pPr>
  </w:style>
  <w:style w:type="paragraph" w:styleId="12">
    <w:name w:val="index 4"/>
    <w:basedOn w:val="1"/>
    <w:next w:val="1"/>
    <w:autoRedefine/>
    <w:qFormat/>
    <w:uiPriority w:val="0"/>
    <w:pPr>
      <w:ind w:left="840" w:hanging="210"/>
      <w:jc w:val="left"/>
    </w:pPr>
    <w:rPr>
      <w:rFonts w:ascii="Calibri" w:hAnsi="Calibri"/>
      <w:sz w:val="20"/>
      <w:szCs w:val="20"/>
    </w:rPr>
  </w:style>
  <w:style w:type="paragraph" w:styleId="13">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4">
    <w:name w:val="toc 3"/>
    <w:basedOn w:val="1"/>
    <w:next w:val="1"/>
    <w:autoRedefine/>
    <w:qFormat/>
    <w:uiPriority w:val="39"/>
    <w:pPr>
      <w:tabs>
        <w:tab w:val="right" w:leader="dot" w:pos="9242"/>
      </w:tabs>
      <w:ind w:firstLine="1252" w:firstLineChars="100"/>
      <w:jc w:val="left"/>
    </w:pPr>
    <w:rPr>
      <w:rFonts w:ascii="宋体"/>
      <w:szCs w:val="21"/>
    </w:rPr>
  </w:style>
  <w:style w:type="paragraph" w:styleId="15">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16">
    <w:name w:val="index 3"/>
    <w:basedOn w:val="1"/>
    <w:next w:val="1"/>
    <w:autoRedefine/>
    <w:qFormat/>
    <w:uiPriority w:val="0"/>
    <w:pPr>
      <w:ind w:left="630" w:hanging="210"/>
      <w:jc w:val="left"/>
    </w:pPr>
    <w:rPr>
      <w:rFonts w:ascii="Calibri" w:hAnsi="Calibri"/>
      <w:sz w:val="20"/>
      <w:szCs w:val="20"/>
    </w:rPr>
  </w:style>
  <w:style w:type="paragraph" w:styleId="17">
    <w:name w:val="Body Text Indent 2"/>
    <w:basedOn w:val="1"/>
    <w:link w:val="164"/>
    <w:autoRedefine/>
    <w:unhideWhenUsed/>
    <w:qFormat/>
    <w:uiPriority w:val="99"/>
    <w:pPr>
      <w:spacing w:after="120" w:line="480" w:lineRule="auto"/>
      <w:ind w:left="420" w:leftChars="200"/>
      <w:jc w:val="left"/>
    </w:pPr>
    <w:rPr>
      <w:rFonts w:eastAsia="PMingLiU-ExtB"/>
      <w:sz w:val="24"/>
      <w:lang w:eastAsia="zh-TW"/>
    </w:rPr>
  </w:style>
  <w:style w:type="paragraph" w:styleId="18">
    <w:name w:val="endnote text"/>
    <w:basedOn w:val="1"/>
    <w:autoRedefine/>
    <w:semiHidden/>
    <w:qFormat/>
    <w:uiPriority w:val="0"/>
    <w:pPr>
      <w:snapToGrid w:val="0"/>
      <w:jc w:val="left"/>
    </w:pPr>
  </w:style>
  <w:style w:type="paragraph" w:styleId="19">
    <w:name w:val="Balloon Text"/>
    <w:basedOn w:val="1"/>
    <w:autoRedefine/>
    <w:semiHidden/>
    <w:qFormat/>
    <w:uiPriority w:val="0"/>
    <w:rPr>
      <w:sz w:val="18"/>
      <w:szCs w:val="18"/>
    </w:rPr>
  </w:style>
  <w:style w:type="paragraph" w:styleId="20">
    <w:name w:val="footer"/>
    <w:basedOn w:val="1"/>
    <w:link w:val="162"/>
    <w:autoRedefine/>
    <w:qFormat/>
    <w:uiPriority w:val="99"/>
    <w:pPr>
      <w:snapToGrid w:val="0"/>
      <w:ind w:right="210" w:rightChars="100"/>
      <w:jc w:val="right"/>
    </w:pPr>
    <w:rPr>
      <w:sz w:val="18"/>
      <w:szCs w:val="18"/>
    </w:rPr>
  </w:style>
  <w:style w:type="paragraph" w:styleId="21">
    <w:name w:val="header"/>
    <w:basedOn w:val="1"/>
    <w:link w:val="59"/>
    <w:autoRedefine/>
    <w:qFormat/>
    <w:uiPriority w:val="99"/>
    <w:pPr>
      <w:snapToGrid w:val="0"/>
      <w:jc w:val="left"/>
    </w:pPr>
    <w:rPr>
      <w:sz w:val="18"/>
      <w:szCs w:val="18"/>
    </w:rPr>
  </w:style>
  <w:style w:type="paragraph" w:styleId="22">
    <w:name w:val="toc 1"/>
    <w:basedOn w:val="1"/>
    <w:next w:val="1"/>
    <w:autoRedefine/>
    <w:qFormat/>
    <w:uiPriority w:val="39"/>
    <w:pPr>
      <w:tabs>
        <w:tab w:val="right" w:leader="dot" w:pos="9242"/>
      </w:tabs>
      <w:spacing w:beforeLines="25" w:afterLines="25"/>
      <w:jc w:val="left"/>
    </w:pPr>
    <w:rPr>
      <w:rFonts w:ascii="宋体"/>
      <w:szCs w:val="21"/>
    </w:rPr>
  </w:style>
  <w:style w:type="paragraph" w:styleId="23">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4">
    <w:name w:val="index heading"/>
    <w:basedOn w:val="1"/>
    <w:next w:val="25"/>
    <w:autoRedefine/>
    <w:qFormat/>
    <w:uiPriority w:val="0"/>
    <w:pPr>
      <w:spacing w:before="120" w:after="120"/>
      <w:jc w:val="center"/>
    </w:pPr>
    <w:rPr>
      <w:rFonts w:ascii="Calibri" w:hAnsi="Calibri"/>
      <w:b/>
      <w:bCs/>
      <w:iCs/>
      <w:szCs w:val="20"/>
    </w:rPr>
  </w:style>
  <w:style w:type="paragraph" w:styleId="25">
    <w:name w:val="index 1"/>
    <w:basedOn w:val="1"/>
    <w:next w:val="26"/>
    <w:autoRedefine/>
    <w:qFormat/>
    <w:uiPriority w:val="0"/>
    <w:pPr>
      <w:tabs>
        <w:tab w:val="right" w:leader="dot" w:pos="9299"/>
      </w:tabs>
      <w:jc w:val="left"/>
    </w:pPr>
    <w:rPr>
      <w:rFonts w:ascii="宋体"/>
      <w:szCs w:val="21"/>
    </w:rPr>
  </w:style>
  <w:style w:type="paragraph" w:customStyle="1" w:styleId="26">
    <w:name w:val="段"/>
    <w:link w:val="64"/>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autoRedefine/>
    <w:qFormat/>
    <w:uiPriority w:val="0"/>
    <w:pPr>
      <w:numPr>
        <w:ilvl w:val="0"/>
        <w:numId w:val="1"/>
      </w:numPr>
      <w:snapToGrid w:val="0"/>
      <w:jc w:val="left"/>
    </w:pPr>
    <w:rPr>
      <w:rFonts w:ascii="宋体"/>
      <w:sz w:val="18"/>
      <w:szCs w:val="18"/>
    </w:rPr>
  </w:style>
  <w:style w:type="paragraph" w:styleId="28">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29">
    <w:name w:val="index 7"/>
    <w:basedOn w:val="1"/>
    <w:next w:val="1"/>
    <w:autoRedefine/>
    <w:qFormat/>
    <w:uiPriority w:val="0"/>
    <w:pPr>
      <w:ind w:left="1470" w:hanging="210"/>
      <w:jc w:val="left"/>
    </w:pPr>
    <w:rPr>
      <w:rFonts w:ascii="Calibri" w:hAnsi="Calibri"/>
      <w:sz w:val="20"/>
      <w:szCs w:val="20"/>
    </w:rPr>
  </w:style>
  <w:style w:type="paragraph" w:styleId="30">
    <w:name w:val="index 9"/>
    <w:basedOn w:val="1"/>
    <w:next w:val="1"/>
    <w:autoRedefine/>
    <w:qFormat/>
    <w:uiPriority w:val="0"/>
    <w:pPr>
      <w:ind w:left="1890" w:hanging="210"/>
      <w:jc w:val="left"/>
    </w:pPr>
    <w:rPr>
      <w:rFonts w:ascii="Calibri" w:hAnsi="Calibri"/>
      <w:sz w:val="20"/>
      <w:szCs w:val="20"/>
    </w:rPr>
  </w:style>
  <w:style w:type="paragraph" w:styleId="31">
    <w:name w:val="toc 2"/>
    <w:basedOn w:val="1"/>
    <w:next w:val="1"/>
    <w:autoRedefine/>
    <w:qFormat/>
    <w:uiPriority w:val="39"/>
    <w:pPr>
      <w:tabs>
        <w:tab w:val="right" w:leader="dot" w:pos="9242"/>
      </w:tabs>
    </w:pPr>
    <w:rPr>
      <w:rFonts w:ascii="宋体"/>
      <w:szCs w:val="21"/>
    </w:rPr>
  </w:style>
  <w:style w:type="paragraph" w:styleId="32">
    <w:name w:val="toc 9"/>
    <w:basedOn w:val="1"/>
    <w:next w:val="1"/>
    <w:autoRedefine/>
    <w:semiHidden/>
    <w:qFormat/>
    <w:uiPriority w:val="0"/>
    <w:pPr>
      <w:ind w:left="1470"/>
      <w:jc w:val="left"/>
    </w:pPr>
    <w:rPr>
      <w:sz w:val="20"/>
      <w:szCs w:val="20"/>
    </w:rPr>
  </w:style>
  <w:style w:type="paragraph" w:styleId="33">
    <w:name w:val="Normal (Web)"/>
    <w:basedOn w:val="1"/>
    <w:autoRedefine/>
    <w:qFormat/>
    <w:uiPriority w:val="0"/>
    <w:pPr>
      <w:spacing w:beforeAutospacing="1" w:afterAutospacing="1"/>
      <w:jc w:val="left"/>
    </w:pPr>
    <w:rPr>
      <w:kern w:val="0"/>
      <w:sz w:val="24"/>
    </w:rPr>
  </w:style>
  <w:style w:type="paragraph" w:styleId="34">
    <w:name w:val="index 2"/>
    <w:basedOn w:val="1"/>
    <w:next w:val="1"/>
    <w:autoRedefine/>
    <w:qFormat/>
    <w:uiPriority w:val="0"/>
    <w:pPr>
      <w:ind w:left="420" w:hanging="210"/>
      <w:jc w:val="left"/>
    </w:pPr>
    <w:rPr>
      <w:rFonts w:ascii="Calibri" w:hAnsi="Calibri"/>
      <w:sz w:val="20"/>
      <w:szCs w:val="20"/>
    </w:rPr>
  </w:style>
  <w:style w:type="paragraph" w:styleId="35">
    <w:name w:val="annotation subject"/>
    <w:basedOn w:val="9"/>
    <w:next w:val="9"/>
    <w:autoRedefine/>
    <w:semiHidden/>
    <w:qFormat/>
    <w:uiPriority w:val="0"/>
    <w:rPr>
      <w:b/>
      <w:bCs/>
    </w:rPr>
  </w:style>
  <w:style w:type="paragraph" w:styleId="36">
    <w:name w:val="Body Text First Indent"/>
    <w:basedOn w:val="11"/>
    <w:autoRedefine/>
    <w:qFormat/>
    <w:uiPriority w:val="0"/>
    <w:pPr>
      <w:ind w:firstLine="420" w:firstLineChars="100"/>
    </w:pPr>
  </w:style>
  <w:style w:type="table" w:styleId="38">
    <w:name w:val="Table Grid"/>
    <w:basedOn w:val="37"/>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autoRedefine/>
    <w:qFormat/>
    <w:uiPriority w:val="0"/>
    <w:rPr>
      <w:b/>
    </w:r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autoRedefine/>
    <w:qFormat/>
    <w:uiPriority w:val="0"/>
    <w:rPr>
      <w:color w:val="800080"/>
      <w:u w:val="single"/>
    </w:rPr>
  </w:style>
  <w:style w:type="character" w:styleId="44">
    <w:name w:val="Emphasis"/>
    <w:autoRedefine/>
    <w:qFormat/>
    <w:uiPriority w:val="20"/>
    <w:rPr>
      <w:i/>
      <w:iCs/>
    </w:rPr>
  </w:style>
  <w:style w:type="character" w:styleId="45">
    <w:name w:val="Hyperlink"/>
    <w:autoRedefine/>
    <w:qFormat/>
    <w:uiPriority w:val="99"/>
    <w:rPr>
      <w:color w:val="0000FF"/>
      <w:spacing w:val="0"/>
      <w:w w:val="100"/>
      <w:szCs w:val="21"/>
      <w:u w:val="single"/>
    </w:rPr>
  </w:style>
  <w:style w:type="character" w:styleId="46">
    <w:name w:val="annotation reference"/>
    <w:autoRedefine/>
    <w:semiHidden/>
    <w:qFormat/>
    <w:uiPriority w:val="0"/>
    <w:rPr>
      <w:sz w:val="21"/>
      <w:szCs w:val="21"/>
    </w:rPr>
  </w:style>
  <w:style w:type="character" w:styleId="47">
    <w:name w:val="footnote reference"/>
    <w:autoRedefine/>
    <w:semiHidden/>
    <w:qFormat/>
    <w:uiPriority w:val="0"/>
    <w:rPr>
      <w:vertAlign w:val="superscript"/>
    </w:rPr>
  </w:style>
  <w:style w:type="paragraph" w:styleId="48">
    <w:name w:val="List Paragraph"/>
    <w:basedOn w:val="1"/>
    <w:autoRedefine/>
    <w:qFormat/>
    <w:uiPriority w:val="34"/>
    <w:pPr>
      <w:ind w:firstLine="420" w:firstLineChars="200"/>
    </w:pPr>
  </w:style>
  <w:style w:type="character" w:styleId="49">
    <w:name w:val="Placeholder Text"/>
    <w:autoRedefine/>
    <w:semiHidden/>
    <w:qFormat/>
    <w:uiPriority w:val="99"/>
    <w:rPr>
      <w:color w:val="808080"/>
    </w:rPr>
  </w:style>
  <w:style w:type="character" w:customStyle="1" w:styleId="50">
    <w:name w:val="font531"/>
    <w:autoRedefine/>
    <w:qFormat/>
    <w:uiPriority w:val="0"/>
    <w:rPr>
      <w:rFonts w:hint="default" w:ascii="Arial" w:hAnsi="Arial" w:cs="Arial"/>
      <w:color w:val="000000"/>
      <w:sz w:val="24"/>
      <w:szCs w:val="24"/>
      <w:u w:val="none"/>
    </w:rPr>
  </w:style>
  <w:style w:type="character" w:customStyle="1" w:styleId="51">
    <w:name w:val="首示例 Char"/>
    <w:link w:val="52"/>
    <w:autoRedefine/>
    <w:qFormat/>
    <w:uiPriority w:val="0"/>
    <w:rPr>
      <w:rFonts w:ascii="宋体" w:hAnsi="宋体"/>
      <w:kern w:val="2"/>
      <w:sz w:val="18"/>
      <w:szCs w:val="18"/>
      <w:lang w:val="en-US" w:eastAsia="zh-CN" w:bidi="ar-SA"/>
    </w:rPr>
  </w:style>
  <w:style w:type="paragraph" w:customStyle="1" w:styleId="52">
    <w:name w:val="首示例"/>
    <w:next w:val="26"/>
    <w:link w:val="51"/>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3">
    <w:name w:val="font451"/>
    <w:autoRedefine/>
    <w:qFormat/>
    <w:uiPriority w:val="0"/>
    <w:rPr>
      <w:rFonts w:hint="eastAsia" w:ascii="等线" w:hAnsi="等线" w:eastAsia="等线"/>
      <w:color w:val="000000"/>
      <w:sz w:val="22"/>
      <w:szCs w:val="22"/>
      <w:u w:val="none"/>
    </w:rPr>
  </w:style>
  <w:style w:type="character" w:customStyle="1" w:styleId="54">
    <w:name w:val="二级条标题 Char"/>
    <w:link w:val="55"/>
    <w:autoRedefine/>
    <w:qFormat/>
    <w:locked/>
    <w:uiPriority w:val="0"/>
    <w:rPr>
      <w:rFonts w:ascii="黑体" w:eastAsia="黑体"/>
      <w:sz w:val="21"/>
      <w:szCs w:val="21"/>
    </w:rPr>
  </w:style>
  <w:style w:type="paragraph" w:customStyle="1" w:styleId="55">
    <w:name w:val="二级条标题"/>
    <w:basedOn w:val="56"/>
    <w:next w:val="26"/>
    <w:link w:val="54"/>
    <w:autoRedefine/>
    <w:qFormat/>
    <w:uiPriority w:val="0"/>
    <w:pPr>
      <w:numPr>
        <w:ilvl w:val="2"/>
      </w:numPr>
      <w:spacing w:before="50" w:after="50"/>
      <w:ind w:left="1843"/>
      <w:outlineLvl w:val="3"/>
    </w:pPr>
  </w:style>
  <w:style w:type="paragraph" w:customStyle="1" w:styleId="56">
    <w:name w:val="一级条标题"/>
    <w:next w:val="1"/>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57">
    <w:name w:val="三级条标题 Char"/>
    <w:link w:val="58"/>
    <w:autoRedefine/>
    <w:qFormat/>
    <w:uiPriority w:val="0"/>
    <w:rPr>
      <w:rFonts w:ascii="黑体" w:eastAsia="黑体"/>
      <w:sz w:val="21"/>
      <w:szCs w:val="21"/>
    </w:rPr>
  </w:style>
  <w:style w:type="paragraph" w:customStyle="1" w:styleId="58">
    <w:name w:val="三级条标题"/>
    <w:basedOn w:val="55"/>
    <w:next w:val="26"/>
    <w:link w:val="57"/>
    <w:autoRedefine/>
    <w:qFormat/>
    <w:uiPriority w:val="0"/>
    <w:pPr>
      <w:numPr>
        <w:ilvl w:val="3"/>
      </w:numPr>
      <w:outlineLvl w:val="4"/>
    </w:pPr>
  </w:style>
  <w:style w:type="character" w:customStyle="1" w:styleId="59">
    <w:name w:val="页眉 字符"/>
    <w:link w:val="21"/>
    <w:autoRedefine/>
    <w:qFormat/>
    <w:uiPriority w:val="99"/>
    <w:rPr>
      <w:kern w:val="2"/>
      <w:sz w:val="18"/>
      <w:szCs w:val="18"/>
    </w:rPr>
  </w:style>
  <w:style w:type="character" w:customStyle="1" w:styleId="60">
    <w:name w:val="样式1 字符"/>
    <w:link w:val="61"/>
    <w:autoRedefine/>
    <w:qFormat/>
    <w:uiPriority w:val="0"/>
    <w:rPr>
      <w:rFonts w:ascii="Cambria Math" w:hAnsi="Cambria Math"/>
      <w:i/>
      <w:sz w:val="28"/>
      <w:szCs w:val="28"/>
      <w:lang w:val="en-US" w:eastAsia="zh-CN" w:bidi="ar-SA"/>
    </w:rPr>
  </w:style>
  <w:style w:type="paragraph" w:customStyle="1" w:styleId="61">
    <w:name w:val="样式1"/>
    <w:basedOn w:val="62"/>
    <w:link w:val="60"/>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2">
    <w:name w:val="附录公式"/>
    <w:basedOn w:val="26"/>
    <w:next w:val="26"/>
    <w:link w:val="63"/>
    <w:autoRedefine/>
    <w:qFormat/>
    <w:uiPriority w:val="0"/>
  </w:style>
  <w:style w:type="character" w:customStyle="1" w:styleId="63">
    <w:name w:val="附录公式 Char"/>
    <w:link w:val="62"/>
    <w:autoRedefine/>
    <w:qFormat/>
    <w:uiPriority w:val="0"/>
    <w:rPr>
      <w:rFonts w:ascii="宋体"/>
      <w:sz w:val="21"/>
      <w:lang w:val="en-US" w:eastAsia="zh-CN" w:bidi="ar-SA"/>
    </w:rPr>
  </w:style>
  <w:style w:type="character" w:customStyle="1" w:styleId="64">
    <w:name w:val="段 Char"/>
    <w:link w:val="26"/>
    <w:autoRedefine/>
    <w:qFormat/>
    <w:uiPriority w:val="0"/>
    <w:rPr>
      <w:rFonts w:ascii="宋体"/>
      <w:sz w:val="21"/>
      <w:lang w:val="en-US" w:eastAsia="zh-CN" w:bidi="ar-SA"/>
    </w:rPr>
  </w:style>
  <w:style w:type="character" w:customStyle="1" w:styleId="65">
    <w:name w:val="font441"/>
    <w:autoRedefine/>
    <w:qFormat/>
    <w:uiPriority w:val="0"/>
    <w:rPr>
      <w:rFonts w:hint="eastAsia" w:ascii="等线" w:hAnsi="等线" w:eastAsia="等线"/>
      <w:color w:val="000000"/>
      <w:sz w:val="24"/>
      <w:szCs w:val="24"/>
      <w:u w:val="none"/>
    </w:rPr>
  </w:style>
  <w:style w:type="character" w:customStyle="1" w:styleId="66">
    <w:name w:val="font541"/>
    <w:autoRedefine/>
    <w:qFormat/>
    <w:uiPriority w:val="0"/>
    <w:rPr>
      <w:rFonts w:hint="default" w:ascii="Arial" w:hAnsi="Arial" w:cs="Arial"/>
      <w:color w:val="000000"/>
      <w:sz w:val="22"/>
      <w:szCs w:val="22"/>
      <w:u w:val="none"/>
    </w:rPr>
  </w:style>
  <w:style w:type="character" w:customStyle="1" w:styleId="67">
    <w:name w:val="发布"/>
    <w:autoRedefine/>
    <w:qFormat/>
    <w:uiPriority w:val="0"/>
    <w:rPr>
      <w:rFonts w:ascii="黑体" w:eastAsia="黑体"/>
      <w:spacing w:val="85"/>
      <w:w w:val="100"/>
      <w:position w:val="3"/>
      <w:sz w:val="28"/>
      <w:szCs w:val="28"/>
    </w:rPr>
  </w:style>
  <w:style w:type="character" w:customStyle="1" w:styleId="68">
    <w:name w:val="apple-style-span"/>
    <w:autoRedefine/>
    <w:qFormat/>
    <w:uiPriority w:val="0"/>
  </w:style>
  <w:style w:type="paragraph" w:customStyle="1" w:styleId="69">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0">
    <w:name w:val="参考文献"/>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1">
    <w:name w:val="附录五级无"/>
    <w:basedOn w:val="72"/>
    <w:autoRedefine/>
    <w:qFormat/>
    <w:uiPriority w:val="0"/>
    <w:pPr>
      <w:spacing w:beforeLines="0" w:afterLines="0"/>
    </w:pPr>
    <w:rPr>
      <w:rFonts w:ascii="宋体" w:eastAsia="宋体"/>
      <w:szCs w:val="21"/>
    </w:rPr>
  </w:style>
  <w:style w:type="paragraph" w:customStyle="1" w:styleId="72">
    <w:name w:val="附录五级条标题"/>
    <w:basedOn w:val="73"/>
    <w:next w:val="26"/>
    <w:autoRedefine/>
    <w:qFormat/>
    <w:uiPriority w:val="0"/>
    <w:pPr>
      <w:outlineLvl w:val="6"/>
    </w:pPr>
  </w:style>
  <w:style w:type="paragraph" w:customStyle="1" w:styleId="73">
    <w:name w:val="附录四级条标题"/>
    <w:basedOn w:val="74"/>
    <w:next w:val="26"/>
    <w:autoRedefine/>
    <w:qFormat/>
    <w:uiPriority w:val="0"/>
    <w:pPr>
      <w:outlineLvl w:val="5"/>
    </w:pPr>
  </w:style>
  <w:style w:type="paragraph" w:customStyle="1" w:styleId="74">
    <w:name w:val="附录三级条标题"/>
    <w:basedOn w:val="75"/>
    <w:next w:val="26"/>
    <w:autoRedefine/>
    <w:qFormat/>
    <w:uiPriority w:val="0"/>
    <w:pPr>
      <w:outlineLvl w:val="4"/>
    </w:pPr>
  </w:style>
  <w:style w:type="paragraph" w:customStyle="1" w:styleId="75">
    <w:name w:val="附录二级条标题"/>
    <w:basedOn w:val="1"/>
    <w:next w:val="26"/>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6">
    <w:name w:val="附录标题"/>
    <w:basedOn w:val="26"/>
    <w:next w:val="26"/>
    <w:autoRedefine/>
    <w:qFormat/>
    <w:uiPriority w:val="0"/>
    <w:pPr>
      <w:ind w:firstLine="0" w:firstLineChars="0"/>
      <w:jc w:val="center"/>
    </w:pPr>
    <w:rPr>
      <w:rFonts w:ascii="黑体" w:eastAsia="黑体"/>
    </w:rPr>
  </w:style>
  <w:style w:type="paragraph" w:customStyle="1" w:styleId="77">
    <w:name w:val="注：（正文）"/>
    <w:basedOn w:val="78"/>
    <w:next w:val="26"/>
    <w:autoRedefine/>
    <w:qFormat/>
    <w:uiPriority w:val="0"/>
  </w:style>
  <w:style w:type="paragraph" w:customStyle="1" w:styleId="78">
    <w:name w:val="注："/>
    <w:next w:val="26"/>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79">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0">
    <w:name w:val="附录一级无"/>
    <w:basedOn w:val="81"/>
    <w:autoRedefine/>
    <w:qFormat/>
    <w:uiPriority w:val="0"/>
    <w:pPr>
      <w:spacing w:beforeLines="0" w:afterLines="0"/>
    </w:pPr>
    <w:rPr>
      <w:rFonts w:ascii="宋体" w:eastAsia="宋体"/>
      <w:szCs w:val="21"/>
    </w:rPr>
  </w:style>
  <w:style w:type="paragraph" w:customStyle="1" w:styleId="81">
    <w:name w:val="附录一级条标题"/>
    <w:basedOn w:val="82"/>
    <w:next w:val="26"/>
    <w:autoRedefine/>
    <w:qFormat/>
    <w:uiPriority w:val="0"/>
    <w:pPr>
      <w:numPr>
        <w:ilvl w:val="0"/>
        <w:numId w:val="0"/>
      </w:numPr>
      <w:autoSpaceDN w:val="0"/>
      <w:spacing w:beforeLines="50" w:afterLines="50"/>
      <w:outlineLvl w:val="2"/>
    </w:pPr>
  </w:style>
  <w:style w:type="paragraph" w:customStyle="1" w:styleId="82">
    <w:name w:val="附录章标题"/>
    <w:next w:val="26"/>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3">
    <w:name w:val="附录三级无"/>
    <w:basedOn w:val="74"/>
    <w:autoRedefine/>
    <w:qFormat/>
    <w:uiPriority w:val="0"/>
    <w:pPr>
      <w:spacing w:beforeLines="0" w:afterLines="0"/>
    </w:pPr>
    <w:rPr>
      <w:rFonts w:ascii="宋体" w:eastAsia="宋体"/>
      <w:szCs w:val="21"/>
    </w:rPr>
  </w:style>
  <w:style w:type="paragraph" w:customStyle="1" w:styleId="84">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5">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86">
    <w:name w:val="标准书眉_偶数页"/>
    <w:basedOn w:val="87"/>
    <w:next w:val="1"/>
    <w:autoRedefine/>
    <w:qFormat/>
    <w:uiPriority w:val="0"/>
    <w:pPr>
      <w:tabs>
        <w:tab w:val="center" w:pos="4154"/>
        <w:tab w:val="right" w:pos="8306"/>
      </w:tabs>
      <w:jc w:val="left"/>
    </w:pPr>
  </w:style>
  <w:style w:type="paragraph" w:customStyle="1" w:styleId="87">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8">
    <w:name w:val="发布部门"/>
    <w:next w:val="26"/>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9">
    <w:name w:val="五级无"/>
    <w:basedOn w:val="90"/>
    <w:autoRedefine/>
    <w:qFormat/>
    <w:uiPriority w:val="0"/>
    <w:pPr>
      <w:spacing w:beforeLines="0" w:afterLines="0"/>
    </w:pPr>
    <w:rPr>
      <w:rFonts w:ascii="宋体" w:eastAsia="宋体"/>
    </w:rPr>
  </w:style>
  <w:style w:type="paragraph" w:customStyle="1" w:styleId="90">
    <w:name w:val="五级条标题"/>
    <w:basedOn w:val="91"/>
    <w:next w:val="26"/>
    <w:autoRedefine/>
    <w:qFormat/>
    <w:uiPriority w:val="0"/>
    <w:pPr>
      <w:numPr>
        <w:ilvl w:val="0"/>
        <w:numId w:val="0"/>
      </w:numPr>
      <w:outlineLvl w:val="6"/>
    </w:pPr>
  </w:style>
  <w:style w:type="paragraph" w:customStyle="1" w:styleId="91">
    <w:name w:val="四级条标题"/>
    <w:basedOn w:val="58"/>
    <w:next w:val="26"/>
    <w:autoRedefine/>
    <w:qFormat/>
    <w:uiPriority w:val="0"/>
    <w:pPr>
      <w:numPr>
        <w:ilvl w:val="4"/>
      </w:numPr>
      <w:outlineLvl w:val="5"/>
    </w:pPr>
  </w:style>
  <w:style w:type="paragraph" w:customStyle="1" w:styleId="92">
    <w:name w:val="封面一致性程度标识"/>
    <w:basedOn w:val="93"/>
    <w:autoRedefine/>
    <w:qFormat/>
    <w:uiPriority w:val="0"/>
    <w:pPr>
      <w:framePr w:wrap="around"/>
      <w:spacing w:before="440"/>
    </w:pPr>
    <w:rPr>
      <w:rFonts w:ascii="宋体" w:eastAsia="宋体"/>
    </w:rPr>
  </w:style>
  <w:style w:type="paragraph" w:customStyle="1" w:styleId="93">
    <w:name w:val="封面标准英文名称"/>
    <w:basedOn w:val="79"/>
    <w:autoRedefine/>
    <w:qFormat/>
    <w:uiPriority w:val="0"/>
    <w:pPr>
      <w:framePr w:wrap="around"/>
      <w:spacing w:before="370" w:line="400" w:lineRule="exact"/>
    </w:pPr>
    <w:rPr>
      <w:rFonts w:ascii="Times New Roman"/>
      <w:sz w:val="28"/>
      <w:szCs w:val="28"/>
    </w:rPr>
  </w:style>
  <w:style w:type="paragraph" w:customStyle="1" w:styleId="94">
    <w:name w:val="其他发布部门"/>
    <w:basedOn w:val="88"/>
    <w:autoRedefine/>
    <w:qFormat/>
    <w:uiPriority w:val="0"/>
    <w:pPr>
      <w:framePr w:wrap="around" w:y="15310"/>
      <w:spacing w:line="0" w:lineRule="atLeast"/>
    </w:pPr>
    <w:rPr>
      <w:rFonts w:ascii="黑体" w:eastAsia="黑体"/>
      <w:b w:val="0"/>
    </w:rPr>
  </w:style>
  <w:style w:type="paragraph" w:customStyle="1" w:styleId="95">
    <w:name w:val="目次、标准名称标题"/>
    <w:basedOn w:val="1"/>
    <w:next w:val="26"/>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96">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97">
    <w:name w:val="附录表标题"/>
    <w:basedOn w:val="1"/>
    <w:next w:val="26"/>
    <w:autoRedefine/>
    <w:qFormat/>
    <w:uiPriority w:val="0"/>
    <w:pPr>
      <w:numPr>
        <w:ilvl w:val="1"/>
        <w:numId w:val="6"/>
      </w:numPr>
      <w:spacing w:beforeLines="50" w:afterLines="50"/>
      <w:jc w:val="center"/>
    </w:pPr>
    <w:rPr>
      <w:rFonts w:ascii="黑体" w:eastAsia="黑体"/>
      <w:szCs w:val="21"/>
    </w:rPr>
  </w:style>
  <w:style w:type="paragraph" w:customStyle="1" w:styleId="98">
    <w:name w:val="附录公式编号制表符"/>
    <w:basedOn w:val="1"/>
    <w:next w:val="2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0">
    <w:name w:val="附录标识"/>
    <w:basedOn w:val="1"/>
    <w:next w:val="26"/>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1">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2">
    <w:name w:val="封面标准文稿编辑信息"/>
    <w:basedOn w:val="103"/>
    <w:autoRedefine/>
    <w:qFormat/>
    <w:uiPriority w:val="0"/>
    <w:pPr>
      <w:framePr w:wrap="around"/>
      <w:spacing w:before="180" w:line="180" w:lineRule="exact"/>
    </w:pPr>
    <w:rPr>
      <w:sz w:val="21"/>
    </w:rPr>
  </w:style>
  <w:style w:type="paragraph" w:customStyle="1" w:styleId="103">
    <w:name w:val="封面标准文稿类别"/>
    <w:basedOn w:val="92"/>
    <w:autoRedefine/>
    <w:qFormat/>
    <w:uiPriority w:val="0"/>
    <w:pPr>
      <w:framePr w:wrap="around"/>
      <w:spacing w:after="160" w:line="240" w:lineRule="auto"/>
    </w:pPr>
    <w:rPr>
      <w:sz w:val="24"/>
    </w:rPr>
  </w:style>
  <w:style w:type="paragraph" w:customStyle="1" w:styleId="10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5">
    <w:name w:val="列项◆（三级）"/>
    <w:basedOn w:val="1"/>
    <w:autoRedefine/>
    <w:qFormat/>
    <w:uiPriority w:val="0"/>
    <w:pPr>
      <w:numPr>
        <w:ilvl w:val="2"/>
        <w:numId w:val="8"/>
      </w:numPr>
    </w:pPr>
    <w:rPr>
      <w:rFonts w:ascii="宋体"/>
      <w:szCs w:val="21"/>
    </w:rPr>
  </w:style>
  <w:style w:type="paragraph" w:customStyle="1" w:styleId="106">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7">
    <w:name w:val="附录二级无"/>
    <w:basedOn w:val="75"/>
    <w:autoRedefine/>
    <w:qFormat/>
    <w:uiPriority w:val="0"/>
    <w:pPr>
      <w:spacing w:beforeLines="0" w:afterLines="0"/>
    </w:pPr>
    <w:rPr>
      <w:rFonts w:ascii="宋体" w:eastAsia="宋体"/>
      <w:szCs w:val="21"/>
    </w:rPr>
  </w:style>
  <w:style w:type="paragraph" w:customStyle="1" w:styleId="108">
    <w:name w:val="实施日期"/>
    <w:basedOn w:val="109"/>
    <w:autoRedefine/>
    <w:qFormat/>
    <w:uiPriority w:val="0"/>
    <w:pPr>
      <w:framePr w:wrap="around" w:vAnchor="page" w:hAnchor="text"/>
      <w:jc w:val="right"/>
    </w:pPr>
  </w:style>
  <w:style w:type="paragraph" w:customStyle="1" w:styleId="109">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0">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1">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2">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3">
    <w:name w:val="图表脚注说明"/>
    <w:basedOn w:val="1"/>
    <w:autoRedefine/>
    <w:qFormat/>
    <w:uiPriority w:val="0"/>
    <w:pPr>
      <w:ind w:left="544" w:hanging="181"/>
    </w:pPr>
    <w:rPr>
      <w:rFonts w:ascii="宋体"/>
      <w:sz w:val="18"/>
      <w:szCs w:val="18"/>
    </w:rPr>
  </w:style>
  <w:style w:type="paragraph" w:customStyle="1" w:styleId="114">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5">
    <w:name w:val="示例"/>
    <w:next w:val="116"/>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16">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17">
    <w:name w:val="Char Char"/>
    <w:basedOn w:val="1"/>
    <w:autoRedefine/>
    <w:qFormat/>
    <w:uiPriority w:val="0"/>
    <w:rPr>
      <w:rFonts w:ascii="黑体" w:eastAsia="黑体"/>
      <w:sz w:val="36"/>
      <w:szCs w:val="36"/>
    </w:rPr>
  </w:style>
  <w:style w:type="paragraph" w:customStyle="1" w:styleId="118">
    <w:name w:val="Char Char1"/>
    <w:basedOn w:val="1"/>
    <w:autoRedefine/>
    <w:qFormat/>
    <w:uiPriority w:val="0"/>
    <w:rPr>
      <w:rFonts w:ascii="黑体" w:eastAsia="黑体"/>
      <w:sz w:val="36"/>
      <w:szCs w:val="36"/>
    </w:rPr>
  </w:style>
  <w:style w:type="paragraph" w:customStyle="1" w:styleId="119">
    <w:name w:val="参考文献、索引标题"/>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0">
    <w:name w:val="正文表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1">
    <w:name w:val="二级无"/>
    <w:basedOn w:val="55"/>
    <w:autoRedefine/>
    <w:qFormat/>
    <w:uiPriority w:val="0"/>
    <w:pPr>
      <w:spacing w:beforeLines="0" w:afterLines="0"/>
      <w:ind w:left="0"/>
    </w:pPr>
    <w:rPr>
      <w:rFonts w:ascii="宋体" w:eastAsia="宋体"/>
    </w:rPr>
  </w:style>
  <w:style w:type="paragraph" w:customStyle="1" w:styleId="122">
    <w:name w:val="图标脚注说明"/>
    <w:basedOn w:val="26"/>
    <w:autoRedefine/>
    <w:qFormat/>
    <w:uiPriority w:val="0"/>
    <w:pPr>
      <w:ind w:left="840" w:hanging="420" w:firstLineChars="0"/>
    </w:pPr>
    <w:rPr>
      <w:sz w:val="18"/>
      <w:szCs w:val="18"/>
    </w:rPr>
  </w:style>
  <w:style w:type="paragraph" w:customStyle="1" w:styleId="123">
    <w:name w:val="其他标准标志"/>
    <w:basedOn w:val="124"/>
    <w:autoRedefine/>
    <w:qFormat/>
    <w:uiPriority w:val="0"/>
    <w:pPr>
      <w:framePr w:w="6101" w:wrap="around" w:vAnchor="page" w:hAnchor="page" w:x="4673" w:y="942"/>
    </w:pPr>
    <w:rPr>
      <w:w w:val="130"/>
    </w:rPr>
  </w:style>
  <w:style w:type="paragraph" w:customStyle="1" w:styleId="124">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5">
    <w:name w:val="封面一致性程度标识2"/>
    <w:basedOn w:val="92"/>
    <w:autoRedefine/>
    <w:qFormat/>
    <w:uiPriority w:val="0"/>
    <w:pPr>
      <w:framePr w:wrap="around" w:y="4469"/>
    </w:pPr>
  </w:style>
  <w:style w:type="paragraph" w:customStyle="1" w:styleId="126">
    <w:name w:val="标准书眉一"/>
    <w:autoRedefine/>
    <w:qFormat/>
    <w:uiPriority w:val="0"/>
    <w:pPr>
      <w:jc w:val="both"/>
    </w:pPr>
    <w:rPr>
      <w:rFonts w:ascii="Times New Roman" w:hAnsi="Times New Roman" w:eastAsia="宋体" w:cs="Times New Roman"/>
      <w:lang w:val="en-US" w:eastAsia="zh-CN" w:bidi="ar-SA"/>
    </w:rPr>
  </w:style>
  <w:style w:type="paragraph" w:customStyle="1" w:styleId="127">
    <w:name w:val="封面正文"/>
    <w:autoRedefine/>
    <w:qFormat/>
    <w:uiPriority w:val="0"/>
    <w:pPr>
      <w:jc w:val="both"/>
    </w:pPr>
    <w:rPr>
      <w:rFonts w:ascii="Times New Roman" w:hAnsi="Times New Roman" w:eastAsia="宋体" w:cs="Times New Roman"/>
      <w:lang w:val="en-US" w:eastAsia="zh-CN" w:bidi="ar-SA"/>
    </w:rPr>
  </w:style>
  <w:style w:type="paragraph" w:customStyle="1" w:styleId="128">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29">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0">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1">
    <w:name w:val="正文公式编号制表符"/>
    <w:basedOn w:val="26"/>
    <w:next w:val="26"/>
    <w:autoRedefine/>
    <w:qFormat/>
    <w:uiPriority w:val="0"/>
    <w:pPr>
      <w:ind w:firstLine="0" w:firstLineChars="0"/>
    </w:pPr>
  </w:style>
  <w:style w:type="paragraph" w:customStyle="1" w:styleId="132">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3">
    <w:name w:val="四级无"/>
    <w:basedOn w:val="91"/>
    <w:autoRedefine/>
    <w:qFormat/>
    <w:uiPriority w:val="0"/>
    <w:pPr>
      <w:spacing w:beforeLines="0" w:afterLines="0"/>
    </w:pPr>
    <w:rPr>
      <w:rFonts w:ascii="宋体" w:eastAsia="宋体"/>
    </w:rPr>
  </w:style>
  <w:style w:type="paragraph" w:customStyle="1" w:styleId="134">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5">
    <w:name w:val="附录四级无"/>
    <w:basedOn w:val="73"/>
    <w:autoRedefine/>
    <w:qFormat/>
    <w:uiPriority w:val="0"/>
    <w:pPr>
      <w:spacing w:beforeLines="0" w:afterLines="0"/>
    </w:pPr>
    <w:rPr>
      <w:rFonts w:ascii="宋体" w:eastAsia="宋体"/>
      <w:szCs w:val="21"/>
    </w:rPr>
  </w:style>
  <w:style w:type="paragraph" w:customStyle="1" w:styleId="136">
    <w:name w:val="封面标准英文名称2"/>
    <w:basedOn w:val="93"/>
    <w:autoRedefine/>
    <w:qFormat/>
    <w:uiPriority w:val="0"/>
    <w:pPr>
      <w:framePr w:wrap="around" w:y="4469"/>
    </w:pPr>
  </w:style>
  <w:style w:type="paragraph" w:customStyle="1" w:styleId="137">
    <w:name w:val="封面标准文稿类别2"/>
    <w:basedOn w:val="103"/>
    <w:autoRedefine/>
    <w:qFormat/>
    <w:uiPriority w:val="0"/>
    <w:pPr>
      <w:framePr w:wrap="around" w:y="4469"/>
    </w:pPr>
  </w:style>
  <w:style w:type="paragraph" w:customStyle="1" w:styleId="138">
    <w:name w:val="示例×："/>
    <w:basedOn w:val="139"/>
    <w:autoRedefine/>
    <w:qFormat/>
    <w:uiPriority w:val="0"/>
    <w:pPr>
      <w:numPr>
        <w:numId w:val="0"/>
      </w:numPr>
      <w:spacing w:beforeLines="0" w:afterLines="0"/>
      <w:ind w:firstLine="363"/>
      <w:outlineLvl w:val="9"/>
    </w:pPr>
    <w:rPr>
      <w:rFonts w:ascii="宋体" w:eastAsia="宋体"/>
      <w:sz w:val="18"/>
      <w:szCs w:val="18"/>
    </w:rPr>
  </w:style>
  <w:style w:type="paragraph" w:customStyle="1" w:styleId="139">
    <w:name w:val="章标题"/>
    <w:next w:val="26"/>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1">
    <w:name w:val="附录图标题"/>
    <w:basedOn w:val="1"/>
    <w:next w:val="26"/>
    <w:autoRedefine/>
    <w:qFormat/>
    <w:uiPriority w:val="0"/>
    <w:pPr>
      <w:numPr>
        <w:ilvl w:val="1"/>
        <w:numId w:val="5"/>
      </w:numPr>
      <w:spacing w:beforeLines="50" w:afterLines="50"/>
      <w:jc w:val="center"/>
    </w:pPr>
    <w:rPr>
      <w:rFonts w:ascii="黑体" w:eastAsia="黑体"/>
      <w:szCs w:val="21"/>
    </w:rPr>
  </w:style>
  <w:style w:type="paragraph" w:customStyle="1" w:styleId="142">
    <w:name w:val="其他实施日期"/>
    <w:basedOn w:val="108"/>
    <w:autoRedefine/>
    <w:qFormat/>
    <w:uiPriority w:val="0"/>
    <w:pPr>
      <w:framePr w:wrap="around" w:vAnchor="margin" w:hAnchor="page"/>
    </w:pPr>
  </w:style>
  <w:style w:type="paragraph" w:customStyle="1" w:styleId="143">
    <w:name w:val="三级无"/>
    <w:basedOn w:val="58"/>
    <w:autoRedefine/>
    <w:qFormat/>
    <w:uiPriority w:val="0"/>
    <w:pPr>
      <w:spacing w:beforeLines="0" w:afterLines="0"/>
    </w:pPr>
    <w:rPr>
      <w:rFonts w:ascii="宋体" w:eastAsia="宋体"/>
    </w:rPr>
  </w:style>
  <w:style w:type="paragraph" w:customStyle="1" w:styleId="144">
    <w:name w:val="封面标准名称2"/>
    <w:basedOn w:val="79"/>
    <w:autoRedefine/>
    <w:qFormat/>
    <w:uiPriority w:val="0"/>
    <w:pPr>
      <w:framePr w:wrap="around" w:y="4469"/>
      <w:spacing w:beforeLines="630"/>
    </w:pPr>
  </w:style>
  <w:style w:type="paragraph" w:customStyle="1" w:styleId="145">
    <w:name w:val="正文图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6">
    <w:name w:val="示例后文字"/>
    <w:basedOn w:val="26"/>
    <w:next w:val="26"/>
    <w:autoRedefine/>
    <w:qFormat/>
    <w:uiPriority w:val="0"/>
    <w:pPr>
      <w:ind w:firstLine="360"/>
    </w:pPr>
    <w:rPr>
      <w:sz w:val="18"/>
    </w:rPr>
  </w:style>
  <w:style w:type="paragraph" w:customStyle="1" w:styleId="147">
    <w:name w:val="其他发布日期"/>
    <w:basedOn w:val="109"/>
    <w:autoRedefine/>
    <w:qFormat/>
    <w:uiPriority w:val="0"/>
    <w:pPr>
      <w:framePr w:wrap="around" w:vAnchor="page" w:hAnchor="text" w:x="1419"/>
    </w:pPr>
  </w:style>
  <w:style w:type="paragraph" w:customStyle="1" w:styleId="148">
    <w:name w:val="封面标准文稿编辑信息2"/>
    <w:basedOn w:val="102"/>
    <w:autoRedefine/>
    <w:qFormat/>
    <w:uiPriority w:val="0"/>
    <w:pPr>
      <w:framePr w:wrap="around" w:y="4469"/>
    </w:pPr>
  </w:style>
  <w:style w:type="paragraph" w:customStyle="1" w:styleId="149">
    <w:name w:val="一级无"/>
    <w:basedOn w:val="56"/>
    <w:autoRedefine/>
    <w:qFormat/>
    <w:uiPriority w:val="0"/>
    <w:pPr>
      <w:spacing w:before="156" w:after="156"/>
    </w:pPr>
    <w:rPr>
      <w:rFonts w:ascii="Times New Roman" w:eastAsia="宋体"/>
      <w:color w:val="000000"/>
    </w:rPr>
  </w:style>
  <w:style w:type="paragraph" w:customStyle="1" w:styleId="150">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1">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2">
    <w:name w:val="附录表标号"/>
    <w:basedOn w:val="1"/>
    <w:next w:val="26"/>
    <w:autoRedefine/>
    <w:qFormat/>
    <w:uiPriority w:val="0"/>
    <w:pPr>
      <w:numPr>
        <w:ilvl w:val="0"/>
        <w:numId w:val="6"/>
      </w:numPr>
      <w:spacing w:line="14" w:lineRule="exact"/>
      <w:jc w:val="center"/>
      <w:outlineLvl w:val="0"/>
    </w:pPr>
    <w:rPr>
      <w:color w:val="FFFFFF"/>
    </w:rPr>
  </w:style>
  <w:style w:type="paragraph" w:customStyle="1" w:styleId="153">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4">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5">
    <w:name w:val="条文脚注"/>
    <w:basedOn w:val="27"/>
    <w:autoRedefine/>
    <w:qFormat/>
    <w:uiPriority w:val="0"/>
    <w:pPr>
      <w:numPr>
        <w:numId w:val="0"/>
      </w:numPr>
      <w:jc w:val="both"/>
    </w:pPr>
  </w:style>
  <w:style w:type="paragraph" w:customStyle="1" w:styleId="156">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7">
    <w:name w:val="终结线"/>
    <w:basedOn w:val="1"/>
    <w:autoRedefine/>
    <w:qFormat/>
    <w:uiPriority w:val="0"/>
    <w:pPr>
      <w:framePr w:hSpace="181" w:vSpace="181" w:wrap="around" w:vAnchor="text" w:hAnchor="margin" w:xAlign="center" w:y="285"/>
    </w:pPr>
  </w:style>
  <w:style w:type="paragraph" w:customStyle="1" w:styleId="158">
    <w:name w:val="前言、引言标题"/>
    <w:next w:val="26"/>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9">
    <w:name w:val="图的脚注"/>
    <w:next w:val="26"/>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0">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1">
    <w:name w:val="标题 6 字符"/>
    <w:link w:val="3"/>
    <w:autoRedefine/>
    <w:semiHidden/>
    <w:qFormat/>
    <w:uiPriority w:val="0"/>
    <w:rPr>
      <w:rFonts w:ascii="等线 Light" w:hAnsi="等线 Light" w:eastAsia="等线 Light" w:cs="Times New Roman"/>
      <w:b/>
      <w:bCs/>
      <w:kern w:val="2"/>
      <w:sz w:val="24"/>
      <w:szCs w:val="24"/>
    </w:rPr>
  </w:style>
  <w:style w:type="character" w:customStyle="1" w:styleId="162">
    <w:name w:val="页脚 字符"/>
    <w:link w:val="20"/>
    <w:autoRedefine/>
    <w:qFormat/>
    <w:uiPriority w:val="99"/>
    <w:rPr>
      <w:kern w:val="2"/>
      <w:sz w:val="18"/>
      <w:szCs w:val="18"/>
    </w:rPr>
  </w:style>
  <w:style w:type="paragraph" w:customStyle="1" w:styleId="163">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4">
    <w:name w:val="正文文本缩进 2 字符"/>
    <w:basedOn w:val="39"/>
    <w:link w:val="17"/>
    <w:autoRedefine/>
    <w:qFormat/>
    <w:uiPriority w:val="99"/>
    <w:rPr>
      <w:rFonts w:eastAsia="PMingLiU-ExtB"/>
      <w:kern w:val="2"/>
      <w:sz w:val="24"/>
      <w:szCs w:val="24"/>
      <w:lang w:eastAsia="zh-TW"/>
    </w:rPr>
  </w:style>
  <w:style w:type="paragraph" w:customStyle="1" w:styleId="165">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6">
    <w:name w:val="标准文件_术语条一"/>
    <w:basedOn w:val="167"/>
    <w:next w:val="165"/>
    <w:autoRedefine/>
    <w:qFormat/>
    <w:uiPriority w:val="0"/>
  </w:style>
  <w:style w:type="paragraph" w:customStyle="1" w:styleId="167">
    <w:name w:val="标准文件_一级无标题"/>
    <w:basedOn w:val="168"/>
    <w:autoRedefine/>
    <w:qFormat/>
    <w:uiPriority w:val="0"/>
    <w:pPr>
      <w:spacing w:before="0" w:beforeLines="0" w:after="0" w:afterLines="0"/>
      <w:outlineLvl w:val="9"/>
    </w:pPr>
    <w:rPr>
      <w:rFonts w:ascii="宋体" w:eastAsia="宋体"/>
    </w:rPr>
  </w:style>
  <w:style w:type="paragraph" w:customStyle="1" w:styleId="168">
    <w:name w:val="标准文件_一级条标题"/>
    <w:basedOn w:val="169"/>
    <w:next w:val="165"/>
    <w:autoRedefine/>
    <w:qFormat/>
    <w:uiPriority w:val="0"/>
    <w:pPr>
      <w:numPr>
        <w:ilvl w:val="2"/>
      </w:numPr>
      <w:spacing w:before="50" w:beforeLines="50" w:after="50" w:afterLines="50"/>
      <w:outlineLvl w:val="1"/>
    </w:pPr>
  </w:style>
  <w:style w:type="paragraph" w:customStyle="1" w:styleId="169">
    <w:name w:val="标准文件_章标题"/>
    <w:next w:val="165"/>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170">
    <w:name w:val="标准文件_段 Char"/>
    <w:basedOn w:val="39"/>
    <w:autoRedefine/>
    <w:qFormat/>
    <w:uiPriority w:val="0"/>
    <w:rPr>
      <w:rFonts w:hint="eastAsia" w:ascii="宋体" w:hAnsi="宋体" w:eastAsia="宋体" w:cs="宋体"/>
      <w:sz w:val="21"/>
    </w:rPr>
  </w:style>
  <w:style w:type="paragraph" w:customStyle="1" w:styleId="17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2">
    <w:name w:val="正文1"/>
    <w:qFormat/>
    <w:uiPriority w:val="0"/>
    <w:pPr>
      <w:jc w:val="both"/>
    </w:pPr>
    <w:rPr>
      <w:rFonts w:ascii="Calibri" w:hAnsi="Calibri" w:eastAsia="宋体" w:cs="Calibri"/>
      <w:kern w:val="2"/>
      <w:sz w:val="21"/>
      <w:szCs w:val="21"/>
      <w:lang w:val="en-US" w:eastAsia="zh-CN" w:bidi="ar-SA"/>
    </w:rPr>
  </w:style>
  <w:style w:type="paragraph" w:customStyle="1" w:styleId="173">
    <w:name w:val="标准文件_二级条标题"/>
    <w:next w:val="165"/>
    <w:qFormat/>
    <w:uiPriority w:val="0"/>
    <w:pPr>
      <w:widowControl w:val="0"/>
      <w:numPr>
        <w:ilvl w:val="3"/>
        <w:numId w:val="11"/>
      </w:numPr>
      <w:spacing w:before="50" w:beforeLines="50" w:after="50" w:afterLines="50"/>
      <w:jc w:val="both"/>
      <w:outlineLvl w:val="2"/>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dec89b2-61f7-4ca6-98e2-c36374a47443}"/>
        <w:style w:val=""/>
        <w:category>
          <w:name w:val="常规"/>
          <w:gallery w:val="placeholder"/>
        </w:category>
        <w:types>
          <w:type w:val="bbPlcHdr"/>
        </w:types>
        <w:behaviors>
          <w:behavior w:val="content"/>
        </w:behaviors>
        <w:description w:val=""/>
        <w:guid w:val="{BDEC89B2-61F7-4CA6-98E2-C36374A47443}"/>
      </w:docPartPr>
      <w:docPartBody>
        <w:p w14:paraId="4868C35D">
          <w:pPr>
            <w:pStyle w:val="4"/>
            <w:rPr>
              <w:rFonts w:hint="eastAsia"/>
            </w:rPr>
          </w:pPr>
          <w:r>
            <w:rPr>
              <w:rStyle w:val="5"/>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F77"/>
    <w:rsid w:val="00061F77"/>
    <w:rsid w:val="009F278B"/>
    <w:rsid w:val="00F16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AA4200051FB54D44942A687BA6A275D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02_GZBD标准模板</Template>
  <Pages>8</Pages>
  <Words>2833</Words>
  <Characters>2974</Characters>
  <Lines>131</Lines>
  <Paragraphs>134</Paragraphs>
  <TotalTime>10</TotalTime>
  <ScaleCrop>false</ScaleCrop>
  <LinksUpToDate>false</LinksUpToDate>
  <CharactersWithSpaces>3050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2024-05-28T07:02:00Z</cp:lastPrinted>
  <dcterms:modified xsi:type="dcterms:W3CDTF">2026-07-29T09:44:06Z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C9288B688AA74D738B0C8191A0AAE3DD_13</vt:lpwstr>
  </property>
  <property fmtid="{D5CDD505-2E9C-101B-9397-08002B2CF9AE}" pid="4" name="KSOTemplateDocerSaveRecord">
    <vt:lpwstr>eyJoZGlkIjoiYThiY2VlNzg1Yjc5MmY1NDQ1YWQ1YTJhZWIxNWQ3YjciLCJ1c2VySWQiOiI1OTIzNDQ4MDEifQ==</vt:lpwstr>
  </property>
</Properties>
</file>