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7B1AD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8E5B9E2">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2019067E">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bookmarkStart w:id="1" w:name="ICS"/>
            <w:r>
              <w:rPr>
                <w:rFonts w:hint="eastAsia" w:ascii="黑体" w:hAnsi="黑体" w:eastAsia="黑体"/>
                <w:sz w:val="21"/>
                <w:szCs w:val="21"/>
              </w:rPr>
              <w:fldChar w:fldCharType="begin">
                <w:ffData>
                  <w:name w:val="ICS"/>
                  <w:enabled/>
                  <w:calcOnExit w:val="0"/>
                  <w:textInput>
                    <w:default w:val="71.100"/>
                  </w:textInput>
                </w:ffData>
              </w:fldChar>
            </w:r>
            <w:r>
              <w:rPr>
                <w:rFonts w:hint="eastAsia" w:ascii="黑体" w:hAnsi="黑体" w:eastAsia="黑体"/>
                <w:sz w:val="21"/>
                <w:szCs w:val="21"/>
              </w:rPr>
              <w:instrText xml:space="preserve">FORMTEXT</w:instrText>
            </w:r>
            <w:r>
              <w:rPr>
                <w:rFonts w:hint="eastAsia" w:ascii="黑体" w:hAnsi="黑体" w:eastAsia="黑体"/>
                <w:sz w:val="21"/>
                <w:szCs w:val="21"/>
              </w:rPr>
              <w:fldChar w:fldCharType="separate"/>
            </w:r>
            <w:r>
              <w:rPr>
                <w:rFonts w:hint="eastAsia" w:ascii="黑体" w:hAnsi="黑体" w:eastAsia="黑体"/>
                <w:sz w:val="21"/>
                <w:szCs w:val="21"/>
              </w:rPr>
              <w:t>71.100</w:t>
            </w:r>
            <w:r>
              <w:rPr>
                <w:rFonts w:hint="eastAsia" w:ascii="黑体" w:hAnsi="黑体" w:eastAsia="黑体"/>
                <w:sz w:val="21"/>
                <w:szCs w:val="21"/>
              </w:rPr>
              <w:fldChar w:fldCharType="end"/>
            </w:r>
            <w:bookmarkEnd w:id="1"/>
          </w:p>
        </w:tc>
      </w:tr>
      <w:tr w14:paraId="2D3D5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0EE8FD0">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5EE757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B0FF999">
                  <w:pPr>
                    <w:pStyle w:val="54"/>
                    <w:framePr w:wrap="notBeside" w:vAnchor="page" w:hAnchor="page" w:x="1372" w:y="568"/>
                    <w:ind w:left="420" w:right="624"/>
                    <w:rPr>
                      <w:rFonts w:hint="eastAsia" w:ascii="宋体" w:hAnsi="宋体"/>
                      <w:sz w:val="28"/>
                      <w:szCs w:val="28"/>
                    </w:rPr>
                  </w:pPr>
                  <w:r>
                    <w:rPr>
                      <w:rFonts w:hint="eastAsia"/>
                    </w:rPr>
                    <w:t>T/</w:t>
                  </w:r>
                  <w:bookmarkStart w:id="2" w:name="c1"/>
                  <w:r>
                    <w:rPr>
                      <w:rFonts w:hint="eastAsia"/>
                    </w:rPr>
                    <w:fldChar w:fldCharType="begin">
                      <w:ffData>
                        <w:name w:val="c1"/>
                        <w:enabled/>
                        <w:calcOnExit w:val="0"/>
                        <w:textInput>
                          <w:default w:val="CWDPA"/>
                          <w:maxLength w:val="7"/>
                        </w:textInput>
                      </w:ffData>
                    </w:fldChar>
                  </w:r>
                  <w:r>
                    <w:rPr>
                      <w:rFonts w:hint="eastAsia"/>
                    </w:rPr>
                    <w:instrText xml:space="preserve">FORMTEXT</w:instrText>
                  </w:r>
                  <w:r>
                    <w:rPr>
                      <w:rFonts w:hint="eastAsia"/>
                    </w:rPr>
                    <w:fldChar w:fldCharType="separate"/>
                  </w:r>
                  <w:r>
                    <w:rPr>
                      <w:rFonts w:hint="eastAsia"/>
                    </w:rPr>
                    <w:t>CWDPA</w:t>
                  </w:r>
                  <w:r>
                    <w:rPr>
                      <w:rFonts w:hint="eastAsia"/>
                    </w:rPr>
                    <w:fldChar w:fldCharType="end"/>
                  </w:r>
                  <w:bookmarkEnd w:id="2"/>
                </w:p>
              </w:tc>
            </w:tr>
          </w:tbl>
          <w:p w14:paraId="6C023F25">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bookmarkStart w:id="3" w:name="CSDN"/>
            <w:r>
              <w:rPr>
                <w:rFonts w:hint="eastAsia" w:ascii="黑体" w:hAnsi="黑体" w:eastAsia="黑体"/>
                <w:sz w:val="21"/>
                <w:szCs w:val="21"/>
              </w:rPr>
              <w:fldChar w:fldCharType="begin">
                <w:ffData>
                  <w:name w:val="CSDN"/>
                  <w:enabled/>
                  <w:calcOnExit w:val="0"/>
                  <w:textInput>
                    <w:default w:val="A 53"/>
                  </w:textInput>
                </w:ffData>
              </w:fldChar>
            </w:r>
            <w:r>
              <w:rPr>
                <w:rFonts w:hint="eastAsia" w:ascii="黑体" w:hAnsi="黑体" w:eastAsia="黑体"/>
                <w:sz w:val="21"/>
                <w:szCs w:val="21"/>
              </w:rPr>
              <w:instrText xml:space="preserve">FORMTEXT</w:instrText>
            </w:r>
            <w:r>
              <w:rPr>
                <w:rFonts w:hint="eastAsia" w:ascii="黑体" w:hAnsi="黑体" w:eastAsia="黑体"/>
                <w:sz w:val="21"/>
                <w:szCs w:val="21"/>
              </w:rPr>
              <w:fldChar w:fldCharType="separate"/>
            </w:r>
            <w:r>
              <w:rPr>
                <w:rFonts w:hint="eastAsia" w:ascii="黑体" w:hAnsi="黑体" w:eastAsia="黑体"/>
                <w:sz w:val="21"/>
                <w:szCs w:val="21"/>
              </w:rPr>
              <w:t>A 53</w:t>
            </w:r>
            <w:r>
              <w:rPr>
                <w:rFonts w:hint="eastAsia" w:ascii="黑体" w:hAnsi="黑体" w:eastAsia="黑体"/>
                <w:sz w:val="21"/>
                <w:szCs w:val="21"/>
              </w:rPr>
              <w:fldChar w:fldCharType="end"/>
            </w:r>
            <w:bookmarkEnd w:id="3"/>
          </w:p>
        </w:tc>
      </w:tr>
    </w:tbl>
    <w:p w14:paraId="2449D5A0">
      <w:pPr>
        <w:pStyle w:val="55"/>
        <w:framePr w:w="9639" w:h="624" w:hRule="exact" w:hSpace="181" w:vSpace="181" w:wrap="around" w:hAnchor="page" w:x="1305" w:y="2269"/>
        <w:rPr>
          <w:rFonts w:hint="eastAsia" w:ascii="黑体" w:hAnsi="黑体" w:eastAsia="黑体"/>
          <w:b w:val="0"/>
          <w:bCs w:val="0"/>
          <w:w w:val="100"/>
          <w:sz w:val="48"/>
          <w:szCs w:val="48"/>
        </w:rPr>
      </w:pPr>
      <w:bookmarkStart w:id="4"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4"/>
    <w:p w14:paraId="3F951F03">
      <w:pPr>
        <w:pStyle w:val="200"/>
        <w:framePr w:wrap="around"/>
      </w:pPr>
      <w:r>
        <w:t>T/</w:t>
      </w:r>
      <w:bookmarkStart w:id="5" w:name="文字1"/>
      <w:r>
        <w:fldChar w:fldCharType="begin">
          <w:ffData>
            <w:name w:val="文字1"/>
            <w:enabled/>
            <w:calcOnExit w:val="0"/>
            <w:textInput>
              <w:default w:val="CWDPA"/>
            </w:textInput>
          </w:ffData>
        </w:fldChar>
      </w:r>
      <w:r>
        <w:instrText xml:space="preserve">FORMTEXT</w:instrText>
      </w:r>
      <w:r>
        <w:fldChar w:fldCharType="separate"/>
      </w:r>
      <w:r>
        <w:t>CWDPA</w:t>
      </w:r>
      <w:r>
        <w:fldChar w:fldCharType="end"/>
      </w:r>
      <w:bookmarkEnd w:id="5"/>
      <w:r>
        <w:rPr>
          <w:rFonts w:hint="eastAsia"/>
        </w:rPr>
        <w:t xml:space="preserve"> </w:t>
      </w:r>
      <w:r>
        <w:fldChar w:fldCharType="begin">
          <w:ffData>
            <w:name w:val="NSTD_CODE_F"/>
            <w:enabled/>
            <w:calcOnExit w:val="0"/>
            <w:textInput>
              <w:default w:val="XXX"/>
            </w:textInput>
          </w:ffData>
        </w:fldChar>
      </w:r>
      <w:bookmarkStart w:id="6" w:name="NSTD_CODE_F"/>
      <w:r>
        <w:instrText xml:space="preserve"> FORMTEXT </w:instrText>
      </w:r>
      <w:r>
        <w:fldChar w:fldCharType="separate"/>
      </w:r>
      <w:r>
        <w:t>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56D37F4B">
      <w:pPr>
        <w:pStyle w:val="201"/>
        <w:framePr w:wrap="around"/>
        <w:rPr>
          <w:rFonts w:hint="eastAsia"/>
        </w:rPr>
      </w:pPr>
    </w:p>
    <w:p w14:paraId="0AC74BD9">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AB57104">
      <w:pPr>
        <w:pStyle w:val="55"/>
        <w:framePr w:w="9639" w:h="6976" w:hRule="exact" w:hSpace="0" w:vSpace="0" w:wrap="around" w:hAnchor="page" w:y="6408"/>
        <w:jc w:val="center"/>
        <w:rPr>
          <w:rFonts w:hint="eastAsia" w:ascii="黑体" w:hAnsi="黑体" w:eastAsia="黑体"/>
          <w:b w:val="0"/>
          <w:bCs w:val="0"/>
          <w:w w:val="100"/>
        </w:rPr>
      </w:pPr>
    </w:p>
    <w:p w14:paraId="3DBD6E3C">
      <w:pPr>
        <w:pStyle w:val="202"/>
        <w:framePr w:wrap="around" w:x="1510" w:y="6982"/>
        <w:rPr>
          <w:rFonts w:hint="eastAsia"/>
        </w:rPr>
      </w:pPr>
      <w:bookmarkStart w:id="8" w:name="CSTD_NAME"/>
      <w:r>
        <w:rPr>
          <w:rFonts w:hint="eastAsia"/>
        </w:rPr>
        <w:fldChar w:fldCharType="begin">
          <w:ffData>
            <w:name w:val="CSTD_NAME"/>
            <w:enabled/>
            <w:calcOnExit w:val="0"/>
            <w:textInput>
              <w:default w:val="原子重力仪可靠性测试方法"/>
            </w:textInput>
          </w:ffData>
        </w:fldChar>
      </w:r>
      <w:r>
        <w:rPr>
          <w:rFonts w:hint="eastAsia"/>
        </w:rPr>
        <w:instrText xml:space="preserve">FORMTEXT</w:instrText>
      </w:r>
      <w:r>
        <w:rPr>
          <w:rFonts w:hint="eastAsia"/>
        </w:rPr>
        <w:fldChar w:fldCharType="separate"/>
      </w:r>
      <w:r>
        <w:rPr>
          <w:rFonts w:hint="eastAsia"/>
        </w:rPr>
        <w:t>原子重力仪可靠性测试方法</w:t>
      </w:r>
      <w:r>
        <w:rPr>
          <w:rFonts w:hint="eastAsia"/>
        </w:rPr>
        <w:fldChar w:fldCharType="end"/>
      </w:r>
      <w:bookmarkEnd w:id="8"/>
    </w:p>
    <w:p w14:paraId="273ACE16">
      <w:pPr>
        <w:framePr w:w="9639" w:h="6974" w:hRule="exact" w:wrap="around" w:vAnchor="page" w:hAnchor="page" w:x="1627" w:y="7792" w:anchorLock="1"/>
        <w:ind w:left="-1418"/>
      </w:pPr>
    </w:p>
    <w:p w14:paraId="1600F71D">
      <w:pPr>
        <w:pStyle w:val="130"/>
        <w:framePr w:w="9639" w:h="6974" w:hRule="exact" w:wrap="around" w:vAnchor="page" w:hAnchor="page" w:x="1627" w:y="7792" w:anchorLock="1"/>
        <w:textAlignment w:val="bottom"/>
        <w:rPr>
          <w:rFonts w:eastAsia="黑体"/>
          <w:szCs w:val="28"/>
        </w:rPr>
      </w:pPr>
      <w:bookmarkStart w:id="9" w:name="ESTD_NAME"/>
      <w:r>
        <w:rPr>
          <w:rFonts w:eastAsia="黑体"/>
          <w:szCs w:val="28"/>
        </w:rPr>
        <w:fldChar w:fldCharType="begin">
          <w:ffData>
            <w:name w:val="ESTD_NAME"/>
            <w:enabled/>
            <w:calcOnExit w:val="0"/>
            <w:textInput>
              <w:default w:val="Reliability testing methods for atomic gravimeters"/>
            </w:textInput>
          </w:ffData>
        </w:fldChar>
      </w:r>
      <w:r>
        <w:rPr>
          <w:rFonts w:eastAsia="黑体"/>
          <w:szCs w:val="28"/>
        </w:rPr>
        <w:instrText xml:space="preserve">FORMTEXT</w:instrText>
      </w:r>
      <w:r>
        <w:rPr>
          <w:rFonts w:eastAsia="黑体"/>
          <w:szCs w:val="28"/>
        </w:rPr>
        <w:fldChar w:fldCharType="separate"/>
      </w:r>
      <w:r>
        <w:rPr>
          <w:rFonts w:eastAsia="黑体"/>
          <w:szCs w:val="28"/>
        </w:rPr>
        <w:t>Reliability testing methods for atomic gravimeters</w:t>
      </w:r>
      <w:r>
        <w:rPr>
          <w:rFonts w:eastAsia="黑体"/>
          <w:szCs w:val="28"/>
        </w:rPr>
        <w:fldChar w:fldCharType="end"/>
      </w:r>
      <w:bookmarkEnd w:id="9"/>
    </w:p>
    <w:p w14:paraId="3E14D433">
      <w:pPr>
        <w:framePr w:w="9639" w:h="6974" w:hRule="exact" w:wrap="around" w:vAnchor="page" w:hAnchor="page" w:x="1627" w:y="7792" w:anchorLock="1"/>
        <w:spacing w:line="760" w:lineRule="exact"/>
        <w:ind w:left="-1418"/>
      </w:pPr>
    </w:p>
    <w:p w14:paraId="401D7900">
      <w:pPr>
        <w:pStyle w:val="130"/>
        <w:framePr w:w="9639" w:h="6974" w:hRule="exact" w:wrap="around" w:vAnchor="page" w:hAnchor="page" w:x="1627" w:y="7792" w:anchorLock="1"/>
        <w:textAlignment w:val="bottom"/>
        <w:rPr>
          <w:rFonts w:eastAsia="黑体"/>
          <w:szCs w:val="28"/>
        </w:rPr>
      </w:pPr>
    </w:p>
    <w:p w14:paraId="5A8424DF">
      <w:pPr>
        <w:pStyle w:val="130"/>
        <w:framePr w:w="9639" w:h="6974" w:hRule="exact" w:wrap="around" w:vAnchor="page" w:hAnchor="page" w:x="1627" w:y="7792" w:anchorLock="1"/>
        <w:pBdr>
          <w:top w:val="none" w:sz="0" w:space="0"/>
          <w:left w:val="none" w:sz="0" w:space="0"/>
          <w:bottom w:val="none" w:sz="0" w:space="0"/>
          <w:right w:val="none" w:sz="0" w:space="0"/>
        </w:pBdr>
        <w:spacing w:before="440" w:after="160"/>
        <w:textAlignment w:val="bottom"/>
        <w:rPr>
          <w:sz w:val="24"/>
          <w:szCs w:val="28"/>
        </w:rPr>
      </w:pPr>
      <w:r>
        <w:rPr>
          <w:rFonts w:ascii="Times New Roman" w:hAnsi="Times New Roman" w:eastAsia="宋体" w:cs="Times New Roman"/>
          <w:sz w:val="24"/>
          <w:szCs w:val="28"/>
          <w:highlight w:val="none"/>
          <w:lang w:val="en-US" w:eastAsia="zh-CN" w:bidi="ar-SA"/>
        </w:rPr>
        <w:fldChar w:fldCharType="begin">
          <w:ffData>
            <w:name w:val="下拉1"/>
            <w:enabled/>
            <w:calcOnExit w:val="0"/>
            <w:ddList>
              <w:listEntry w:val="（征求意见稿）"/>
              <w:listEntry w:val=" "/>
              <w:listEntry w:val="草案版次选择"/>
              <w:listEntry w:val="（工作组讨论稿）"/>
              <w:listEntry w:val="（送审讨论稿）"/>
              <w:listEntry w:val="（送审稿）"/>
              <w:listEntry w:val="（报批稿）"/>
            </w:ddList>
          </w:ffData>
        </w:fldChar>
      </w:r>
      <w:r>
        <w:rPr>
          <w:rFonts w:ascii="Times New Roman" w:hAnsi="Times New Roman" w:eastAsia="宋体" w:cs="Times New Roman"/>
          <w:sz w:val="24"/>
          <w:szCs w:val="28"/>
          <w:highlight w:val="none"/>
          <w:lang w:val="en-US" w:eastAsia="zh-CN" w:bidi="ar-SA"/>
        </w:rPr>
        <w:instrText xml:space="preserve">FORMDROPDOWN</w:instrText>
      </w:r>
      <w:r>
        <w:rPr>
          <w:rFonts w:ascii="Times New Roman" w:hAnsi="Times New Roman" w:eastAsia="宋体" w:cs="Times New Roman"/>
          <w:sz w:val="24"/>
          <w:szCs w:val="28"/>
          <w:highlight w:val="none"/>
          <w:lang w:val="en-US" w:eastAsia="zh-CN" w:bidi="ar-SA"/>
        </w:rPr>
        <w:fldChar w:fldCharType="separate"/>
      </w:r>
      <w:r>
        <w:rPr>
          <w:rFonts w:ascii="Times New Roman" w:hAnsi="Times New Roman" w:eastAsia="宋体" w:cs="Times New Roman"/>
          <w:sz w:val="24"/>
          <w:szCs w:val="28"/>
          <w:highlight w:val="none"/>
          <w:lang w:val="en-US" w:eastAsia="zh-CN" w:bidi="ar-SA"/>
        </w:rPr>
        <w:fldChar w:fldCharType="end"/>
      </w:r>
      <w:bookmarkStart w:id="157" w:name="_GoBack"/>
      <w:bookmarkEnd w:id="157"/>
    </w:p>
    <w:p w14:paraId="37FF9A59">
      <w:pPr>
        <w:pStyle w:val="130"/>
        <w:framePr w:w="9639" w:h="6974" w:hRule="exact" w:wrap="around" w:vAnchor="page" w:hAnchor="page" w:x="1627" w:y="7792"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fldChar w:fldCharType="separate"/>
      </w:r>
      <w:r>
        <w:rPr>
          <w:b/>
          <w:sz w:val="21"/>
          <w:szCs w:val="28"/>
        </w:rPr>
        <w:fldChar w:fldCharType="end"/>
      </w:r>
      <w:bookmarkEnd w:id="10"/>
    </w:p>
    <w:p w14:paraId="63D10E17">
      <w:pPr>
        <w:pStyle w:val="198"/>
        <w:framePr w:wrap="around" w:y="14176"/>
      </w:pPr>
      <w:bookmarkStart w:id="11" w:name="PLSH_DATE_Y"/>
      <w:r>
        <w:rPr>
          <w:rFonts w:ascii="黑体"/>
        </w:rPr>
        <w:fldChar w:fldCharType="begin">
          <w:ffData>
            <w:name w:val="PLSH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1"/>
      <w:r>
        <w:rPr>
          <w:rFonts w:ascii="黑体"/>
        </w:rPr>
        <w:t>-</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ascii="黑体"/>
        </w:rPr>
        <w:t>-</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发布</w:t>
      </w:r>
    </w:p>
    <w:p w14:paraId="66166650">
      <w:pPr>
        <w:pStyle w:val="199"/>
        <w:framePr w:wrap="around" w:y="14176"/>
      </w:pPr>
      <w:bookmarkStart w:id="14" w:name="CROT_DATE_Y"/>
      <w:r>
        <w:rPr>
          <w:rFonts w:ascii="黑体"/>
        </w:rPr>
        <w:fldChar w:fldCharType="begin">
          <w:ffData>
            <w:name w:val="CROT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4"/>
      <w:r>
        <w:rPr>
          <w:rFonts w:ascii="黑体"/>
        </w:rPr>
        <w:t>-</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ascii="黑体"/>
        </w:rPr>
        <w:t>-</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实施</w:t>
      </w:r>
    </w:p>
    <w:p w14:paraId="046002BA">
      <w:pPr>
        <w:pStyle w:val="156"/>
        <w:framePr w:h="584" w:hRule="exact" w:hSpace="181" w:vSpace="181" w:wrap="around" w:vAnchor="page" w:y="14727"/>
        <w:rPr>
          <w:rFonts w:hint="eastAsia" w:hAnsi="黑体"/>
        </w:rPr>
      </w:pPr>
      <w:bookmarkStart w:id="17" w:name="fm"/>
      <w:r>
        <w:rPr>
          <w:rFonts w:hAnsi="黑体"/>
          <w:w w:val="100"/>
          <w:sz w:val="28"/>
        </w:rPr>
        <w:fldChar w:fldCharType="begin">
          <w:ffData>
            <w:name w:val="fm"/>
            <w:enabled/>
            <w:calcOnExit w:val="0"/>
            <w:textInput>
              <w:default w:val="中国西部开发促进会"/>
            </w:textInput>
          </w:ffData>
        </w:fldChar>
      </w:r>
      <w:r>
        <w:rPr>
          <w:rFonts w:hAnsi="黑体"/>
          <w:w w:val="100"/>
          <w:sz w:val="28"/>
        </w:rPr>
        <w:instrText xml:space="preserve">FORMTEXT</w:instrText>
      </w:r>
      <w:r>
        <w:rPr>
          <w:rFonts w:hAnsi="黑体"/>
          <w:w w:val="100"/>
          <w:sz w:val="28"/>
        </w:rPr>
        <w:fldChar w:fldCharType="separate"/>
      </w:r>
      <w:r>
        <w:rPr>
          <w:rFonts w:hAnsi="黑体"/>
          <w:w w:val="100"/>
          <w:sz w:val="28"/>
        </w:rPr>
        <w:t>中国西部开发促进会</w:t>
      </w:r>
      <w:r>
        <w:rPr>
          <w:rFonts w:hAnsi="黑体"/>
          <w:w w:val="100"/>
          <w:sz w:val="28"/>
        </w:rPr>
        <w:fldChar w:fldCharType="end"/>
      </w:r>
      <w:bookmarkEnd w:id="17"/>
      <w:r>
        <w:rPr>
          <w:rFonts w:ascii="Times New Roman"/>
          <w:w w:val="100"/>
          <w:sz w:val="28"/>
        </w:rPr>
        <w:t>  </w:t>
      </w:r>
      <w:r>
        <w:rPr>
          <w:rStyle w:val="234"/>
          <w:rFonts w:hint="eastAsia" w:hAnsi="黑体"/>
          <w:position w:val="0"/>
        </w:rPr>
        <w:t>发</w:t>
      </w:r>
      <w:r>
        <w:rPr>
          <w:rStyle w:val="234"/>
          <w:rFonts w:hint="eastAsia" w:hAnsi="黑体"/>
          <w:spacing w:val="0"/>
          <w:position w:val="0"/>
        </w:rPr>
        <w:t>布</w:t>
      </w:r>
    </w:p>
    <w:p w14:paraId="7255501E">
      <w:pPr>
        <w:rPr>
          <w:rFonts w:hint="eastAsia" w:ascii="宋体" w:hAnsi="宋体"/>
          <w:sz w:val="28"/>
          <w:szCs w:val="28"/>
        </w:rPr>
        <w:sectPr>
          <w:headerReference r:id="rId8" w:type="first"/>
          <w:footerReference r:id="rId10" w:type="first"/>
          <w:headerReference r:id="rId7" w:type="default"/>
          <w:footerReference r:id="rId9"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4DEF71BA">
      <w:pPr>
        <w:pStyle w:val="96"/>
        <w:spacing w:after="360"/>
      </w:pPr>
      <w:bookmarkStart w:id="18" w:name="BookMark1"/>
      <w:bookmarkStart w:id="19" w:name="_Toc150158739"/>
      <w:bookmarkStart w:id="20" w:name="_Toc148612844"/>
      <w:bookmarkStart w:id="21" w:name="_Toc150158766"/>
      <w:r>
        <w:rPr>
          <w:rFonts w:hint="eastAsia"/>
          <w:spacing w:val="320"/>
        </w:rPr>
        <w:t>目</w:t>
      </w:r>
      <w:r>
        <w:rPr>
          <w:rFonts w:hint="eastAsia"/>
        </w:rPr>
        <w:t>次</w:t>
      </w:r>
    </w:p>
    <w:p w14:paraId="75EADCE3">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"_Toc32003" </w:instrText>
      </w:r>
      <w:r>
        <w:fldChar w:fldCharType="separate"/>
      </w:r>
      <w:r>
        <w:rPr>
          <w:rFonts w:hint="eastAsia"/>
          <w:spacing w:val="320"/>
        </w:rPr>
        <w:t>前</w:t>
      </w:r>
      <w:r>
        <w:rPr>
          <w:rFonts w:hint="eastAsia"/>
        </w:rPr>
        <w:t>言</w:t>
      </w:r>
      <w:r>
        <w:tab/>
      </w:r>
      <w:r>
        <w:fldChar w:fldCharType="begin"/>
      </w:r>
      <w:r>
        <w:instrText xml:space="preserve"> PAGEREF _Toc32003 \h </w:instrText>
      </w:r>
      <w:r>
        <w:fldChar w:fldCharType="separate"/>
      </w:r>
      <w:r>
        <w:t>III</w:t>
      </w:r>
      <w:r>
        <w:fldChar w:fldCharType="end"/>
      </w:r>
      <w:r>
        <w:fldChar w:fldCharType="end"/>
      </w:r>
    </w:p>
    <w:p w14:paraId="4E28D505">
      <w:pPr>
        <w:pStyle w:val="20"/>
        <w:tabs>
          <w:tab w:val="right" w:leader="dot" w:pos="9355"/>
        </w:tabs>
      </w:pPr>
      <w:r>
        <w:fldChar w:fldCharType="begin"/>
      </w:r>
      <w:r>
        <w:instrText xml:space="preserve"> HYPERLINK \l "_Toc28907" </w:instrText>
      </w:r>
      <w:r>
        <w:fldChar w:fldCharType="separate"/>
      </w:r>
      <w:r>
        <w:rPr>
          <w:rFonts w:hint="eastAsia" w:ascii="黑体" w:eastAsia="黑体"/>
        </w:rPr>
        <w:t xml:space="preserve">1 </w:t>
      </w:r>
      <w:r>
        <w:rPr>
          <w:rFonts w:hint="eastAsia"/>
        </w:rPr>
        <w:t>范围</w:t>
      </w:r>
      <w:r>
        <w:tab/>
      </w:r>
      <w:r>
        <w:fldChar w:fldCharType="begin"/>
      </w:r>
      <w:r>
        <w:instrText xml:space="preserve"> PAGEREF _Toc28907 \h </w:instrText>
      </w:r>
      <w:r>
        <w:fldChar w:fldCharType="separate"/>
      </w:r>
      <w:r>
        <w:t>4</w:t>
      </w:r>
      <w:r>
        <w:fldChar w:fldCharType="end"/>
      </w:r>
      <w:r>
        <w:fldChar w:fldCharType="end"/>
      </w:r>
    </w:p>
    <w:p w14:paraId="0F80F1AB">
      <w:pPr>
        <w:pStyle w:val="20"/>
        <w:tabs>
          <w:tab w:val="right" w:leader="dot" w:pos="9355"/>
        </w:tabs>
      </w:pPr>
      <w:r>
        <w:fldChar w:fldCharType="begin"/>
      </w:r>
      <w:r>
        <w:instrText xml:space="preserve"> HYPERLINK \l "_Toc2875" </w:instrText>
      </w:r>
      <w:r>
        <w:fldChar w:fldCharType="separate"/>
      </w:r>
      <w:r>
        <w:rPr>
          <w:rFonts w:hint="eastAsia" w:ascii="黑体" w:eastAsia="黑体"/>
        </w:rPr>
        <w:t xml:space="preserve">2 </w:t>
      </w:r>
      <w:r>
        <w:rPr>
          <w:rFonts w:hint="eastAsia"/>
        </w:rPr>
        <w:t>规范性引用文件</w:t>
      </w:r>
      <w:r>
        <w:tab/>
      </w:r>
      <w:r>
        <w:fldChar w:fldCharType="begin"/>
      </w:r>
      <w:r>
        <w:instrText xml:space="preserve"> PAGEREF _Toc2875 \h </w:instrText>
      </w:r>
      <w:r>
        <w:fldChar w:fldCharType="separate"/>
      </w:r>
      <w:r>
        <w:t>4</w:t>
      </w:r>
      <w:r>
        <w:fldChar w:fldCharType="end"/>
      </w:r>
      <w:r>
        <w:fldChar w:fldCharType="end"/>
      </w:r>
    </w:p>
    <w:p w14:paraId="60C3E038">
      <w:pPr>
        <w:pStyle w:val="20"/>
        <w:tabs>
          <w:tab w:val="right" w:leader="dot" w:pos="9355"/>
        </w:tabs>
      </w:pPr>
      <w:r>
        <w:fldChar w:fldCharType="begin"/>
      </w:r>
      <w:r>
        <w:instrText xml:space="preserve"> HYPERLINK \l "_Toc10533" </w:instrText>
      </w:r>
      <w:r>
        <w:fldChar w:fldCharType="separate"/>
      </w:r>
      <w:r>
        <w:rPr>
          <w:rFonts w:hint="eastAsia" w:ascii="黑体" w:eastAsia="黑体"/>
        </w:rPr>
        <w:t xml:space="preserve">3 </w:t>
      </w:r>
      <w:r>
        <w:rPr>
          <w:rFonts w:hint="eastAsia"/>
        </w:rPr>
        <w:t>术语和定义</w:t>
      </w:r>
      <w:r>
        <w:tab/>
      </w:r>
      <w:r>
        <w:fldChar w:fldCharType="begin"/>
      </w:r>
      <w:r>
        <w:instrText xml:space="preserve"> PAGEREF _Toc10533 \h </w:instrText>
      </w:r>
      <w:r>
        <w:fldChar w:fldCharType="separate"/>
      </w:r>
      <w:r>
        <w:t>4</w:t>
      </w:r>
      <w:r>
        <w:fldChar w:fldCharType="end"/>
      </w:r>
      <w:r>
        <w:fldChar w:fldCharType="end"/>
      </w:r>
    </w:p>
    <w:p w14:paraId="557DBFE6">
      <w:pPr>
        <w:pStyle w:val="20"/>
        <w:tabs>
          <w:tab w:val="right" w:leader="dot" w:pos="9355"/>
        </w:tabs>
      </w:pPr>
      <w:r>
        <w:fldChar w:fldCharType="begin"/>
      </w:r>
      <w:r>
        <w:instrText xml:space="preserve"> HYPERLINK \l "_Toc23559" </w:instrText>
      </w:r>
      <w:r>
        <w:fldChar w:fldCharType="separate"/>
      </w:r>
      <w:r>
        <w:rPr>
          <w:rFonts w:hint="eastAsia" w:ascii="黑体" w:eastAsia="黑体"/>
        </w:rPr>
        <w:t xml:space="preserve">4 </w:t>
      </w:r>
      <w:r>
        <w:rPr>
          <w:rFonts w:hint="eastAsia"/>
        </w:rPr>
        <w:t>可靠性测试核心分类与表征</w:t>
      </w:r>
      <w:r>
        <w:tab/>
      </w:r>
      <w:r>
        <w:fldChar w:fldCharType="begin"/>
      </w:r>
      <w:r>
        <w:instrText xml:space="preserve"> PAGEREF _Toc23559 \h </w:instrText>
      </w:r>
      <w:r>
        <w:fldChar w:fldCharType="separate"/>
      </w:r>
      <w:r>
        <w:t>5</w:t>
      </w:r>
      <w:r>
        <w:fldChar w:fldCharType="end"/>
      </w:r>
      <w:r>
        <w:fldChar w:fldCharType="end"/>
      </w:r>
    </w:p>
    <w:p w14:paraId="5437C88C">
      <w:pPr>
        <w:pStyle w:val="25"/>
        <w:tabs>
          <w:tab w:val="right" w:leader="dot" w:pos="9355"/>
          <w:tab w:val="clear" w:pos="9344"/>
        </w:tabs>
      </w:pPr>
      <w:r>
        <w:fldChar w:fldCharType="begin"/>
      </w:r>
      <w:r>
        <w:instrText xml:space="preserve"> HYPERLINK \l "_Toc25587" </w:instrText>
      </w:r>
      <w:r>
        <w:fldChar w:fldCharType="separate"/>
      </w:r>
      <w:r>
        <w:rPr>
          <w:rFonts w:hint="eastAsia" w:ascii="黑体" w:hAnsi="Times New Roman" w:eastAsia="黑体"/>
          <w:kern w:val="0"/>
        </w:rPr>
        <w:t xml:space="preserve">4.1 </w:t>
      </w:r>
      <w:r>
        <w:rPr>
          <w:rFonts w:hint="eastAsia"/>
        </w:rPr>
        <w:t>按使用工况核心分类</w:t>
      </w:r>
      <w:r>
        <w:tab/>
      </w:r>
      <w:r>
        <w:fldChar w:fldCharType="begin"/>
      </w:r>
      <w:r>
        <w:instrText xml:space="preserve"> PAGEREF _Toc25587 \h </w:instrText>
      </w:r>
      <w:r>
        <w:fldChar w:fldCharType="separate"/>
      </w:r>
      <w:r>
        <w:t>5</w:t>
      </w:r>
      <w:r>
        <w:fldChar w:fldCharType="end"/>
      </w:r>
      <w:r>
        <w:fldChar w:fldCharType="end"/>
      </w:r>
    </w:p>
    <w:p w14:paraId="7B159592">
      <w:pPr>
        <w:pStyle w:val="25"/>
        <w:tabs>
          <w:tab w:val="right" w:leader="dot" w:pos="9355"/>
          <w:tab w:val="clear" w:pos="9344"/>
        </w:tabs>
      </w:pPr>
      <w:r>
        <w:fldChar w:fldCharType="begin"/>
      </w:r>
      <w:r>
        <w:instrText xml:space="preserve"> HYPERLINK \l "_Toc22308" </w:instrText>
      </w:r>
      <w:r>
        <w:fldChar w:fldCharType="separate"/>
      </w:r>
      <w:r>
        <w:rPr>
          <w:rFonts w:hint="eastAsia" w:ascii="黑体" w:hAnsi="Times New Roman" w:eastAsia="黑体"/>
          <w:kern w:val="0"/>
        </w:rPr>
        <w:t xml:space="preserve">4.2 </w:t>
      </w:r>
      <w:r>
        <w:rPr>
          <w:rFonts w:hint="eastAsia"/>
        </w:rPr>
        <w:t>可靠性测试表征维度</w:t>
      </w:r>
      <w:r>
        <w:tab/>
      </w:r>
      <w:r>
        <w:fldChar w:fldCharType="begin"/>
      </w:r>
      <w:r>
        <w:instrText xml:space="preserve"> PAGEREF _Toc22308 \h </w:instrText>
      </w:r>
      <w:r>
        <w:fldChar w:fldCharType="separate"/>
      </w:r>
      <w:r>
        <w:t>5</w:t>
      </w:r>
      <w:r>
        <w:fldChar w:fldCharType="end"/>
      </w:r>
      <w:r>
        <w:fldChar w:fldCharType="end"/>
      </w:r>
    </w:p>
    <w:p w14:paraId="061805C4">
      <w:pPr>
        <w:pStyle w:val="20"/>
        <w:tabs>
          <w:tab w:val="right" w:leader="dot" w:pos="9355"/>
        </w:tabs>
      </w:pPr>
      <w:r>
        <w:fldChar w:fldCharType="begin"/>
      </w:r>
      <w:r>
        <w:instrText xml:space="preserve"> HYPERLINK \l "_Toc22177" </w:instrText>
      </w:r>
      <w:r>
        <w:fldChar w:fldCharType="separate"/>
      </w:r>
      <w:r>
        <w:rPr>
          <w:rFonts w:hint="eastAsia" w:ascii="黑体" w:eastAsia="黑体"/>
        </w:rPr>
        <w:t xml:space="preserve">5 </w:t>
      </w:r>
      <w:r>
        <w:rPr>
          <w:rFonts w:hint="eastAsia"/>
        </w:rPr>
        <w:t>测试的一般要求</w:t>
      </w:r>
      <w:r>
        <w:tab/>
      </w:r>
      <w:r>
        <w:fldChar w:fldCharType="begin"/>
      </w:r>
      <w:r>
        <w:instrText xml:space="preserve"> PAGEREF _Toc22177 \h </w:instrText>
      </w:r>
      <w:r>
        <w:fldChar w:fldCharType="separate"/>
      </w:r>
      <w:r>
        <w:t>5</w:t>
      </w:r>
      <w:r>
        <w:fldChar w:fldCharType="end"/>
      </w:r>
      <w:r>
        <w:fldChar w:fldCharType="end"/>
      </w:r>
    </w:p>
    <w:p w14:paraId="62A1F044">
      <w:pPr>
        <w:pStyle w:val="25"/>
        <w:tabs>
          <w:tab w:val="right" w:leader="dot" w:pos="9355"/>
          <w:tab w:val="clear" w:pos="9344"/>
        </w:tabs>
      </w:pPr>
      <w:r>
        <w:fldChar w:fldCharType="begin"/>
      </w:r>
      <w:r>
        <w:instrText xml:space="preserve"> HYPERLINK \l "_Toc7981" </w:instrText>
      </w:r>
      <w:r>
        <w:fldChar w:fldCharType="separate"/>
      </w:r>
      <w:r>
        <w:rPr>
          <w:rFonts w:hint="eastAsia" w:ascii="黑体" w:hAnsi="Times New Roman" w:eastAsia="黑体"/>
          <w:kern w:val="0"/>
        </w:rPr>
        <w:t xml:space="preserve">5.1 </w:t>
      </w:r>
      <w:r>
        <w:rPr>
          <w:rFonts w:hint="eastAsia"/>
        </w:rPr>
        <w:t>可靠性测试环境条件</w:t>
      </w:r>
      <w:r>
        <w:tab/>
      </w:r>
      <w:r>
        <w:fldChar w:fldCharType="begin"/>
      </w:r>
      <w:r>
        <w:instrText xml:space="preserve"> PAGEREF _Toc7981 \h </w:instrText>
      </w:r>
      <w:r>
        <w:fldChar w:fldCharType="separate"/>
      </w:r>
      <w:r>
        <w:t>5</w:t>
      </w:r>
      <w:r>
        <w:fldChar w:fldCharType="end"/>
      </w:r>
      <w:r>
        <w:fldChar w:fldCharType="end"/>
      </w:r>
    </w:p>
    <w:p w14:paraId="798B4627">
      <w:pPr>
        <w:pStyle w:val="25"/>
        <w:tabs>
          <w:tab w:val="right" w:leader="dot" w:pos="9355"/>
          <w:tab w:val="clear" w:pos="9344"/>
        </w:tabs>
      </w:pPr>
      <w:r>
        <w:fldChar w:fldCharType="begin"/>
      </w:r>
      <w:r>
        <w:instrText xml:space="preserve"> HYPERLINK \l "_Toc14831" </w:instrText>
      </w:r>
      <w:r>
        <w:fldChar w:fldCharType="separate"/>
      </w:r>
      <w:r>
        <w:rPr>
          <w:rFonts w:hint="eastAsia" w:ascii="黑体" w:hAnsi="Times New Roman" w:eastAsia="黑体"/>
          <w:kern w:val="0"/>
        </w:rPr>
        <w:t xml:space="preserve">5.2 </w:t>
      </w:r>
      <w:r>
        <w:rPr>
          <w:rFonts w:hint="eastAsia"/>
        </w:rPr>
        <w:t>测试设备要求</w:t>
      </w:r>
      <w:r>
        <w:tab/>
      </w:r>
      <w:r>
        <w:fldChar w:fldCharType="begin"/>
      </w:r>
      <w:r>
        <w:instrText xml:space="preserve"> PAGEREF _Toc14831 \h </w:instrText>
      </w:r>
      <w:r>
        <w:fldChar w:fldCharType="separate"/>
      </w:r>
      <w:r>
        <w:t>5</w:t>
      </w:r>
      <w:r>
        <w:fldChar w:fldCharType="end"/>
      </w:r>
      <w:r>
        <w:fldChar w:fldCharType="end"/>
      </w:r>
    </w:p>
    <w:p w14:paraId="6F0F441F">
      <w:pPr>
        <w:pStyle w:val="25"/>
        <w:tabs>
          <w:tab w:val="right" w:leader="dot" w:pos="9355"/>
          <w:tab w:val="clear" w:pos="9344"/>
        </w:tabs>
      </w:pPr>
      <w:r>
        <w:fldChar w:fldCharType="begin"/>
      </w:r>
      <w:r>
        <w:instrText xml:space="preserve"> HYPERLINK \l "_Toc28713" </w:instrText>
      </w:r>
      <w:r>
        <w:fldChar w:fldCharType="separate"/>
      </w:r>
      <w:r>
        <w:rPr>
          <w:rFonts w:hint="eastAsia" w:ascii="黑体" w:hAnsi="Times New Roman" w:eastAsia="黑体"/>
          <w:kern w:val="0"/>
        </w:rPr>
        <w:t xml:space="preserve">5.3 </w:t>
      </w:r>
      <w:r>
        <w:rPr>
          <w:rFonts w:hint="eastAsia"/>
        </w:rPr>
        <w:t>被试样品要求</w:t>
      </w:r>
      <w:r>
        <w:tab/>
      </w:r>
      <w:r>
        <w:fldChar w:fldCharType="begin"/>
      </w:r>
      <w:r>
        <w:instrText xml:space="preserve"> PAGEREF _Toc28713 \h </w:instrText>
      </w:r>
      <w:r>
        <w:fldChar w:fldCharType="separate"/>
      </w:r>
      <w:r>
        <w:t>6</w:t>
      </w:r>
      <w:r>
        <w:fldChar w:fldCharType="end"/>
      </w:r>
      <w:r>
        <w:fldChar w:fldCharType="end"/>
      </w:r>
    </w:p>
    <w:p w14:paraId="37B54024">
      <w:pPr>
        <w:pStyle w:val="20"/>
        <w:tabs>
          <w:tab w:val="right" w:leader="dot" w:pos="9355"/>
        </w:tabs>
      </w:pPr>
      <w:r>
        <w:fldChar w:fldCharType="begin"/>
      </w:r>
      <w:r>
        <w:instrText xml:space="preserve"> HYPERLINK \l "_Toc20203" </w:instrText>
      </w:r>
      <w:r>
        <w:fldChar w:fldCharType="separate"/>
      </w:r>
      <w:r>
        <w:rPr>
          <w:rFonts w:hint="eastAsia" w:ascii="黑体" w:eastAsia="黑体"/>
        </w:rPr>
        <w:t xml:space="preserve">6 </w:t>
      </w:r>
      <w:r>
        <w:rPr>
          <w:rFonts w:hint="eastAsia"/>
        </w:rPr>
        <w:t>可靠性要求及测试方法</w:t>
      </w:r>
      <w:r>
        <w:tab/>
      </w:r>
      <w:r>
        <w:fldChar w:fldCharType="begin"/>
      </w:r>
      <w:r>
        <w:instrText xml:space="preserve"> PAGEREF _Toc20203 \h </w:instrText>
      </w:r>
      <w:r>
        <w:fldChar w:fldCharType="separate"/>
      </w:r>
      <w:r>
        <w:t>6</w:t>
      </w:r>
      <w:r>
        <w:fldChar w:fldCharType="end"/>
      </w:r>
      <w:r>
        <w:fldChar w:fldCharType="end"/>
      </w:r>
    </w:p>
    <w:p w14:paraId="3F6A67B1">
      <w:pPr>
        <w:pStyle w:val="25"/>
        <w:tabs>
          <w:tab w:val="right" w:leader="dot" w:pos="9355"/>
          <w:tab w:val="clear" w:pos="9344"/>
        </w:tabs>
      </w:pPr>
      <w:r>
        <w:fldChar w:fldCharType="begin"/>
      </w:r>
      <w:r>
        <w:instrText xml:space="preserve"> HYPERLINK \l "_Toc12169" </w:instrText>
      </w:r>
      <w:r>
        <w:fldChar w:fldCharType="separate"/>
      </w:r>
      <w:r>
        <w:rPr>
          <w:rFonts w:hint="eastAsia" w:ascii="黑体" w:hAnsi="Times New Roman" w:eastAsia="黑体"/>
          <w:kern w:val="0"/>
        </w:rPr>
        <w:t xml:space="preserve">6.1 </w:t>
      </w:r>
      <w:r>
        <w:rPr>
          <w:rFonts w:hint="eastAsia"/>
        </w:rPr>
        <w:t>概述</w:t>
      </w:r>
      <w:r>
        <w:tab/>
      </w:r>
      <w:r>
        <w:fldChar w:fldCharType="begin"/>
      </w:r>
      <w:r>
        <w:instrText xml:space="preserve"> PAGEREF _Toc12169 \h </w:instrText>
      </w:r>
      <w:r>
        <w:fldChar w:fldCharType="separate"/>
      </w:r>
      <w:r>
        <w:t>6</w:t>
      </w:r>
      <w:r>
        <w:fldChar w:fldCharType="end"/>
      </w:r>
      <w:r>
        <w:fldChar w:fldCharType="end"/>
      </w:r>
    </w:p>
    <w:p w14:paraId="7018B722">
      <w:pPr>
        <w:pStyle w:val="25"/>
        <w:tabs>
          <w:tab w:val="right" w:leader="dot" w:pos="9355"/>
          <w:tab w:val="clear" w:pos="9344"/>
        </w:tabs>
      </w:pPr>
      <w:r>
        <w:fldChar w:fldCharType="begin"/>
      </w:r>
      <w:r>
        <w:instrText xml:space="preserve"> HYPERLINK \l "_Toc21360" </w:instrText>
      </w:r>
      <w:r>
        <w:fldChar w:fldCharType="separate"/>
      </w:r>
      <w:r>
        <w:rPr>
          <w:rFonts w:hint="eastAsia" w:ascii="黑体" w:hAnsi="Times New Roman" w:eastAsia="黑体"/>
          <w:kern w:val="0"/>
        </w:rPr>
        <w:t xml:space="preserve">6.2 </w:t>
      </w:r>
      <w:r>
        <w:rPr>
          <w:rFonts w:hint="eastAsia"/>
        </w:rPr>
        <w:t>连续运行率</w:t>
      </w:r>
      <w:r>
        <w:tab/>
      </w:r>
      <w:r>
        <w:fldChar w:fldCharType="begin"/>
      </w:r>
      <w:r>
        <w:instrText xml:space="preserve"> PAGEREF _Toc21360 \h </w:instrText>
      </w:r>
      <w:r>
        <w:fldChar w:fldCharType="separate"/>
      </w:r>
      <w:r>
        <w:t>6</w:t>
      </w:r>
      <w:r>
        <w:fldChar w:fldCharType="end"/>
      </w:r>
      <w:r>
        <w:fldChar w:fldCharType="end"/>
      </w:r>
    </w:p>
    <w:p w14:paraId="7F367847">
      <w:pPr>
        <w:pStyle w:val="25"/>
        <w:tabs>
          <w:tab w:val="right" w:leader="dot" w:pos="9355"/>
          <w:tab w:val="clear" w:pos="9344"/>
        </w:tabs>
      </w:pPr>
      <w:r>
        <w:fldChar w:fldCharType="begin"/>
      </w:r>
      <w:r>
        <w:instrText xml:space="preserve"> HYPERLINK \l "_Toc8484" </w:instrText>
      </w:r>
      <w:r>
        <w:fldChar w:fldCharType="separate"/>
      </w:r>
      <w:r>
        <w:rPr>
          <w:rFonts w:hint="eastAsia" w:ascii="黑体" w:hAnsi="Times New Roman" w:eastAsia="黑体"/>
          <w:kern w:val="0"/>
        </w:rPr>
        <w:t xml:space="preserve">6.3 </w:t>
      </w:r>
      <w:r>
        <w:rPr>
          <w:rFonts w:hint="eastAsia"/>
        </w:rPr>
        <w:t>连续运行稳定性</w:t>
      </w:r>
      <w:r>
        <w:tab/>
      </w:r>
      <w:r>
        <w:fldChar w:fldCharType="begin"/>
      </w:r>
      <w:r>
        <w:instrText xml:space="preserve"> PAGEREF _Toc8484 \h </w:instrText>
      </w:r>
      <w:r>
        <w:fldChar w:fldCharType="separate"/>
      </w:r>
      <w:r>
        <w:t>6</w:t>
      </w:r>
      <w:r>
        <w:fldChar w:fldCharType="end"/>
      </w:r>
      <w:r>
        <w:fldChar w:fldCharType="end"/>
      </w:r>
    </w:p>
    <w:p w14:paraId="67B12F68">
      <w:pPr>
        <w:pStyle w:val="25"/>
        <w:tabs>
          <w:tab w:val="right" w:leader="dot" w:pos="9355"/>
          <w:tab w:val="clear" w:pos="9344"/>
        </w:tabs>
      </w:pPr>
      <w:r>
        <w:fldChar w:fldCharType="begin"/>
      </w:r>
      <w:r>
        <w:instrText xml:space="preserve"> HYPERLINK \l "_Toc11202" </w:instrText>
      </w:r>
      <w:r>
        <w:fldChar w:fldCharType="separate"/>
      </w:r>
      <w:r>
        <w:rPr>
          <w:rFonts w:hint="eastAsia" w:ascii="黑体" w:hAnsi="Times New Roman" w:eastAsia="黑体"/>
          <w:kern w:val="0"/>
        </w:rPr>
        <w:t xml:space="preserve">6.4 </w:t>
      </w:r>
      <w:r>
        <w:rPr>
          <w:rFonts w:hint="eastAsia"/>
        </w:rPr>
        <w:t>断电复现性</w:t>
      </w:r>
      <w:r>
        <w:tab/>
      </w:r>
      <w:r>
        <w:fldChar w:fldCharType="begin"/>
      </w:r>
      <w:r>
        <w:instrText xml:space="preserve"> PAGEREF _Toc11202 \h </w:instrText>
      </w:r>
      <w:r>
        <w:fldChar w:fldCharType="separate"/>
      </w:r>
      <w:r>
        <w:t>7</w:t>
      </w:r>
      <w:r>
        <w:fldChar w:fldCharType="end"/>
      </w:r>
      <w:r>
        <w:fldChar w:fldCharType="end"/>
      </w:r>
    </w:p>
    <w:p w14:paraId="13748D1D">
      <w:pPr>
        <w:pStyle w:val="25"/>
        <w:tabs>
          <w:tab w:val="right" w:leader="dot" w:pos="9355"/>
          <w:tab w:val="clear" w:pos="9344"/>
        </w:tabs>
      </w:pPr>
      <w:r>
        <w:fldChar w:fldCharType="begin"/>
      </w:r>
      <w:r>
        <w:instrText xml:space="preserve"> HYPERLINK \l "_Toc4330" </w:instrText>
      </w:r>
      <w:r>
        <w:fldChar w:fldCharType="separate"/>
      </w:r>
      <w:r>
        <w:rPr>
          <w:rFonts w:hint="eastAsia" w:ascii="黑体" w:hAnsi="Times New Roman" w:eastAsia="黑体"/>
          <w:kern w:val="0"/>
        </w:rPr>
        <w:t xml:space="preserve">6.5 </w:t>
      </w:r>
      <w:r>
        <w:rPr>
          <w:rFonts w:hint="eastAsia"/>
        </w:rPr>
        <w:t>运输转运复现性</w:t>
      </w:r>
      <w:r>
        <w:tab/>
      </w:r>
      <w:r>
        <w:fldChar w:fldCharType="begin"/>
      </w:r>
      <w:r>
        <w:instrText xml:space="preserve"> PAGEREF _Toc4330 \h </w:instrText>
      </w:r>
      <w:r>
        <w:fldChar w:fldCharType="separate"/>
      </w:r>
      <w:r>
        <w:t>7</w:t>
      </w:r>
      <w:r>
        <w:fldChar w:fldCharType="end"/>
      </w:r>
      <w:r>
        <w:fldChar w:fldCharType="end"/>
      </w:r>
    </w:p>
    <w:p w14:paraId="79564D53">
      <w:pPr>
        <w:pStyle w:val="25"/>
        <w:tabs>
          <w:tab w:val="right" w:leader="dot" w:pos="9355"/>
          <w:tab w:val="clear" w:pos="9344"/>
        </w:tabs>
      </w:pPr>
      <w:r>
        <w:fldChar w:fldCharType="begin"/>
      </w:r>
      <w:r>
        <w:instrText xml:space="preserve"> HYPERLINK \l "_Toc29150" </w:instrText>
      </w:r>
      <w:r>
        <w:fldChar w:fldCharType="separate"/>
      </w:r>
      <w:r>
        <w:rPr>
          <w:rFonts w:hint="eastAsia" w:ascii="黑体" w:hAnsi="Times New Roman" w:eastAsia="黑体"/>
          <w:kern w:val="0"/>
        </w:rPr>
        <w:t xml:space="preserve">6.6 </w:t>
      </w:r>
      <w:r>
        <w:rPr>
          <w:rFonts w:hint="eastAsia"/>
        </w:rPr>
        <w:t>部署时间</w:t>
      </w:r>
      <w:r>
        <w:tab/>
      </w:r>
      <w:r>
        <w:fldChar w:fldCharType="begin"/>
      </w:r>
      <w:r>
        <w:instrText xml:space="preserve"> PAGEREF _Toc29150 \h </w:instrText>
      </w:r>
      <w:r>
        <w:fldChar w:fldCharType="separate"/>
      </w:r>
      <w:r>
        <w:t>8</w:t>
      </w:r>
      <w:r>
        <w:fldChar w:fldCharType="end"/>
      </w:r>
      <w:r>
        <w:fldChar w:fldCharType="end"/>
      </w:r>
    </w:p>
    <w:p w14:paraId="7EE16767">
      <w:pPr>
        <w:pStyle w:val="20"/>
        <w:tabs>
          <w:tab w:val="right" w:leader="dot" w:pos="9355"/>
        </w:tabs>
      </w:pPr>
      <w:r>
        <w:fldChar w:fldCharType="begin"/>
      </w:r>
      <w:r>
        <w:instrText xml:space="preserve"> HYPERLINK \l "_Toc32618" </w:instrText>
      </w:r>
      <w:r>
        <w:fldChar w:fldCharType="separate"/>
      </w:r>
      <w:r>
        <w:rPr>
          <w:rFonts w:hint="eastAsia" w:ascii="黑体" w:eastAsia="黑体"/>
        </w:rPr>
        <w:t xml:space="preserve">7 </w:t>
      </w:r>
      <w:r>
        <w:rPr>
          <w:rFonts w:hint="eastAsia"/>
        </w:rPr>
        <w:t>环境适应性要求及测试方法</w:t>
      </w:r>
      <w:r>
        <w:tab/>
      </w:r>
      <w:r>
        <w:fldChar w:fldCharType="begin"/>
      </w:r>
      <w:r>
        <w:instrText xml:space="preserve"> PAGEREF _Toc32618 \h </w:instrText>
      </w:r>
      <w:r>
        <w:fldChar w:fldCharType="separate"/>
      </w:r>
      <w:r>
        <w:t>8</w:t>
      </w:r>
      <w:r>
        <w:fldChar w:fldCharType="end"/>
      </w:r>
      <w:r>
        <w:fldChar w:fldCharType="end"/>
      </w:r>
    </w:p>
    <w:p w14:paraId="2848DD2B">
      <w:pPr>
        <w:pStyle w:val="25"/>
        <w:tabs>
          <w:tab w:val="right" w:leader="dot" w:pos="9355"/>
          <w:tab w:val="clear" w:pos="9344"/>
        </w:tabs>
      </w:pPr>
      <w:r>
        <w:fldChar w:fldCharType="begin"/>
      </w:r>
      <w:r>
        <w:instrText xml:space="preserve"> HYPERLINK \l "_Toc24697" </w:instrText>
      </w:r>
      <w:r>
        <w:fldChar w:fldCharType="separate"/>
      </w:r>
      <w:r>
        <w:rPr>
          <w:rFonts w:hint="eastAsia" w:ascii="黑体" w:hAnsi="Times New Roman" w:eastAsia="黑体"/>
          <w:kern w:val="0"/>
        </w:rPr>
        <w:t xml:space="preserve">7.1 </w:t>
      </w:r>
      <w:r>
        <w:rPr>
          <w:rFonts w:hint="eastAsia"/>
        </w:rPr>
        <w:t>概述</w:t>
      </w:r>
      <w:r>
        <w:tab/>
      </w:r>
      <w:r>
        <w:fldChar w:fldCharType="begin"/>
      </w:r>
      <w:r>
        <w:instrText xml:space="preserve"> PAGEREF _Toc24697 \h </w:instrText>
      </w:r>
      <w:r>
        <w:fldChar w:fldCharType="separate"/>
      </w:r>
      <w:r>
        <w:t>8</w:t>
      </w:r>
      <w:r>
        <w:fldChar w:fldCharType="end"/>
      </w:r>
      <w:r>
        <w:fldChar w:fldCharType="end"/>
      </w:r>
    </w:p>
    <w:p w14:paraId="0E59931D">
      <w:pPr>
        <w:pStyle w:val="25"/>
        <w:tabs>
          <w:tab w:val="right" w:leader="dot" w:pos="9355"/>
          <w:tab w:val="clear" w:pos="9344"/>
        </w:tabs>
      </w:pPr>
      <w:r>
        <w:fldChar w:fldCharType="begin"/>
      </w:r>
      <w:r>
        <w:instrText xml:space="preserve"> HYPERLINK \l "_Toc3943" </w:instrText>
      </w:r>
      <w:r>
        <w:fldChar w:fldCharType="separate"/>
      </w:r>
      <w:r>
        <w:rPr>
          <w:rFonts w:hint="eastAsia" w:ascii="黑体" w:hAnsi="Times New Roman" w:eastAsia="黑体"/>
          <w:kern w:val="0"/>
        </w:rPr>
        <w:t xml:space="preserve">7.2 </w:t>
      </w:r>
      <w:r>
        <w:rPr>
          <w:rFonts w:hint="eastAsia"/>
        </w:rPr>
        <w:t>低温工作</w:t>
      </w:r>
      <w:r>
        <w:tab/>
      </w:r>
      <w:r>
        <w:fldChar w:fldCharType="begin"/>
      </w:r>
      <w:r>
        <w:instrText xml:space="preserve"> PAGEREF _Toc3943 \h </w:instrText>
      </w:r>
      <w:r>
        <w:fldChar w:fldCharType="separate"/>
      </w:r>
      <w:r>
        <w:t>9</w:t>
      </w:r>
      <w:r>
        <w:fldChar w:fldCharType="end"/>
      </w:r>
      <w:r>
        <w:fldChar w:fldCharType="end"/>
      </w:r>
    </w:p>
    <w:p w14:paraId="1D6D86DF">
      <w:pPr>
        <w:pStyle w:val="25"/>
        <w:tabs>
          <w:tab w:val="right" w:leader="dot" w:pos="9355"/>
          <w:tab w:val="clear" w:pos="9344"/>
        </w:tabs>
      </w:pPr>
      <w:r>
        <w:fldChar w:fldCharType="begin"/>
      </w:r>
      <w:r>
        <w:instrText xml:space="preserve"> HYPERLINK \l "_Toc32447" </w:instrText>
      </w:r>
      <w:r>
        <w:fldChar w:fldCharType="separate"/>
      </w:r>
      <w:r>
        <w:rPr>
          <w:rFonts w:hint="eastAsia" w:ascii="黑体" w:hAnsi="Times New Roman" w:eastAsia="黑体"/>
          <w:kern w:val="0"/>
        </w:rPr>
        <w:t xml:space="preserve">7.3 </w:t>
      </w:r>
      <w:r>
        <w:rPr>
          <w:rFonts w:hint="eastAsia"/>
        </w:rPr>
        <w:t>低温存储</w:t>
      </w:r>
      <w:r>
        <w:tab/>
      </w:r>
      <w:r>
        <w:fldChar w:fldCharType="begin"/>
      </w:r>
      <w:r>
        <w:instrText xml:space="preserve"> PAGEREF _Toc32447 \h </w:instrText>
      </w:r>
      <w:r>
        <w:fldChar w:fldCharType="separate"/>
      </w:r>
      <w:r>
        <w:t>9</w:t>
      </w:r>
      <w:r>
        <w:fldChar w:fldCharType="end"/>
      </w:r>
      <w:r>
        <w:fldChar w:fldCharType="end"/>
      </w:r>
    </w:p>
    <w:p w14:paraId="0DDBC97E">
      <w:pPr>
        <w:pStyle w:val="25"/>
        <w:tabs>
          <w:tab w:val="right" w:leader="dot" w:pos="9355"/>
          <w:tab w:val="clear" w:pos="9344"/>
        </w:tabs>
      </w:pPr>
      <w:r>
        <w:fldChar w:fldCharType="begin"/>
      </w:r>
      <w:r>
        <w:instrText xml:space="preserve"> HYPERLINK \l "_Toc9470" </w:instrText>
      </w:r>
      <w:r>
        <w:fldChar w:fldCharType="separate"/>
      </w:r>
      <w:r>
        <w:rPr>
          <w:rFonts w:hint="eastAsia" w:ascii="黑体" w:hAnsi="Times New Roman" w:eastAsia="黑体"/>
          <w:kern w:val="0"/>
        </w:rPr>
        <w:t xml:space="preserve">7.4 </w:t>
      </w:r>
      <w:r>
        <w:rPr>
          <w:rFonts w:hint="eastAsia"/>
        </w:rPr>
        <w:t>高温工作</w:t>
      </w:r>
      <w:r>
        <w:tab/>
      </w:r>
      <w:r>
        <w:fldChar w:fldCharType="begin"/>
      </w:r>
      <w:r>
        <w:instrText xml:space="preserve"> PAGEREF _Toc9470 \h </w:instrText>
      </w:r>
      <w:r>
        <w:fldChar w:fldCharType="separate"/>
      </w:r>
      <w:r>
        <w:t>10</w:t>
      </w:r>
      <w:r>
        <w:fldChar w:fldCharType="end"/>
      </w:r>
      <w:r>
        <w:fldChar w:fldCharType="end"/>
      </w:r>
    </w:p>
    <w:p w14:paraId="43CDAE41">
      <w:pPr>
        <w:pStyle w:val="25"/>
        <w:tabs>
          <w:tab w:val="right" w:leader="dot" w:pos="9355"/>
          <w:tab w:val="clear" w:pos="9344"/>
        </w:tabs>
      </w:pPr>
      <w:r>
        <w:fldChar w:fldCharType="begin"/>
      </w:r>
      <w:r>
        <w:instrText xml:space="preserve"> HYPERLINK \l "_Toc23384" </w:instrText>
      </w:r>
      <w:r>
        <w:fldChar w:fldCharType="separate"/>
      </w:r>
      <w:r>
        <w:rPr>
          <w:rFonts w:hint="eastAsia" w:ascii="黑体" w:hAnsi="Times New Roman" w:eastAsia="黑体"/>
          <w:kern w:val="0"/>
        </w:rPr>
        <w:t xml:space="preserve">7.5 </w:t>
      </w:r>
      <w:r>
        <w:rPr>
          <w:rFonts w:hint="eastAsia"/>
        </w:rPr>
        <w:t>高温存储</w:t>
      </w:r>
      <w:r>
        <w:tab/>
      </w:r>
      <w:r>
        <w:fldChar w:fldCharType="begin"/>
      </w:r>
      <w:r>
        <w:instrText xml:space="preserve"> PAGEREF _Toc23384 \h </w:instrText>
      </w:r>
      <w:r>
        <w:fldChar w:fldCharType="separate"/>
      </w:r>
      <w:r>
        <w:t>10</w:t>
      </w:r>
      <w:r>
        <w:fldChar w:fldCharType="end"/>
      </w:r>
      <w:r>
        <w:fldChar w:fldCharType="end"/>
      </w:r>
    </w:p>
    <w:p w14:paraId="44A2D864">
      <w:pPr>
        <w:pStyle w:val="25"/>
        <w:tabs>
          <w:tab w:val="right" w:leader="dot" w:pos="9355"/>
          <w:tab w:val="clear" w:pos="9344"/>
        </w:tabs>
      </w:pPr>
      <w:r>
        <w:fldChar w:fldCharType="begin"/>
      </w:r>
      <w:r>
        <w:instrText xml:space="preserve"> HYPERLINK \l "_Toc27450" </w:instrText>
      </w:r>
      <w:r>
        <w:fldChar w:fldCharType="separate"/>
      </w:r>
      <w:r>
        <w:rPr>
          <w:rFonts w:hint="eastAsia" w:ascii="黑体" w:hAnsi="Times New Roman" w:eastAsia="黑体"/>
          <w:kern w:val="0"/>
        </w:rPr>
        <w:t xml:space="preserve">7.6 </w:t>
      </w:r>
      <w:r>
        <w:rPr>
          <w:rFonts w:hint="eastAsia"/>
        </w:rPr>
        <w:t>湿热试验</w:t>
      </w:r>
      <w:r>
        <w:tab/>
      </w:r>
      <w:r>
        <w:fldChar w:fldCharType="begin"/>
      </w:r>
      <w:r>
        <w:instrText xml:space="preserve"> PAGEREF _Toc27450 \h </w:instrText>
      </w:r>
      <w:r>
        <w:fldChar w:fldCharType="separate"/>
      </w:r>
      <w:r>
        <w:t>10</w:t>
      </w:r>
      <w:r>
        <w:fldChar w:fldCharType="end"/>
      </w:r>
      <w:r>
        <w:fldChar w:fldCharType="end"/>
      </w:r>
    </w:p>
    <w:p w14:paraId="365459EF">
      <w:pPr>
        <w:pStyle w:val="25"/>
        <w:tabs>
          <w:tab w:val="right" w:leader="dot" w:pos="9355"/>
          <w:tab w:val="clear" w:pos="9344"/>
        </w:tabs>
      </w:pPr>
      <w:r>
        <w:fldChar w:fldCharType="begin"/>
      </w:r>
      <w:r>
        <w:instrText xml:space="preserve"> HYPERLINK \l "_Toc22582" </w:instrText>
      </w:r>
      <w:r>
        <w:fldChar w:fldCharType="separate"/>
      </w:r>
      <w:r>
        <w:rPr>
          <w:rFonts w:hint="eastAsia" w:ascii="黑体" w:hAnsi="Times New Roman" w:eastAsia="黑体"/>
          <w:kern w:val="0"/>
        </w:rPr>
        <w:t xml:space="preserve">7.7 </w:t>
      </w:r>
      <w:r>
        <w:rPr>
          <w:rFonts w:hint="eastAsia"/>
        </w:rPr>
        <w:t>低气压试验</w:t>
      </w:r>
      <w:r>
        <w:tab/>
      </w:r>
      <w:r>
        <w:fldChar w:fldCharType="begin"/>
      </w:r>
      <w:r>
        <w:instrText xml:space="preserve"> PAGEREF _Toc22582 \h </w:instrText>
      </w:r>
      <w:r>
        <w:fldChar w:fldCharType="separate"/>
      </w:r>
      <w:r>
        <w:t>11</w:t>
      </w:r>
      <w:r>
        <w:fldChar w:fldCharType="end"/>
      </w:r>
      <w:r>
        <w:fldChar w:fldCharType="end"/>
      </w:r>
    </w:p>
    <w:p w14:paraId="5D0AE4FD">
      <w:pPr>
        <w:pStyle w:val="25"/>
        <w:tabs>
          <w:tab w:val="right" w:leader="dot" w:pos="9355"/>
          <w:tab w:val="clear" w:pos="9344"/>
        </w:tabs>
      </w:pPr>
      <w:r>
        <w:fldChar w:fldCharType="begin"/>
      </w:r>
      <w:r>
        <w:instrText xml:space="preserve"> HYPERLINK \l "_Toc23301" </w:instrText>
      </w:r>
      <w:r>
        <w:fldChar w:fldCharType="separate"/>
      </w:r>
      <w:r>
        <w:rPr>
          <w:rFonts w:hint="eastAsia" w:ascii="黑体" w:hAnsi="Times New Roman" w:eastAsia="黑体"/>
          <w:kern w:val="0"/>
        </w:rPr>
        <w:t xml:space="preserve">7.8 </w:t>
      </w:r>
      <w:r>
        <w:rPr>
          <w:rFonts w:hint="eastAsia"/>
        </w:rPr>
        <w:t>振动测试</w:t>
      </w:r>
      <w:r>
        <w:tab/>
      </w:r>
      <w:r>
        <w:fldChar w:fldCharType="begin"/>
      </w:r>
      <w:r>
        <w:instrText xml:space="preserve"> PAGEREF _Toc23301 \h </w:instrText>
      </w:r>
      <w:r>
        <w:fldChar w:fldCharType="separate"/>
      </w:r>
      <w:r>
        <w:t>11</w:t>
      </w:r>
      <w:r>
        <w:fldChar w:fldCharType="end"/>
      </w:r>
      <w:r>
        <w:fldChar w:fldCharType="end"/>
      </w:r>
    </w:p>
    <w:p w14:paraId="05FF9C79">
      <w:pPr>
        <w:pStyle w:val="20"/>
        <w:tabs>
          <w:tab w:val="right" w:leader="dot" w:pos="9355"/>
        </w:tabs>
      </w:pPr>
      <w:r>
        <w:fldChar w:fldCharType="begin"/>
      </w:r>
      <w:r>
        <w:instrText xml:space="preserve"> HYPERLINK \l "_Toc22079" </w:instrText>
      </w:r>
      <w:r>
        <w:fldChar w:fldCharType="separate"/>
      </w:r>
      <w:r>
        <w:rPr>
          <w:rFonts w:hint="eastAsia" w:ascii="黑体" w:eastAsia="黑体"/>
        </w:rPr>
        <w:t xml:space="preserve">8 </w:t>
      </w:r>
      <w:r>
        <w:rPr>
          <w:rFonts w:hint="eastAsia"/>
        </w:rPr>
        <w:t>测试要求</w:t>
      </w:r>
      <w:r>
        <w:tab/>
      </w:r>
      <w:r>
        <w:fldChar w:fldCharType="begin"/>
      </w:r>
      <w:r>
        <w:instrText xml:space="preserve"> PAGEREF _Toc22079 \h </w:instrText>
      </w:r>
      <w:r>
        <w:fldChar w:fldCharType="separate"/>
      </w:r>
      <w:r>
        <w:t>11</w:t>
      </w:r>
      <w:r>
        <w:fldChar w:fldCharType="end"/>
      </w:r>
      <w:r>
        <w:fldChar w:fldCharType="end"/>
      </w:r>
    </w:p>
    <w:p w14:paraId="3A228A46">
      <w:pPr>
        <w:pStyle w:val="25"/>
        <w:tabs>
          <w:tab w:val="right" w:leader="dot" w:pos="9355"/>
          <w:tab w:val="clear" w:pos="9344"/>
        </w:tabs>
      </w:pPr>
      <w:r>
        <w:fldChar w:fldCharType="begin"/>
      </w:r>
      <w:r>
        <w:instrText xml:space="preserve"> HYPERLINK \l "_Toc30418" </w:instrText>
      </w:r>
      <w:r>
        <w:fldChar w:fldCharType="separate"/>
      </w:r>
      <w:r>
        <w:rPr>
          <w:rFonts w:hint="eastAsia" w:ascii="黑体" w:hAnsi="Times New Roman" w:eastAsia="黑体"/>
          <w:kern w:val="0"/>
        </w:rPr>
        <w:t xml:space="preserve">8.1 </w:t>
      </w:r>
      <w:r>
        <w:t>检测项目</w:t>
      </w:r>
      <w:r>
        <w:tab/>
      </w:r>
      <w:r>
        <w:fldChar w:fldCharType="begin"/>
      </w:r>
      <w:r>
        <w:instrText xml:space="preserve"> PAGEREF _Toc30418 \h </w:instrText>
      </w:r>
      <w:r>
        <w:fldChar w:fldCharType="separate"/>
      </w:r>
      <w:r>
        <w:t>11</w:t>
      </w:r>
      <w:r>
        <w:fldChar w:fldCharType="end"/>
      </w:r>
      <w:r>
        <w:fldChar w:fldCharType="end"/>
      </w:r>
    </w:p>
    <w:p w14:paraId="5A1F81BC">
      <w:pPr>
        <w:pStyle w:val="25"/>
        <w:tabs>
          <w:tab w:val="right" w:leader="dot" w:pos="9355"/>
          <w:tab w:val="clear" w:pos="9344"/>
        </w:tabs>
      </w:pPr>
      <w:r>
        <w:fldChar w:fldCharType="begin"/>
      </w:r>
      <w:r>
        <w:instrText xml:space="preserve"> HYPERLINK \l "_Toc18122" </w:instrText>
      </w:r>
      <w:r>
        <w:fldChar w:fldCharType="separate"/>
      </w:r>
      <w:r>
        <w:rPr>
          <w:rFonts w:hint="eastAsia" w:ascii="黑体" w:hAnsi="Times New Roman" w:eastAsia="黑体"/>
          <w:kern w:val="0"/>
        </w:rPr>
        <w:t xml:space="preserve">8.2 </w:t>
      </w:r>
      <w:r>
        <w:rPr>
          <w:rFonts w:hint="eastAsia"/>
        </w:rPr>
        <w:t>环境适应性试验前检测</w:t>
      </w:r>
      <w:r>
        <w:tab/>
      </w:r>
      <w:r>
        <w:fldChar w:fldCharType="begin"/>
      </w:r>
      <w:r>
        <w:instrText xml:space="preserve"> PAGEREF _Toc18122 \h </w:instrText>
      </w:r>
      <w:r>
        <w:fldChar w:fldCharType="separate"/>
      </w:r>
      <w:r>
        <w:t>12</w:t>
      </w:r>
      <w:r>
        <w:fldChar w:fldCharType="end"/>
      </w:r>
      <w:r>
        <w:fldChar w:fldCharType="end"/>
      </w:r>
    </w:p>
    <w:p w14:paraId="05C0EF21">
      <w:pPr>
        <w:pStyle w:val="25"/>
        <w:tabs>
          <w:tab w:val="right" w:leader="dot" w:pos="9355"/>
          <w:tab w:val="clear" w:pos="9344"/>
        </w:tabs>
      </w:pPr>
      <w:r>
        <w:fldChar w:fldCharType="begin"/>
      </w:r>
      <w:r>
        <w:instrText xml:space="preserve"> HYPERLINK \l "_Toc18554" </w:instrText>
      </w:r>
      <w:r>
        <w:fldChar w:fldCharType="separate"/>
      </w:r>
      <w:r>
        <w:rPr>
          <w:rFonts w:hint="eastAsia" w:ascii="黑体" w:hAnsi="Times New Roman" w:eastAsia="黑体"/>
          <w:kern w:val="0"/>
        </w:rPr>
        <w:t xml:space="preserve">8.3 </w:t>
      </w:r>
      <w:r>
        <w:rPr>
          <w:rFonts w:hint="eastAsia"/>
        </w:rPr>
        <w:t>环境适应性试验中检测</w:t>
      </w:r>
      <w:r>
        <w:tab/>
      </w:r>
      <w:r>
        <w:fldChar w:fldCharType="begin"/>
      </w:r>
      <w:r>
        <w:instrText xml:space="preserve"> PAGEREF _Toc18554 \h </w:instrText>
      </w:r>
      <w:r>
        <w:fldChar w:fldCharType="separate"/>
      </w:r>
      <w:r>
        <w:t>12</w:t>
      </w:r>
      <w:r>
        <w:fldChar w:fldCharType="end"/>
      </w:r>
      <w:r>
        <w:fldChar w:fldCharType="end"/>
      </w:r>
    </w:p>
    <w:p w14:paraId="55A272B2">
      <w:pPr>
        <w:pStyle w:val="25"/>
        <w:tabs>
          <w:tab w:val="right" w:leader="dot" w:pos="9355"/>
          <w:tab w:val="clear" w:pos="9344"/>
        </w:tabs>
      </w:pPr>
      <w:r>
        <w:fldChar w:fldCharType="begin"/>
      </w:r>
      <w:r>
        <w:instrText xml:space="preserve"> HYPERLINK \l "_Toc6796" </w:instrText>
      </w:r>
      <w:r>
        <w:fldChar w:fldCharType="separate"/>
      </w:r>
      <w:r>
        <w:rPr>
          <w:rFonts w:hint="eastAsia" w:ascii="黑体" w:hAnsi="Times New Roman" w:eastAsia="黑体"/>
          <w:kern w:val="0"/>
        </w:rPr>
        <w:t xml:space="preserve">8.4 </w:t>
      </w:r>
      <w:r>
        <w:rPr>
          <w:rFonts w:hint="eastAsia"/>
        </w:rPr>
        <w:t>环境适应性试验后检测</w:t>
      </w:r>
      <w:r>
        <w:tab/>
      </w:r>
      <w:r>
        <w:fldChar w:fldCharType="begin"/>
      </w:r>
      <w:r>
        <w:instrText xml:space="preserve"> PAGEREF _Toc6796 \h </w:instrText>
      </w:r>
      <w:r>
        <w:fldChar w:fldCharType="separate"/>
      </w:r>
      <w:r>
        <w:t>12</w:t>
      </w:r>
      <w:r>
        <w:fldChar w:fldCharType="end"/>
      </w:r>
      <w:r>
        <w:fldChar w:fldCharType="end"/>
      </w:r>
    </w:p>
    <w:p w14:paraId="5416E8DC">
      <w:pPr>
        <w:pStyle w:val="20"/>
        <w:tabs>
          <w:tab w:val="right" w:leader="dot" w:pos="9355"/>
        </w:tabs>
      </w:pPr>
      <w:r>
        <w:fldChar w:fldCharType="begin"/>
      </w:r>
      <w:r>
        <w:instrText xml:space="preserve"> HYPERLINK \l "_Toc23331" </w:instrText>
      </w:r>
      <w:r>
        <w:fldChar w:fldCharType="separate"/>
      </w:r>
      <w:r>
        <w:rPr>
          <w:rFonts w:hint="eastAsia" w:ascii="黑体" w:eastAsia="黑体"/>
        </w:rPr>
        <w:t xml:space="preserve">9 </w:t>
      </w:r>
      <w:r>
        <w:rPr>
          <w:rFonts w:hint="eastAsia"/>
        </w:rPr>
        <w:t>测试数据处理</w:t>
      </w:r>
      <w:r>
        <w:tab/>
      </w:r>
      <w:r>
        <w:fldChar w:fldCharType="begin"/>
      </w:r>
      <w:r>
        <w:instrText xml:space="preserve"> PAGEREF _Toc23331 \h </w:instrText>
      </w:r>
      <w:r>
        <w:fldChar w:fldCharType="separate"/>
      </w:r>
      <w:r>
        <w:t>12</w:t>
      </w:r>
      <w:r>
        <w:fldChar w:fldCharType="end"/>
      </w:r>
      <w:r>
        <w:fldChar w:fldCharType="end"/>
      </w:r>
    </w:p>
    <w:p w14:paraId="0DF023BB">
      <w:pPr>
        <w:pStyle w:val="25"/>
        <w:tabs>
          <w:tab w:val="right" w:leader="dot" w:pos="9355"/>
          <w:tab w:val="clear" w:pos="9344"/>
        </w:tabs>
      </w:pPr>
      <w:r>
        <w:fldChar w:fldCharType="begin"/>
      </w:r>
      <w:r>
        <w:instrText xml:space="preserve"> HYPERLINK \l "_Toc105" </w:instrText>
      </w:r>
      <w:r>
        <w:fldChar w:fldCharType="separate"/>
      </w:r>
      <w:r>
        <w:rPr>
          <w:rFonts w:hint="eastAsia" w:ascii="黑体" w:hAnsi="Times New Roman" w:eastAsia="黑体"/>
          <w:kern w:val="0"/>
        </w:rPr>
        <w:t xml:space="preserve">9.1 </w:t>
      </w:r>
      <w:r>
        <w:rPr>
          <w:rFonts w:hint="eastAsia"/>
        </w:rPr>
        <w:t>故障判定</w:t>
      </w:r>
      <w:r>
        <w:tab/>
      </w:r>
      <w:r>
        <w:fldChar w:fldCharType="begin"/>
      </w:r>
      <w:r>
        <w:instrText xml:space="preserve"> PAGEREF _Toc105 \h </w:instrText>
      </w:r>
      <w:r>
        <w:fldChar w:fldCharType="separate"/>
      </w:r>
      <w:r>
        <w:t>12</w:t>
      </w:r>
      <w:r>
        <w:fldChar w:fldCharType="end"/>
      </w:r>
      <w:r>
        <w:fldChar w:fldCharType="end"/>
      </w:r>
    </w:p>
    <w:p w14:paraId="50976E50">
      <w:pPr>
        <w:pStyle w:val="20"/>
        <w:tabs>
          <w:tab w:val="right" w:leader="dot" w:pos="9355"/>
        </w:tabs>
      </w:pPr>
      <w:r>
        <w:fldChar w:fldCharType="begin"/>
      </w:r>
      <w:r>
        <w:instrText xml:space="preserve"> HYPERLINK \l "_Toc31011" </w:instrText>
      </w:r>
      <w:r>
        <w:fldChar w:fldCharType="separate"/>
      </w:r>
      <w:r>
        <w:rPr>
          <w:rFonts w:hint="eastAsia" w:ascii="黑体" w:eastAsia="黑体"/>
        </w:rPr>
        <w:t xml:space="preserve">10 </w:t>
      </w:r>
      <w:r>
        <w:t>试验</w:t>
      </w:r>
      <w:r>
        <w:rPr>
          <w:rFonts w:hint="eastAsia"/>
        </w:rPr>
        <w:t>暂停</w:t>
      </w:r>
      <w:r>
        <w:t>、中断、恢复</w:t>
      </w:r>
      <w:r>
        <w:rPr>
          <w:rFonts w:hint="eastAsia"/>
        </w:rPr>
        <w:t>和终止</w:t>
      </w:r>
      <w:r>
        <w:tab/>
      </w:r>
      <w:r>
        <w:fldChar w:fldCharType="begin"/>
      </w:r>
      <w:r>
        <w:instrText xml:space="preserve"> PAGEREF _Toc31011 \h </w:instrText>
      </w:r>
      <w:r>
        <w:fldChar w:fldCharType="separate"/>
      </w:r>
      <w:r>
        <w:t>12</w:t>
      </w:r>
      <w:r>
        <w:fldChar w:fldCharType="end"/>
      </w:r>
      <w:r>
        <w:fldChar w:fldCharType="end"/>
      </w:r>
    </w:p>
    <w:p w14:paraId="5C6FC170">
      <w:pPr>
        <w:pStyle w:val="25"/>
        <w:tabs>
          <w:tab w:val="right" w:leader="dot" w:pos="9355"/>
          <w:tab w:val="clear" w:pos="9344"/>
        </w:tabs>
      </w:pPr>
      <w:r>
        <w:fldChar w:fldCharType="begin"/>
      </w:r>
      <w:r>
        <w:instrText xml:space="preserve"> HYPERLINK \l "_Toc15423" </w:instrText>
      </w:r>
      <w:r>
        <w:fldChar w:fldCharType="separate"/>
      </w:r>
      <w:r>
        <w:rPr>
          <w:rFonts w:hint="eastAsia" w:ascii="黑体" w:hAnsi="Times New Roman" w:eastAsia="黑体"/>
          <w:kern w:val="0"/>
        </w:rPr>
        <w:t xml:space="preserve">10.1 </w:t>
      </w:r>
      <w:r>
        <w:rPr>
          <w:rFonts w:hint="eastAsia"/>
        </w:rPr>
        <w:t>试验暂停和中断</w:t>
      </w:r>
      <w:r>
        <w:tab/>
      </w:r>
      <w:r>
        <w:fldChar w:fldCharType="begin"/>
      </w:r>
      <w:r>
        <w:instrText xml:space="preserve"> PAGEREF _Toc15423 \h </w:instrText>
      </w:r>
      <w:r>
        <w:fldChar w:fldCharType="separate"/>
      </w:r>
      <w:r>
        <w:t>12</w:t>
      </w:r>
      <w:r>
        <w:fldChar w:fldCharType="end"/>
      </w:r>
      <w:r>
        <w:fldChar w:fldCharType="end"/>
      </w:r>
    </w:p>
    <w:p w14:paraId="465CBF60">
      <w:pPr>
        <w:pStyle w:val="25"/>
        <w:tabs>
          <w:tab w:val="right" w:leader="dot" w:pos="9355"/>
          <w:tab w:val="clear" w:pos="9344"/>
        </w:tabs>
      </w:pPr>
      <w:r>
        <w:fldChar w:fldCharType="begin"/>
      </w:r>
      <w:r>
        <w:instrText xml:space="preserve"> HYPERLINK \l "_Toc30273" </w:instrText>
      </w:r>
      <w:r>
        <w:fldChar w:fldCharType="separate"/>
      </w:r>
      <w:r>
        <w:rPr>
          <w:rFonts w:hint="eastAsia" w:ascii="黑体" w:hAnsi="Times New Roman" w:eastAsia="黑体"/>
          <w:kern w:val="0"/>
        </w:rPr>
        <w:t xml:space="preserve">10.2 </w:t>
      </w:r>
      <w:r>
        <w:t>试验终止</w:t>
      </w:r>
      <w:r>
        <w:tab/>
      </w:r>
      <w:r>
        <w:fldChar w:fldCharType="begin"/>
      </w:r>
      <w:r>
        <w:instrText xml:space="preserve"> PAGEREF _Toc30273 \h </w:instrText>
      </w:r>
      <w:r>
        <w:fldChar w:fldCharType="separate"/>
      </w:r>
      <w:r>
        <w:t>13</w:t>
      </w:r>
      <w:r>
        <w:fldChar w:fldCharType="end"/>
      </w:r>
      <w:r>
        <w:fldChar w:fldCharType="end"/>
      </w:r>
    </w:p>
    <w:p w14:paraId="6F26AFF9">
      <w:pPr>
        <w:pStyle w:val="25"/>
        <w:tabs>
          <w:tab w:val="right" w:leader="dot" w:pos="9355"/>
          <w:tab w:val="clear" w:pos="9344"/>
        </w:tabs>
      </w:pPr>
      <w:r>
        <w:fldChar w:fldCharType="begin"/>
      </w:r>
      <w:r>
        <w:instrText xml:space="preserve"> HYPERLINK \l "_Toc23725" </w:instrText>
      </w:r>
      <w:r>
        <w:fldChar w:fldCharType="separate"/>
      </w:r>
      <w:r>
        <w:rPr>
          <w:rFonts w:hint="eastAsia" w:ascii="黑体" w:hAnsi="Times New Roman" w:eastAsia="黑体"/>
          <w:kern w:val="0"/>
        </w:rPr>
        <w:t xml:space="preserve">10.3 </w:t>
      </w:r>
      <w:r>
        <w:t>试验</w:t>
      </w:r>
      <w:r>
        <w:rPr>
          <w:rFonts w:hint="eastAsia"/>
        </w:rPr>
        <w:t>恢复</w:t>
      </w:r>
      <w:r>
        <w:tab/>
      </w:r>
      <w:r>
        <w:fldChar w:fldCharType="begin"/>
      </w:r>
      <w:r>
        <w:instrText xml:space="preserve"> PAGEREF _Toc23725 \h </w:instrText>
      </w:r>
      <w:r>
        <w:fldChar w:fldCharType="separate"/>
      </w:r>
      <w:r>
        <w:t>13</w:t>
      </w:r>
      <w:r>
        <w:fldChar w:fldCharType="end"/>
      </w:r>
      <w:r>
        <w:fldChar w:fldCharType="end"/>
      </w:r>
    </w:p>
    <w:p w14:paraId="3A39C517">
      <w:pPr>
        <w:pStyle w:val="20"/>
        <w:tabs>
          <w:tab w:val="right" w:leader="dot" w:pos="9355"/>
        </w:tabs>
      </w:pPr>
      <w:r>
        <w:fldChar w:fldCharType="begin"/>
      </w:r>
      <w:r>
        <w:instrText xml:space="preserve"> HYPERLINK \l "_Toc20676" </w:instrText>
      </w:r>
      <w:r>
        <w:fldChar w:fldCharType="separate"/>
      </w:r>
      <w:r>
        <w:rPr>
          <w:rFonts w:hint="eastAsia" w:ascii="黑体" w:eastAsia="黑体"/>
        </w:rPr>
        <w:t xml:space="preserve">11 </w:t>
      </w:r>
      <w:r>
        <w:rPr>
          <w:rFonts w:hint="eastAsia"/>
        </w:rPr>
        <w:t>结果评价与报告</w:t>
      </w:r>
      <w:r>
        <w:tab/>
      </w:r>
      <w:r>
        <w:fldChar w:fldCharType="begin"/>
      </w:r>
      <w:r>
        <w:instrText xml:space="preserve"> PAGEREF _Toc20676 \h </w:instrText>
      </w:r>
      <w:r>
        <w:fldChar w:fldCharType="separate"/>
      </w:r>
      <w:r>
        <w:t>13</w:t>
      </w:r>
      <w:r>
        <w:fldChar w:fldCharType="end"/>
      </w:r>
      <w:r>
        <w:fldChar w:fldCharType="end"/>
      </w:r>
    </w:p>
    <w:p w14:paraId="554AD0E8">
      <w:pPr>
        <w:pStyle w:val="25"/>
        <w:tabs>
          <w:tab w:val="right" w:leader="dot" w:pos="9355"/>
          <w:tab w:val="clear" w:pos="9344"/>
        </w:tabs>
      </w:pPr>
      <w:r>
        <w:fldChar w:fldCharType="begin"/>
      </w:r>
      <w:r>
        <w:instrText xml:space="preserve"> HYPERLINK \l "_Toc4188" </w:instrText>
      </w:r>
      <w:r>
        <w:fldChar w:fldCharType="separate"/>
      </w:r>
      <w:r>
        <w:rPr>
          <w:rFonts w:hint="eastAsia" w:ascii="黑体" w:hAnsi="Times New Roman" w:eastAsia="黑体"/>
          <w:kern w:val="0"/>
        </w:rPr>
        <w:t xml:space="preserve">11.1 </w:t>
      </w:r>
      <w:r>
        <w:rPr>
          <w:rFonts w:hint="eastAsia"/>
        </w:rPr>
        <w:t>合格判定</w:t>
      </w:r>
      <w:r>
        <w:tab/>
      </w:r>
      <w:r>
        <w:fldChar w:fldCharType="begin"/>
      </w:r>
      <w:r>
        <w:instrText xml:space="preserve"> PAGEREF _Toc4188 \h </w:instrText>
      </w:r>
      <w:r>
        <w:fldChar w:fldCharType="separate"/>
      </w:r>
      <w:r>
        <w:t>13</w:t>
      </w:r>
      <w:r>
        <w:fldChar w:fldCharType="end"/>
      </w:r>
      <w:r>
        <w:fldChar w:fldCharType="end"/>
      </w:r>
    </w:p>
    <w:p w14:paraId="323D2E0C">
      <w:pPr>
        <w:pStyle w:val="25"/>
        <w:tabs>
          <w:tab w:val="right" w:leader="dot" w:pos="9355"/>
          <w:tab w:val="clear" w:pos="9344"/>
        </w:tabs>
      </w:pPr>
      <w:r>
        <w:fldChar w:fldCharType="begin"/>
      </w:r>
      <w:r>
        <w:instrText xml:space="preserve"> HYPERLINK \l "_Toc2093" </w:instrText>
      </w:r>
      <w:r>
        <w:fldChar w:fldCharType="separate"/>
      </w:r>
      <w:r>
        <w:rPr>
          <w:rFonts w:hint="eastAsia" w:ascii="黑体" w:hAnsi="Times New Roman" w:eastAsia="黑体"/>
          <w:kern w:val="0"/>
        </w:rPr>
        <w:t xml:space="preserve">11.2 </w:t>
      </w:r>
      <w:r>
        <w:rPr>
          <w:rFonts w:hint="eastAsia"/>
        </w:rPr>
        <w:t>测试报告</w:t>
      </w:r>
      <w:r>
        <w:tab/>
      </w:r>
      <w:r>
        <w:fldChar w:fldCharType="begin"/>
      </w:r>
      <w:r>
        <w:instrText xml:space="preserve"> PAGEREF _Toc2093 \h </w:instrText>
      </w:r>
      <w:r>
        <w:fldChar w:fldCharType="separate"/>
      </w:r>
      <w:r>
        <w:t>13</w:t>
      </w:r>
      <w:r>
        <w:fldChar w:fldCharType="end"/>
      </w:r>
      <w:r>
        <w:fldChar w:fldCharType="end"/>
      </w:r>
    </w:p>
    <w:p w14:paraId="701C4D0F">
      <w:pPr>
        <w:pStyle w:val="20"/>
        <w:tabs>
          <w:tab w:val="right" w:leader="dot" w:pos="9355"/>
        </w:tabs>
      </w:pPr>
      <w:r>
        <w:fldChar w:fldCharType="begin"/>
      </w:r>
      <w:r>
        <w:instrText xml:space="preserve"> HYPERLINK \l "_Toc7774" </w:instrText>
      </w:r>
      <w:r>
        <w:fldChar w:fldCharType="separate"/>
      </w:r>
      <w:r>
        <w:rPr>
          <w:rFonts w:hint="eastAsia"/>
          <w:spacing w:val="100"/>
        </w:rPr>
        <w:t>附录A</w:t>
      </w:r>
      <w:r>
        <w:rPr>
          <w:rFonts w:hint="eastAsia"/>
        </w:rPr>
        <w:t>测试报告案例</w:t>
      </w:r>
      <w:r>
        <w:tab/>
      </w:r>
      <w:r>
        <w:fldChar w:fldCharType="begin"/>
      </w:r>
      <w:r>
        <w:instrText xml:space="preserve"> PAGEREF _Toc7774 \h </w:instrText>
      </w:r>
      <w:r>
        <w:fldChar w:fldCharType="separate"/>
      </w:r>
      <w:r>
        <w:t>14</w:t>
      </w:r>
      <w:r>
        <w:fldChar w:fldCharType="end"/>
      </w:r>
      <w:r>
        <w:fldChar w:fldCharType="end"/>
      </w:r>
    </w:p>
    <w:p w14:paraId="08C53C54">
      <w:pPr>
        <w:pStyle w:val="20"/>
        <w:tabs>
          <w:tab w:val="right" w:leader="dot" w:pos="9355"/>
        </w:tabs>
        <w:sectPr>
          <w:headerReference r:id="rId11" w:type="default"/>
          <w:footerReference r:id="rId13" w:type="default"/>
          <w:headerReference r:id="rId12" w:type="even"/>
          <w:footerReference r:id="rId14"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8"/>
    <w:p w14:paraId="11A80A02">
      <w:pPr>
        <w:pStyle w:val="94"/>
        <w:spacing w:before="850" w:after="680" w:afterLines="0"/>
      </w:pPr>
      <w:bookmarkStart w:id="22" w:name="_Toc32003"/>
      <w:bookmarkStart w:id="23" w:name="BookMark2"/>
      <w:r>
        <w:rPr>
          <w:rFonts w:hint="eastAsia"/>
          <w:spacing w:val="320"/>
        </w:rPr>
        <w:t>前</w:t>
      </w:r>
      <w:r>
        <w:rPr>
          <w:rFonts w:hint="eastAsia"/>
        </w:rPr>
        <w:t>言</w:t>
      </w:r>
      <w:bookmarkEnd w:id="19"/>
      <w:bookmarkEnd w:id="20"/>
      <w:bookmarkEnd w:id="21"/>
      <w:bookmarkEnd w:id="22"/>
      <w:r>
        <w:rPr>
          <w:rFonts w:hint="eastAsia"/>
        </w:rPr>
        <w:t xml:space="preserve">    </w:t>
      </w:r>
    </w:p>
    <w:p w14:paraId="769497A2">
      <w:pPr>
        <w:pStyle w:val="61"/>
        <w:ind w:firstLine="420"/>
      </w:pPr>
      <w:r>
        <w:rPr>
          <w:rFonts w:hint="eastAsia"/>
        </w:rPr>
        <w:t>本文件按照GB/T 1.1—2020《标准化工作导则  第1部分：标准化文件的结构和起草规则》的规定起草。</w:t>
      </w:r>
    </w:p>
    <w:p w14:paraId="3D8A28CC">
      <w:pPr>
        <w:pStyle w:val="61"/>
        <w:ind w:firstLine="420"/>
      </w:pPr>
      <w:r>
        <w:rPr>
          <w:rFonts w:hint="eastAsia"/>
        </w:rPr>
        <w:t>请注意本文件的某些内容可能涉及专利。本文件的发布机构不承担识别专利的责任。</w:t>
      </w:r>
    </w:p>
    <w:p w14:paraId="784BF931">
      <w:pPr>
        <w:pStyle w:val="61"/>
        <w:ind w:firstLine="420"/>
      </w:pPr>
      <w:r>
        <w:rPr>
          <w:rFonts w:hint="eastAsia"/>
        </w:rPr>
        <w:t>本文件由中国西部开发促进会提出。</w:t>
      </w:r>
    </w:p>
    <w:p w14:paraId="15A3B9E6">
      <w:pPr>
        <w:pStyle w:val="61"/>
        <w:ind w:firstLine="420"/>
      </w:pPr>
      <w:r>
        <w:rPr>
          <w:rFonts w:hint="eastAsia"/>
        </w:rPr>
        <w:t>本文件由中国西部开发促进会归口。</w:t>
      </w:r>
    </w:p>
    <w:p w14:paraId="451F7203">
      <w:pPr>
        <w:pStyle w:val="61"/>
        <w:ind w:firstLine="420"/>
        <w:rPr>
          <w:rFonts w:ascii="Calibri" w:hAnsi="Calibri"/>
          <w:kern w:val="2"/>
          <w:szCs w:val="21"/>
        </w:rPr>
      </w:pPr>
      <w:r>
        <w:rPr>
          <w:rFonts w:hint="eastAsia"/>
        </w:rPr>
        <w:t>本文件起草单位：。</w:t>
      </w:r>
    </w:p>
    <w:p w14:paraId="6265C58A">
      <w:pPr>
        <w:pStyle w:val="61"/>
        <w:ind w:firstLine="420"/>
        <w:rPr>
          <w:rFonts w:ascii="Calibri" w:hAnsi="Calibri"/>
          <w:kern w:val="2"/>
          <w:szCs w:val="21"/>
        </w:rPr>
      </w:pPr>
      <w:r>
        <w:rPr>
          <w:rFonts w:hint="eastAsia"/>
        </w:rPr>
        <w:t>本文件主要起草人：。</w:t>
      </w:r>
    </w:p>
    <w:p w14:paraId="755820E9">
      <w:pPr>
        <w:pStyle w:val="61"/>
        <w:ind w:firstLine="420"/>
      </w:pPr>
      <w:r>
        <w:rPr>
          <w:rFonts w:hint="eastAsia"/>
        </w:rPr>
        <w:t>本文件首次发布。</w:t>
      </w:r>
    </w:p>
    <w:p w14:paraId="50F38C6B">
      <w:pPr>
        <w:pStyle w:val="61"/>
        <w:ind w:firstLine="420"/>
      </w:pPr>
    </w:p>
    <w:p w14:paraId="2A5ED5CA">
      <w:pPr>
        <w:pStyle w:val="61"/>
        <w:sectPr>
          <w:footerReference r:id="rId16" w:type="default"/>
          <w:headerReference r:id="rId15" w:type="even"/>
          <w:footerReference r:id="rId17" w:type="even"/>
          <w:pgSz w:w="11906" w:h="16838"/>
          <w:pgMar w:top="1928" w:right="1134" w:bottom="1134" w:left="1134" w:header="1418" w:footer="1134" w:gutter="283"/>
          <w:pgNumType w:fmt="upperRoman"/>
          <w:cols w:space="0" w:num="1"/>
          <w:formProt w:val="0"/>
          <w:docGrid w:linePitch="312" w:charSpace="0"/>
        </w:sectPr>
      </w:pPr>
    </w:p>
    <w:bookmarkEnd w:id="23"/>
    <w:p w14:paraId="133C75F6">
      <w:pPr>
        <w:spacing w:line="20" w:lineRule="exact"/>
        <w:rPr>
          <w:rFonts w:hint="eastAsia" w:ascii="黑体" w:hAnsi="黑体" w:eastAsia="黑体"/>
          <w:sz w:val="32"/>
          <w:szCs w:val="32"/>
        </w:rPr>
      </w:pPr>
      <w:bookmarkStart w:id="24" w:name="BookMark4"/>
    </w:p>
    <w:p w14:paraId="11860E1A">
      <w:pPr>
        <w:spacing w:line="20" w:lineRule="exact"/>
        <w:rPr>
          <w:rFonts w:hint="eastAsia" w:ascii="黑体" w:hAnsi="黑体" w:eastAsia="黑体"/>
          <w:sz w:val="32"/>
          <w:szCs w:val="32"/>
        </w:rPr>
      </w:pPr>
    </w:p>
    <w:sdt>
      <w:sdtPr>
        <w:tag w:val="NEW_STAND_NAME"/>
        <w:id w:val="595910757"/>
        <w:lock w:val="sdtLocked"/>
        <w:placeholder>
          <w:docPart w:val="{bdb878a8-c7e8-47ec-83cf-f913e08e8096}"/>
        </w:placeholder>
      </w:sdtPr>
      <w:sdtEndPr>
        <w:rPr>
          <w:rFonts w:hint="eastAsia"/>
        </w:rPr>
      </w:sdtEndPr>
      <w:sdtContent>
        <w:p w14:paraId="5ED7A39B">
          <w:pPr>
            <w:pStyle w:val="182"/>
            <w:spacing w:before="850" w:after="680" w:line="240" w:lineRule="auto"/>
            <w:rPr>
              <w:rFonts w:hint="eastAsia"/>
            </w:rPr>
          </w:pPr>
          <w:bookmarkStart w:id="25" w:name="NEW_STAND_NAME"/>
          <w:bookmarkStart w:id="26" w:name="OLE_LINK3"/>
          <w:r>
            <w:rPr>
              <w:rFonts w:hint="eastAsia"/>
            </w:rPr>
            <w:t>原子重力仪可靠性测试方法</w:t>
          </w:r>
        </w:p>
      </w:sdtContent>
    </w:sdt>
    <w:bookmarkEnd w:id="25"/>
    <w:bookmarkEnd w:id="26"/>
    <w:p w14:paraId="11AC58F0">
      <w:pPr>
        <w:pStyle w:val="109"/>
        <w:spacing w:before="240" w:after="240"/>
      </w:pPr>
      <w:bookmarkStart w:id="27" w:name="_Toc26986771"/>
      <w:bookmarkStart w:id="28" w:name="_Toc95920558"/>
      <w:bookmarkStart w:id="29" w:name="_Toc148612845"/>
      <w:bookmarkStart w:id="30" w:name="_Toc150158740"/>
      <w:bookmarkStart w:id="31" w:name="_Toc24884211"/>
      <w:bookmarkStart w:id="32" w:name="_Toc95723355"/>
      <w:bookmarkStart w:id="33" w:name="_Toc26648465"/>
      <w:bookmarkStart w:id="34" w:name="_Toc17233333"/>
      <w:bookmarkStart w:id="35" w:name="_Toc24884218"/>
      <w:bookmarkStart w:id="36" w:name="_Toc26718930"/>
      <w:bookmarkStart w:id="37" w:name="_Toc150158767"/>
      <w:bookmarkStart w:id="38" w:name="_Toc17233325"/>
      <w:bookmarkStart w:id="39" w:name="_Toc28907"/>
      <w:bookmarkStart w:id="40" w:name="_Toc95920575"/>
      <w:bookmarkStart w:id="41" w:name="_Toc26986530"/>
      <w:r>
        <w:rPr>
          <w:rFonts w:hint="eastAsia"/>
        </w:rPr>
        <w:t>范围</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1BDCAAAF">
      <w:pPr>
        <w:pStyle w:val="61"/>
        <w:ind w:firstLine="420"/>
      </w:pPr>
      <w:r>
        <w:rPr>
          <w:rFonts w:hint="eastAsia"/>
        </w:rPr>
        <w:t>本文件规定了陆基原子重力仪可靠性测试的分类、表征维度、一般要求、分类型技术指标、环境适应性测试、数据处理及结果评价等内容。</w:t>
      </w:r>
    </w:p>
    <w:p w14:paraId="7B8CB797">
      <w:pPr>
        <w:pStyle w:val="61"/>
        <w:ind w:firstLine="420"/>
      </w:pPr>
      <w:r>
        <w:rPr>
          <w:rFonts w:hint="eastAsia"/>
        </w:rPr>
        <w:t>本文件适用于陆基原子重力仪的可靠性测试。</w:t>
      </w:r>
    </w:p>
    <w:p w14:paraId="606C08A6">
      <w:pPr>
        <w:pStyle w:val="109"/>
        <w:spacing w:before="240" w:after="240"/>
      </w:pPr>
      <w:bookmarkStart w:id="42" w:name="_Toc95723356"/>
      <w:bookmarkStart w:id="43" w:name="_Toc24884212"/>
      <w:bookmarkStart w:id="44" w:name="_Toc17233326"/>
      <w:bookmarkStart w:id="45" w:name="_Toc148612846"/>
      <w:bookmarkStart w:id="46" w:name="_Toc95920559"/>
      <w:bookmarkStart w:id="47" w:name="_Toc26986531"/>
      <w:bookmarkStart w:id="48" w:name="_Toc95920576"/>
      <w:bookmarkStart w:id="49" w:name="_Toc2875"/>
      <w:bookmarkStart w:id="50" w:name="_Toc26718931"/>
      <w:bookmarkStart w:id="51" w:name="_Toc150158741"/>
      <w:bookmarkStart w:id="52" w:name="_Toc26986772"/>
      <w:bookmarkStart w:id="53" w:name="_Toc26648466"/>
      <w:bookmarkStart w:id="54" w:name="_Toc150158768"/>
      <w:bookmarkStart w:id="55" w:name="_Toc24884219"/>
      <w:bookmarkStart w:id="56" w:name="_Toc17233334"/>
      <w:r>
        <w:rPr>
          <w:rFonts w:hint="eastAsia"/>
        </w:rPr>
        <w:t>规范性引用文件</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B94BE9E">
          <w:pPr>
            <w:pStyle w:val="6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46185F9">
      <w:pPr>
        <w:pStyle w:val="61"/>
        <w:ind w:firstLine="420"/>
      </w:pPr>
      <w:bookmarkStart w:id="57" w:name="_Toc95723357"/>
      <w:r>
        <w:rPr>
          <w:rFonts w:hint="eastAsia"/>
        </w:rPr>
        <w:t>GB/T 2423.1-2008  电工电子产品环境试验 第2部分：试验方法 试验A：低温</w:t>
      </w:r>
    </w:p>
    <w:p w14:paraId="2C5D5B61">
      <w:pPr>
        <w:pStyle w:val="61"/>
        <w:ind w:firstLine="420"/>
      </w:pPr>
      <w:r>
        <w:rPr>
          <w:rFonts w:hint="eastAsia"/>
        </w:rPr>
        <w:t>GB/T 2423.2-2008  电工电子产品环境试验 第2部分：试验方法 试验B：高温</w:t>
      </w:r>
    </w:p>
    <w:p w14:paraId="14875B61">
      <w:pPr>
        <w:pStyle w:val="61"/>
        <w:ind w:firstLine="420"/>
      </w:pPr>
      <w:r>
        <w:rPr>
          <w:rFonts w:hint="eastAsia"/>
        </w:rPr>
        <w:t>GB/T 2423.3-2016  环境试验 第2部分：试验方法 试验Cab：恒定湿热试验</w:t>
      </w:r>
    </w:p>
    <w:p w14:paraId="27C94220">
      <w:pPr>
        <w:pStyle w:val="61"/>
        <w:ind w:firstLine="420"/>
      </w:pPr>
      <w:r>
        <w:rPr>
          <w:rFonts w:hint="eastAsia"/>
        </w:rPr>
        <w:t>GB/T 2423.21-2025  环境试验 第 2 部分：试验方法 试验 M:低气压</w:t>
      </w:r>
    </w:p>
    <w:p w14:paraId="6EFA8DB4">
      <w:pPr>
        <w:pStyle w:val="61"/>
        <w:ind w:firstLine="420"/>
      </w:pPr>
      <w:r>
        <w:rPr>
          <w:rFonts w:hint="eastAsia"/>
        </w:rPr>
        <w:t>GB/T 4857.23-2021  包装 运输包装件基本试验 第23部分：垂直随机振动试验方法</w:t>
      </w:r>
    </w:p>
    <w:p w14:paraId="1D1B288E">
      <w:pPr>
        <w:pStyle w:val="61"/>
        <w:ind w:firstLine="420"/>
      </w:pPr>
      <w:r>
        <w:rPr>
          <w:rFonts w:hint="eastAsia"/>
        </w:rPr>
        <w:t>GB/T 6587-2012  电子测量仪器通用规范</w:t>
      </w:r>
    </w:p>
    <w:p w14:paraId="35EF944C">
      <w:pPr>
        <w:pStyle w:val="61"/>
        <w:ind w:firstLine="420"/>
      </w:pPr>
      <w:r>
        <w:rPr>
          <w:rFonts w:hint="eastAsia"/>
        </w:rPr>
        <w:t>GB-T 19531-1-2004 地震台站观测环境技术要求 第1部分：测震</w:t>
      </w:r>
    </w:p>
    <w:p w14:paraId="4318F0BD">
      <w:pPr>
        <w:pStyle w:val="61"/>
        <w:ind w:firstLine="420"/>
      </w:pPr>
      <w:r>
        <w:rPr>
          <w:rFonts w:hint="eastAsia"/>
        </w:rPr>
        <w:t>GB/T 19531.3-2004  地震台站观测环境技术要求 第3部分：地壳形变观测</w:t>
      </w:r>
    </w:p>
    <w:p w14:paraId="2ED8674A">
      <w:pPr>
        <w:pStyle w:val="61"/>
        <w:ind w:firstLine="420"/>
      </w:pPr>
      <w:r>
        <w:rPr>
          <w:rFonts w:hint="eastAsia"/>
        </w:rPr>
        <w:t>GB/T 20256-2019  国家重力控制测量规范</w:t>
      </w:r>
    </w:p>
    <w:p w14:paraId="3EFF598D">
      <w:pPr>
        <w:pStyle w:val="61"/>
        <w:ind w:firstLine="420"/>
      </w:pPr>
      <w:r>
        <w:rPr>
          <w:rFonts w:hint="eastAsia"/>
        </w:rPr>
        <w:t>GB/T 43740-2024  原子重力仪性能要求和测试方法</w:t>
      </w:r>
    </w:p>
    <w:p w14:paraId="651B3DA1">
      <w:pPr>
        <w:pStyle w:val="61"/>
        <w:ind w:firstLine="420"/>
      </w:pPr>
      <w:r>
        <w:rPr>
          <w:rFonts w:hint="eastAsia"/>
        </w:rPr>
        <w:t>DB/T 98-2024  绝对重力测量规范</w:t>
      </w:r>
    </w:p>
    <w:p w14:paraId="6118274C">
      <w:pPr>
        <w:pStyle w:val="109"/>
        <w:spacing w:before="240" w:after="240"/>
      </w:pPr>
      <w:bookmarkStart w:id="58" w:name="_Toc10533"/>
      <w:r>
        <w:rPr>
          <w:rFonts w:hint="eastAsia"/>
        </w:rPr>
        <w:t>术语和定义</w:t>
      </w:r>
      <w:bookmarkEnd w:id="58"/>
    </w:p>
    <w:p w14:paraId="76A87855">
      <w:pPr>
        <w:pStyle w:val="61"/>
        <w:ind w:firstLine="420"/>
      </w:pPr>
      <w:r>
        <w:rPr>
          <w:rFonts w:hint="eastAsia"/>
        </w:rPr>
        <w:t>下列术语和定义适用于本文件。</w:t>
      </w:r>
    </w:p>
    <w:p w14:paraId="381D3A08">
      <w:pPr>
        <w:pStyle w:val="228"/>
        <w:ind w:left="420" w:hanging="420" w:hangingChars="200"/>
        <w:rPr>
          <w:rFonts w:ascii="Times New Roman" w:eastAsia="黑体"/>
        </w:rPr>
      </w:pPr>
    </w:p>
    <w:p w14:paraId="54482723">
      <w:pPr>
        <w:pStyle w:val="228"/>
        <w:numPr>
          <w:ilvl w:val="2"/>
          <w:numId w:val="0"/>
        </w:numPr>
        <w:ind w:left="-420" w:leftChars="-200" w:firstLine="840" w:firstLineChars="400"/>
        <w:rPr>
          <w:rFonts w:ascii="Times New Roman" w:eastAsia="黑体"/>
        </w:rPr>
      </w:pPr>
      <w:r>
        <w:rPr>
          <w:rFonts w:hint="eastAsia" w:ascii="Times New Roman" w:eastAsia="黑体"/>
        </w:rPr>
        <w:t>连续运行率  continuous operation rate</w:t>
      </w:r>
    </w:p>
    <w:p w14:paraId="6F124892">
      <w:pPr>
        <w:pStyle w:val="61"/>
        <w:ind w:firstLine="420"/>
      </w:pPr>
      <w:r>
        <w:rPr>
          <w:rFonts w:hint="eastAsia"/>
        </w:rPr>
        <w:t>原子重力仪有效重力数据记录时间与总测试时间的比值，是衡量台站式连续观测型原子重力仪连续工作能力的重要指标。</w:t>
      </w:r>
    </w:p>
    <w:p w14:paraId="2B770798">
      <w:pPr>
        <w:pStyle w:val="228"/>
        <w:ind w:left="420" w:hanging="420" w:hangingChars="200"/>
        <w:rPr>
          <w:rFonts w:ascii="Times New Roman" w:eastAsia="黑体"/>
        </w:rPr>
      </w:pPr>
    </w:p>
    <w:p w14:paraId="106B241E">
      <w:pPr>
        <w:pStyle w:val="228"/>
        <w:numPr>
          <w:ilvl w:val="2"/>
          <w:numId w:val="0"/>
        </w:numPr>
        <w:ind w:left="-420" w:leftChars="-200" w:firstLine="840" w:firstLineChars="400"/>
        <w:rPr>
          <w:rFonts w:ascii="Times New Roman" w:eastAsia="黑体"/>
        </w:rPr>
      </w:pPr>
      <w:r>
        <w:rPr>
          <w:rFonts w:hint="eastAsia" w:ascii="Times New Roman" w:eastAsia="黑体"/>
        </w:rPr>
        <w:t>连续运行稳定性  continuous operation rate</w:t>
      </w:r>
    </w:p>
    <w:p w14:paraId="79555AD4">
      <w:pPr>
        <w:pStyle w:val="61"/>
        <w:ind w:firstLine="420"/>
      </w:pPr>
      <w:r>
        <w:rPr>
          <w:rFonts w:hint="eastAsia"/>
        </w:rPr>
        <w:t>表征原子重力仪的长期运行稳定性，具体指在地质结构稳定的台站，剔除潮汐、极移、气压等环境偏置，修正双光子频移、倾斜等系统偏置后，重力示值是否随时间改变，是台站式连续观测型原子重力仪示值是否随时间漂移的核心指标。</w:t>
      </w:r>
    </w:p>
    <w:p w14:paraId="5A8A5F3D">
      <w:pPr>
        <w:pStyle w:val="228"/>
        <w:ind w:left="420" w:hanging="420" w:hangingChars="200"/>
        <w:rPr>
          <w:rFonts w:ascii="Times New Roman" w:eastAsia="黑体"/>
        </w:rPr>
      </w:pPr>
    </w:p>
    <w:p w14:paraId="09749A7A">
      <w:pPr>
        <w:pStyle w:val="228"/>
        <w:numPr>
          <w:ilvl w:val="2"/>
          <w:numId w:val="0"/>
        </w:numPr>
        <w:ind w:left="-420" w:leftChars="-200" w:firstLine="840" w:firstLineChars="400"/>
        <w:rPr>
          <w:rFonts w:ascii="Times New Roman" w:eastAsia="黑体"/>
        </w:rPr>
      </w:pPr>
      <w:r>
        <w:rPr>
          <w:rFonts w:hint="eastAsia" w:ascii="Times New Roman" w:eastAsia="黑体"/>
        </w:rPr>
        <w:t>断电复现性  power-off reproducibility</w:t>
      </w:r>
    </w:p>
    <w:p w14:paraId="595702B3">
      <w:pPr>
        <w:pStyle w:val="61"/>
        <w:ind w:firstLine="420"/>
      </w:pPr>
      <w:r>
        <w:rPr>
          <w:rFonts w:hint="eastAsia"/>
        </w:rPr>
        <w:t>原子重力仪在不移动位置、正常断电重启，并完成系统偏置和环境偏置扣除后，断电前与恢复稳定运行后重力加速度示值的差异程度，是台站式连续观测型原子重力仪的重要指标。</w:t>
      </w:r>
    </w:p>
    <w:p w14:paraId="7A0F78B2">
      <w:pPr>
        <w:pStyle w:val="228"/>
        <w:ind w:left="420" w:hanging="420" w:hangingChars="200"/>
        <w:rPr>
          <w:rFonts w:ascii="Times New Roman" w:eastAsia="黑体"/>
        </w:rPr>
      </w:pPr>
    </w:p>
    <w:p w14:paraId="3E96458B">
      <w:pPr>
        <w:pStyle w:val="228"/>
        <w:numPr>
          <w:ilvl w:val="2"/>
          <w:numId w:val="0"/>
        </w:numPr>
        <w:ind w:left="-420" w:leftChars="-200" w:firstLine="840" w:firstLineChars="400"/>
        <w:rPr>
          <w:rFonts w:ascii="Times New Roman" w:eastAsia="黑体"/>
        </w:rPr>
      </w:pPr>
      <w:r>
        <w:rPr>
          <w:rFonts w:hint="eastAsia" w:ascii="Times New Roman" w:eastAsia="黑体"/>
        </w:rPr>
        <w:t>运输转运复现性  transportation reproducibility</w:t>
      </w:r>
    </w:p>
    <w:p w14:paraId="25F6A929">
      <w:pPr>
        <w:pStyle w:val="61"/>
        <w:ind w:firstLine="420"/>
      </w:pPr>
      <w:r>
        <w:rPr>
          <w:rFonts w:hint="eastAsia"/>
        </w:rPr>
        <w:t>原子重力仪经模拟运输、高低温存储测试，并完成系统偏置和环境偏置扣除后，在同一点位或已知重力差点位的重力测量示值的重复性与准确度，是流动观测型原子重力仪的核心指标。</w:t>
      </w:r>
    </w:p>
    <w:p w14:paraId="02C43E33">
      <w:pPr>
        <w:pStyle w:val="228"/>
        <w:ind w:left="420" w:hanging="420" w:hangingChars="200"/>
        <w:rPr>
          <w:rFonts w:ascii="Times New Roman" w:eastAsia="黑体"/>
        </w:rPr>
      </w:pPr>
    </w:p>
    <w:p w14:paraId="3D92D5C3">
      <w:pPr>
        <w:pStyle w:val="228"/>
        <w:numPr>
          <w:ilvl w:val="2"/>
          <w:numId w:val="0"/>
        </w:numPr>
        <w:ind w:left="-420" w:leftChars="-200" w:firstLine="840" w:firstLineChars="400"/>
        <w:rPr>
          <w:rFonts w:ascii="Times New Roman" w:eastAsia="黑体"/>
        </w:rPr>
      </w:pPr>
      <w:r>
        <w:rPr>
          <w:rFonts w:hint="eastAsia" w:ascii="Times New Roman" w:eastAsia="黑体"/>
        </w:rPr>
        <w:t>部署时间  deployment time</w:t>
      </w:r>
    </w:p>
    <w:p w14:paraId="451F6C43">
      <w:pPr>
        <w:pStyle w:val="61"/>
        <w:ind w:firstLine="420"/>
        <w:rPr>
          <w:rFonts w:ascii="Times New Roman" w:eastAsia="黑体"/>
        </w:rPr>
      </w:pPr>
      <w:r>
        <w:rPr>
          <w:rFonts w:hint="eastAsia"/>
        </w:rPr>
        <w:t>原子重力仪在经模拟运输、高低温存储测试后，从开箱架设到启动重力测量所需的时间花费，是流动观测型原子重力仪的重要指标。</w:t>
      </w:r>
    </w:p>
    <w:bookmarkEnd w:id="57"/>
    <w:p w14:paraId="61892FB0">
      <w:pPr>
        <w:pStyle w:val="109"/>
        <w:spacing w:before="240" w:after="240"/>
        <w:rPr>
          <w:szCs w:val="21"/>
        </w:rPr>
      </w:pPr>
      <w:bookmarkStart w:id="59" w:name="_Toc17937"/>
      <w:bookmarkEnd w:id="59"/>
      <w:bookmarkStart w:id="60" w:name="_Toc4088"/>
      <w:bookmarkEnd w:id="60"/>
      <w:bookmarkStart w:id="61" w:name="_Toc4399"/>
      <w:bookmarkEnd w:id="61"/>
      <w:bookmarkStart w:id="62" w:name="_Toc23413"/>
      <w:bookmarkEnd w:id="62"/>
      <w:bookmarkStart w:id="63" w:name="_Toc1109"/>
      <w:bookmarkEnd w:id="63"/>
      <w:bookmarkStart w:id="64" w:name="_Toc28430"/>
      <w:bookmarkEnd w:id="64"/>
      <w:bookmarkStart w:id="65" w:name="_Toc11597"/>
      <w:bookmarkEnd w:id="65"/>
      <w:bookmarkStart w:id="66" w:name="_Toc17263"/>
      <w:bookmarkEnd w:id="66"/>
      <w:bookmarkStart w:id="67" w:name="_Toc6060"/>
      <w:bookmarkStart w:id="68" w:name="_Toc23559"/>
      <w:bookmarkStart w:id="69" w:name="BookMark8"/>
      <w:r>
        <w:rPr>
          <w:rFonts w:hint="eastAsia"/>
          <w:szCs w:val="21"/>
        </w:rPr>
        <w:t>可靠性测试核心分类与表征</w:t>
      </w:r>
      <w:bookmarkEnd w:id="67"/>
      <w:bookmarkEnd w:id="68"/>
    </w:p>
    <w:p w14:paraId="66F75B9C">
      <w:pPr>
        <w:pStyle w:val="110"/>
        <w:spacing w:before="120" w:after="120"/>
        <w:rPr>
          <w:szCs w:val="21"/>
        </w:rPr>
      </w:pPr>
      <w:bookmarkStart w:id="70" w:name="_Toc25587"/>
      <w:bookmarkStart w:id="71" w:name="_Toc25310"/>
      <w:r>
        <w:rPr>
          <w:rFonts w:hint="eastAsia"/>
          <w:szCs w:val="21"/>
        </w:rPr>
        <w:t>按使用工况核心分类</w:t>
      </w:r>
      <w:bookmarkEnd w:id="70"/>
      <w:bookmarkEnd w:id="71"/>
    </w:p>
    <w:p w14:paraId="3A82665C">
      <w:pPr>
        <w:pStyle w:val="61"/>
        <w:ind w:firstLine="420"/>
      </w:pPr>
      <w:r>
        <w:rPr>
          <w:rFonts w:hint="eastAsia"/>
        </w:rPr>
        <w:t>本标准适用于静态原子重力仪。</w:t>
      </w:r>
    </w:p>
    <w:p w14:paraId="379DA679">
      <w:pPr>
        <w:pStyle w:val="61"/>
        <w:ind w:firstLine="420"/>
      </w:pPr>
      <w:r>
        <w:rPr>
          <w:rFonts w:hint="eastAsia"/>
        </w:rPr>
        <w:t>静态原子重力仪按实际使用工况分为台站式连续观测型和流动观测型两类，测试重点随使用需求差异化设定。</w:t>
      </w:r>
    </w:p>
    <w:p w14:paraId="36083BA3">
      <w:pPr>
        <w:pStyle w:val="179"/>
        <w:numPr>
          <w:ilvl w:val="0"/>
          <w:numId w:val="34"/>
        </w:numPr>
      </w:pPr>
      <w:r>
        <w:rPr>
          <w:rFonts w:hint="eastAsia"/>
        </w:rPr>
        <w:t>台站式连续观测型：需长期连续运行，可靠性测试重点为连续运行稳定性和断电复现性；</w:t>
      </w:r>
    </w:p>
    <w:p w14:paraId="74E4A139">
      <w:pPr>
        <w:pStyle w:val="179"/>
        <w:numPr>
          <w:ilvl w:val="0"/>
          <w:numId w:val="34"/>
        </w:numPr>
      </w:pPr>
      <w:r>
        <w:rPr>
          <w:rFonts w:hint="eastAsia"/>
        </w:rPr>
        <w:t>流动观测型：需频繁运输周转，可靠性测试重点为运输转运复现性。</w:t>
      </w:r>
    </w:p>
    <w:p w14:paraId="0209ECB7">
      <w:pPr>
        <w:pStyle w:val="110"/>
        <w:spacing w:before="120" w:after="120"/>
        <w:rPr>
          <w:szCs w:val="21"/>
        </w:rPr>
      </w:pPr>
      <w:bookmarkStart w:id="72" w:name="_Toc2802"/>
      <w:bookmarkStart w:id="73" w:name="_Toc22308"/>
      <w:r>
        <w:rPr>
          <w:rFonts w:hint="eastAsia"/>
          <w:szCs w:val="21"/>
        </w:rPr>
        <w:t>可靠性测试表征维度</w:t>
      </w:r>
      <w:bookmarkEnd w:id="72"/>
      <w:bookmarkEnd w:id="73"/>
    </w:p>
    <w:p w14:paraId="51CAD643">
      <w:pPr>
        <w:pStyle w:val="61"/>
        <w:ind w:firstLine="420"/>
      </w:pPr>
      <w:r>
        <w:rPr>
          <w:rFonts w:hint="eastAsia"/>
        </w:rPr>
        <w:t>原子重力仪性能测试对环境振动水平要求较高，为了合理评估可靠性测试期间的被试设备状态，从功能和性能两方面表征可靠性测试结果：</w:t>
      </w:r>
    </w:p>
    <w:p w14:paraId="6D8AA181">
      <w:pPr>
        <w:pStyle w:val="179"/>
        <w:numPr>
          <w:ilvl w:val="0"/>
          <w:numId w:val="35"/>
        </w:numPr>
      </w:pPr>
      <w:r>
        <w:rPr>
          <w:rFonts w:hint="eastAsia"/>
        </w:rPr>
        <w:t>功能表征：适用于被试设备通电但处于非安静环境下，如在试验箱中开展湿热、低气压等环境试验期间，仅通过功能指标验证被试设备是否出现故障，这些功能指标可以考虑：激光是否失锁、真空是否维持、原子捕获是否正常等；</w:t>
      </w:r>
    </w:p>
    <w:p w14:paraId="7A62C88C">
      <w:pPr>
        <w:pStyle w:val="179"/>
        <w:numPr>
          <w:ilvl w:val="0"/>
          <w:numId w:val="35"/>
        </w:numPr>
      </w:pPr>
      <w:r>
        <w:rPr>
          <w:rFonts w:hint="eastAsia"/>
        </w:rPr>
        <w:t>性能表征：适用于被试设备可处于安静环境下的情形，一般在开展环境试验前后执行。</w:t>
      </w:r>
    </w:p>
    <w:p w14:paraId="3AB49846">
      <w:pPr>
        <w:pStyle w:val="109"/>
        <w:spacing w:before="240" w:after="240"/>
        <w:rPr>
          <w:szCs w:val="21"/>
        </w:rPr>
      </w:pPr>
      <w:bookmarkStart w:id="74" w:name="_Toc22177"/>
      <w:bookmarkStart w:id="75" w:name="_Toc22313"/>
      <w:r>
        <w:rPr>
          <w:rFonts w:hint="eastAsia"/>
          <w:szCs w:val="21"/>
        </w:rPr>
        <w:t>测试的一般要求</w:t>
      </w:r>
      <w:bookmarkEnd w:id="74"/>
      <w:bookmarkEnd w:id="75"/>
    </w:p>
    <w:p w14:paraId="3D42812F">
      <w:pPr>
        <w:pStyle w:val="110"/>
        <w:spacing w:before="120" w:after="120"/>
        <w:rPr>
          <w:szCs w:val="21"/>
        </w:rPr>
      </w:pPr>
      <w:bookmarkStart w:id="76" w:name="_Toc7981"/>
      <w:bookmarkStart w:id="77" w:name="_Toc18192"/>
      <w:bookmarkStart w:id="78" w:name="_Toc16604"/>
      <w:r>
        <w:rPr>
          <w:rFonts w:hint="eastAsia"/>
          <w:szCs w:val="21"/>
        </w:rPr>
        <w:t>可靠性测试环境条件</w:t>
      </w:r>
      <w:bookmarkEnd w:id="76"/>
      <w:bookmarkEnd w:id="77"/>
      <w:bookmarkEnd w:id="78"/>
    </w:p>
    <w:p w14:paraId="3B62B40D">
      <w:pPr>
        <w:pStyle w:val="70"/>
        <w:spacing w:before="120" w:after="120"/>
        <w:rPr>
          <w:szCs w:val="21"/>
        </w:rPr>
      </w:pPr>
      <w:r>
        <w:rPr>
          <w:rFonts w:hint="eastAsia"/>
          <w:szCs w:val="21"/>
        </w:rPr>
        <w:t>台站式连续观测型</w:t>
      </w:r>
    </w:p>
    <w:p w14:paraId="54A2379B">
      <w:pPr>
        <w:pStyle w:val="61"/>
        <w:ind w:firstLine="420"/>
      </w:pPr>
      <w:r>
        <w:rPr>
          <w:rFonts w:hint="eastAsia"/>
        </w:rPr>
        <w:t>应满足地基稳固、环境安静的核心要求：</w:t>
      </w:r>
    </w:p>
    <w:p w14:paraId="6E3C09D3">
      <w:pPr>
        <w:pStyle w:val="179"/>
        <w:numPr>
          <w:ilvl w:val="0"/>
          <w:numId w:val="36"/>
        </w:numPr>
        <w:rPr>
          <w:rFonts w:hint="eastAsia"/>
        </w:rPr>
      </w:pPr>
      <w:r>
        <w:rPr>
          <w:rFonts w:hint="eastAsia"/>
        </w:rPr>
        <w:t>检测点位有独立、稳定的基础平台，点位环境地噪声水平 Enl＜1.0×10</w:t>
      </w:r>
      <w:r>
        <w:rPr>
          <w:rFonts w:hint="eastAsia"/>
          <w:vertAlign w:val="superscript"/>
        </w:rPr>
        <w:t xml:space="preserve">-7 </w:t>
      </w:r>
      <w:r>
        <w:rPr>
          <w:rFonts w:hint="eastAsia"/>
        </w:rPr>
        <w:t>m/s（Ⅱ级环境地噪声水平）；</w:t>
      </w:r>
    </w:p>
    <w:p w14:paraId="1051DFA9">
      <w:pPr>
        <w:pStyle w:val="179"/>
        <w:numPr>
          <w:ilvl w:val="0"/>
          <w:numId w:val="36"/>
        </w:numPr>
        <w:rPr>
          <w:rFonts w:hint="eastAsia"/>
        </w:rPr>
      </w:pPr>
      <w:r>
        <w:rPr>
          <w:rFonts w:hint="eastAsia"/>
        </w:rPr>
        <w:t>室内环境温度 10℃～30℃、温度抖动≤±2℃，相对湿度20%RH～75%RH；</w:t>
      </w:r>
    </w:p>
    <w:p w14:paraId="2FFE218D">
      <w:pPr>
        <w:pStyle w:val="179"/>
        <w:numPr>
          <w:ilvl w:val="0"/>
          <w:numId w:val="36"/>
        </w:numPr>
        <w:rPr>
          <w:rFonts w:hint="eastAsia"/>
        </w:rPr>
      </w:pPr>
      <w:r>
        <w:rPr>
          <w:rFonts w:hint="eastAsia"/>
        </w:rPr>
        <w:t>无影响测试的电磁场干扰源。</w:t>
      </w:r>
    </w:p>
    <w:p w14:paraId="4359D8D1">
      <w:pPr>
        <w:pStyle w:val="70"/>
        <w:spacing w:before="120" w:after="120"/>
        <w:rPr>
          <w:szCs w:val="21"/>
        </w:rPr>
      </w:pPr>
      <w:r>
        <w:rPr>
          <w:szCs w:val="21"/>
        </w:rPr>
        <w:t>流动观测型</w:t>
      </w:r>
    </w:p>
    <w:p w14:paraId="68DFA569">
      <w:pPr>
        <w:pStyle w:val="61"/>
        <w:ind w:firstLine="420"/>
      </w:pPr>
      <w:r>
        <w:rPr>
          <w:rFonts w:hint="eastAsia"/>
        </w:rPr>
        <w:t>应满足地基稳固、环境较安静的核心要求：</w:t>
      </w:r>
    </w:p>
    <w:p w14:paraId="66D9A507">
      <w:pPr>
        <w:pStyle w:val="179"/>
        <w:numPr>
          <w:ilvl w:val="0"/>
          <w:numId w:val="37"/>
        </w:numPr>
        <w:rPr>
          <w:rFonts w:hint="eastAsia"/>
        </w:rPr>
      </w:pPr>
      <w:bookmarkStart w:id="79" w:name="_Toc1454"/>
      <w:bookmarkStart w:id="80" w:name="_Toc13426"/>
      <w:bookmarkStart w:id="81" w:name="_Toc15334"/>
      <w:r>
        <w:rPr>
          <w:rFonts w:hint="eastAsia"/>
        </w:rPr>
        <w:t>检测点位有稳定的基础平台，点位环境地噪声水平 Enl＜1.0×10</w:t>
      </w:r>
      <w:r>
        <w:rPr>
          <w:rFonts w:hint="eastAsia"/>
          <w:vertAlign w:val="superscript"/>
        </w:rPr>
        <w:t>-5</w:t>
      </w:r>
      <w:r>
        <w:rPr>
          <w:rFonts w:hint="eastAsia"/>
        </w:rPr>
        <w:t xml:space="preserve"> m/s。</w:t>
      </w:r>
    </w:p>
    <w:p w14:paraId="469CEF5C">
      <w:pPr>
        <w:pStyle w:val="179"/>
        <w:numPr>
          <w:ilvl w:val="0"/>
          <w:numId w:val="37"/>
        </w:numPr>
        <w:rPr>
          <w:rFonts w:hint="eastAsia"/>
        </w:rPr>
      </w:pPr>
      <w:r>
        <w:rPr>
          <w:rFonts w:hint="eastAsia"/>
        </w:rPr>
        <w:t>环境温度0℃～40℃、温度抖动≤±5℃，相对湿度20%RH～90%RH；</w:t>
      </w:r>
    </w:p>
    <w:p w14:paraId="0D9772E4">
      <w:pPr>
        <w:pStyle w:val="179"/>
        <w:numPr>
          <w:ilvl w:val="0"/>
          <w:numId w:val="37"/>
        </w:numPr>
        <w:rPr>
          <w:rFonts w:hint="eastAsia"/>
        </w:rPr>
      </w:pPr>
      <w:r>
        <w:rPr>
          <w:rFonts w:hint="eastAsia"/>
        </w:rPr>
        <w:t>无影响测试的电磁场干扰源。</w:t>
      </w:r>
    </w:p>
    <w:p w14:paraId="061F5FD6">
      <w:pPr>
        <w:pStyle w:val="110"/>
        <w:spacing w:before="120" w:after="120"/>
        <w:rPr>
          <w:szCs w:val="21"/>
        </w:rPr>
      </w:pPr>
      <w:bookmarkStart w:id="82" w:name="_Toc14831"/>
      <w:r>
        <w:rPr>
          <w:rFonts w:hint="eastAsia"/>
          <w:szCs w:val="21"/>
        </w:rPr>
        <w:t>测试设备要求</w:t>
      </w:r>
      <w:bookmarkEnd w:id="79"/>
      <w:bookmarkEnd w:id="80"/>
      <w:bookmarkEnd w:id="81"/>
      <w:bookmarkEnd w:id="82"/>
    </w:p>
    <w:p w14:paraId="7CAC4165">
      <w:pPr>
        <w:pStyle w:val="70"/>
        <w:spacing w:before="120" w:after="120"/>
        <w:rPr>
          <w:szCs w:val="21"/>
        </w:rPr>
      </w:pPr>
      <w:r>
        <w:rPr>
          <w:rFonts w:hint="eastAsia"/>
          <w:szCs w:val="21"/>
        </w:rPr>
        <w:t>基础监测与测试设备</w:t>
      </w:r>
    </w:p>
    <w:p w14:paraId="7755C9C8">
      <w:pPr>
        <w:pStyle w:val="61"/>
        <w:ind w:firstLine="420"/>
      </w:pPr>
      <w:r>
        <w:rPr>
          <w:rFonts w:hint="eastAsia"/>
        </w:rPr>
        <w:t>应符合以下要求：</w:t>
      </w:r>
    </w:p>
    <w:p w14:paraId="312AF4DE">
      <w:pPr>
        <w:pStyle w:val="179"/>
        <w:numPr>
          <w:ilvl w:val="0"/>
          <w:numId w:val="38"/>
        </w:numPr>
      </w:pPr>
      <w:r>
        <w:rPr>
          <w:rFonts w:hint="eastAsia"/>
        </w:rPr>
        <w:t>场地温湿度计（温度范围-10℃～50℃，分辨率0.</w:t>
      </w:r>
      <w:r>
        <w:t>2</w:t>
      </w:r>
      <w:r>
        <w:rPr>
          <w:rFonts w:hint="eastAsia"/>
        </w:rPr>
        <w:t>℃；湿度范围0～</w:t>
      </w:r>
      <w:r>
        <w:t>100%</w:t>
      </w:r>
      <w:r>
        <w:rPr>
          <w:rFonts w:hint="eastAsia"/>
        </w:rPr>
        <w:t>RH，分辨率</w:t>
      </w:r>
      <w:r>
        <w:t>2</w:t>
      </w:r>
      <w:r>
        <w:rPr>
          <w:rFonts w:hint="eastAsia"/>
        </w:rPr>
        <w:t>%RH）；</w:t>
      </w:r>
    </w:p>
    <w:p w14:paraId="5800C230">
      <w:pPr>
        <w:pStyle w:val="179"/>
        <w:numPr>
          <w:ilvl w:val="0"/>
          <w:numId w:val="38"/>
        </w:numPr>
      </w:pPr>
      <w:r>
        <w:rPr>
          <w:rFonts w:hint="eastAsia"/>
        </w:rPr>
        <w:t>振动监测仪（地震计）（频率范围</w:t>
      </w:r>
      <w:r>
        <w:t>50</w:t>
      </w:r>
      <w:r>
        <w:rPr>
          <w:rFonts w:hint="eastAsia"/>
        </w:rPr>
        <w:t>Hz～</w:t>
      </w:r>
      <w:r>
        <w:t>120s</w:t>
      </w:r>
      <w:r>
        <w:rPr>
          <w:rFonts w:hint="eastAsia"/>
        </w:rPr>
        <w:t>，灵敏度2</w:t>
      </w:r>
      <w:r>
        <w:t>000</w:t>
      </w:r>
      <w:r>
        <w:rPr>
          <w:rFonts w:hint="eastAsia"/>
        </w:rPr>
        <w:t>V</w:t>
      </w:r>
      <w:r>
        <w:t>/</w:t>
      </w:r>
      <w:r>
        <w:rPr>
          <w:rFonts w:hint="eastAsia"/>
        </w:rPr>
        <w:t>m</w:t>
      </w:r>
      <w:r>
        <w:t>/s</w:t>
      </w:r>
      <w:r>
        <w:rPr>
          <w:rFonts w:hint="eastAsia"/>
        </w:rPr>
        <w:t>，动态范围：1</w:t>
      </w:r>
      <w:r>
        <w:t>40</w:t>
      </w:r>
      <w:r>
        <w:rPr>
          <w:rFonts w:hint="eastAsia"/>
        </w:rPr>
        <w:t>dB）；</w:t>
      </w:r>
    </w:p>
    <w:p w14:paraId="3026879A">
      <w:pPr>
        <w:pStyle w:val="179"/>
        <w:numPr>
          <w:ilvl w:val="0"/>
          <w:numId w:val="38"/>
        </w:numPr>
      </w:pPr>
      <w:r>
        <w:rPr>
          <w:rFonts w:hint="eastAsia"/>
        </w:rPr>
        <w:t>气压计（量程500hPa～1100hPa，分辨率0</w:t>
      </w:r>
      <w:r>
        <w:t>.1</w:t>
      </w:r>
      <w:r>
        <w:rPr>
          <w:rFonts w:hint="eastAsia"/>
        </w:rPr>
        <w:t>hPa）。</w:t>
      </w:r>
    </w:p>
    <w:p w14:paraId="512CE274">
      <w:pPr>
        <w:pStyle w:val="70"/>
        <w:spacing w:before="120" w:after="120"/>
        <w:rPr>
          <w:szCs w:val="21"/>
        </w:rPr>
      </w:pPr>
      <w:r>
        <w:rPr>
          <w:rFonts w:hint="eastAsia"/>
          <w:szCs w:val="21"/>
        </w:rPr>
        <w:t>重力参考设备</w:t>
      </w:r>
    </w:p>
    <w:p w14:paraId="41F86F3B">
      <w:pPr>
        <w:pStyle w:val="61"/>
        <w:ind w:firstLine="420"/>
        <w:rPr>
          <w:rFonts w:hint="eastAsia"/>
        </w:rPr>
      </w:pPr>
      <w:r>
        <w:rPr>
          <w:rFonts w:hint="eastAsia"/>
        </w:rPr>
        <w:t>应符合以下要求之一：</w:t>
      </w:r>
    </w:p>
    <w:p w14:paraId="72D00445">
      <w:pPr>
        <w:pStyle w:val="179"/>
        <w:numPr>
          <w:ilvl w:val="0"/>
          <w:numId w:val="39"/>
        </w:numPr>
        <w:rPr>
          <w:rFonts w:hint="eastAsia"/>
        </w:rPr>
      </w:pPr>
      <w:r>
        <w:rPr>
          <w:rFonts w:hint="eastAsia"/>
        </w:rPr>
        <w:t>重力加速度标准点位：准确度等级≤10µGal（</w:t>
      </w:r>
      <w:r>
        <w:rPr>
          <w:rFonts w:hint="eastAsia"/>
          <w:i/>
          <w:iCs/>
        </w:rPr>
        <w:t>k</w:t>
      </w:r>
      <w:r>
        <w:rPr>
          <w:rFonts w:hint="eastAsia"/>
        </w:rPr>
        <w:t>=2）；</w:t>
      </w:r>
    </w:p>
    <w:p w14:paraId="3140C31A">
      <w:pPr>
        <w:pStyle w:val="179"/>
        <w:numPr>
          <w:ilvl w:val="0"/>
          <w:numId w:val="39"/>
        </w:numPr>
        <w:rPr>
          <w:rFonts w:hint="eastAsia"/>
        </w:rPr>
      </w:pPr>
      <w:r>
        <w:rPr>
          <w:rFonts w:hint="eastAsia"/>
        </w:rPr>
        <w:t>标准绝对重力仪：测量不确定度≤5µGal（</w:t>
      </w:r>
      <w:r>
        <w:rPr>
          <w:rFonts w:hint="eastAsia"/>
          <w:i/>
          <w:iCs/>
        </w:rPr>
        <w:t>k</w:t>
      </w:r>
      <w:r>
        <w:rPr>
          <w:rFonts w:hint="eastAsia"/>
        </w:rPr>
        <w:t>=1）。</w:t>
      </w:r>
    </w:p>
    <w:p w14:paraId="1C8995FD">
      <w:pPr>
        <w:pStyle w:val="184"/>
        <w:rPr>
          <w:rFonts w:hint="eastAsia" w:hAnsi="宋体" w:cs="宋体"/>
        </w:rPr>
      </w:pPr>
      <w:r>
        <w:rPr>
          <w:rFonts w:hint="eastAsia" w:hAnsi="宋体" w:cs="宋体"/>
        </w:rPr>
        <w:t>测试结果中应注明具体的准确度等级或标准设备不确定度数值。</w:t>
      </w:r>
    </w:p>
    <w:p w14:paraId="654BC0B5">
      <w:pPr>
        <w:pStyle w:val="110"/>
        <w:spacing w:before="120" w:after="120"/>
        <w:rPr>
          <w:szCs w:val="21"/>
        </w:rPr>
      </w:pPr>
      <w:bookmarkStart w:id="83" w:name="_Toc10915"/>
      <w:bookmarkStart w:id="84" w:name="_Toc10194"/>
      <w:bookmarkStart w:id="85" w:name="_Toc7678"/>
      <w:bookmarkStart w:id="86" w:name="_Toc28713"/>
      <w:r>
        <w:rPr>
          <w:rFonts w:hint="eastAsia"/>
          <w:szCs w:val="21"/>
        </w:rPr>
        <w:t>被试样品要求</w:t>
      </w:r>
      <w:bookmarkEnd w:id="83"/>
      <w:bookmarkEnd w:id="84"/>
      <w:bookmarkEnd w:id="85"/>
      <w:bookmarkEnd w:id="86"/>
    </w:p>
    <w:p w14:paraId="262CC9A1">
      <w:pPr>
        <w:pStyle w:val="61"/>
        <w:ind w:firstLine="420"/>
      </w:pPr>
      <w:r>
        <w:rPr>
          <w:rFonts w:hint="eastAsia"/>
        </w:rPr>
        <w:t>应符合以下要求：</w:t>
      </w:r>
    </w:p>
    <w:p w14:paraId="1F3FF238">
      <w:pPr>
        <w:pStyle w:val="179"/>
        <w:numPr>
          <w:ilvl w:val="0"/>
          <w:numId w:val="40"/>
        </w:numPr>
      </w:pPr>
      <w:r>
        <w:rPr>
          <w:rFonts w:hint="eastAsia"/>
        </w:rPr>
        <w:t>外观标识完整：面板标有仪器名称、型号、制造厂、出厂编号、电源要求；开关、端口有识别标志，显示界面可展示工作参数；</w:t>
      </w:r>
    </w:p>
    <w:p w14:paraId="733C01D1">
      <w:pPr>
        <w:pStyle w:val="179"/>
        <w:numPr>
          <w:ilvl w:val="0"/>
          <w:numId w:val="40"/>
        </w:numPr>
      </w:pPr>
      <w:r>
        <w:rPr>
          <w:rFonts w:hint="eastAsia"/>
        </w:rPr>
        <w:t>工作状态正常：可显示原子信号、重力测量结果等，数值在厂家说明书范围内；</w:t>
      </w:r>
    </w:p>
    <w:p w14:paraId="601EA6F6">
      <w:pPr>
        <w:pStyle w:val="179"/>
        <w:numPr>
          <w:ilvl w:val="0"/>
          <w:numId w:val="40"/>
        </w:numPr>
      </w:pPr>
      <w:r>
        <w:rPr>
          <w:rFonts w:hint="eastAsia"/>
        </w:rPr>
        <w:t>测试前预热：按厂家说明书充分预热；</w:t>
      </w:r>
    </w:p>
    <w:p w14:paraId="12F804E9">
      <w:pPr>
        <w:pStyle w:val="179"/>
        <w:numPr>
          <w:ilvl w:val="0"/>
          <w:numId w:val="40"/>
        </w:numPr>
      </w:pPr>
      <w:r>
        <w:rPr>
          <w:rFonts w:hint="eastAsia"/>
        </w:rPr>
        <w:t>基础信息记录：记录样品型号、出厂编号、设计指标、运行参数（如落体频率、采样频率）等；</w:t>
      </w:r>
    </w:p>
    <w:p w14:paraId="4FE11471">
      <w:pPr>
        <w:pStyle w:val="179"/>
        <w:numPr>
          <w:ilvl w:val="0"/>
          <w:numId w:val="40"/>
        </w:numPr>
      </w:pPr>
      <w:r>
        <w:rPr>
          <w:rFonts w:hint="eastAsia"/>
        </w:rPr>
        <w:t>样品数量：同一型号至少2台，新产品研发阶段可缩减至1台，需在测试报告中说明。</w:t>
      </w:r>
    </w:p>
    <w:p w14:paraId="08DA1CEE">
      <w:pPr>
        <w:pStyle w:val="109"/>
        <w:spacing w:before="240" w:after="240"/>
        <w:rPr>
          <w:szCs w:val="21"/>
        </w:rPr>
      </w:pPr>
      <w:bookmarkStart w:id="87" w:name="_Toc13813"/>
      <w:bookmarkStart w:id="88" w:name="_Toc20203"/>
      <w:r>
        <w:rPr>
          <w:rFonts w:hint="eastAsia"/>
          <w:szCs w:val="21"/>
        </w:rPr>
        <w:t>可靠性要求及测试</w:t>
      </w:r>
      <w:bookmarkEnd w:id="87"/>
      <w:r>
        <w:rPr>
          <w:rFonts w:hint="eastAsia"/>
          <w:szCs w:val="21"/>
        </w:rPr>
        <w:t>方法</w:t>
      </w:r>
      <w:bookmarkEnd w:id="88"/>
    </w:p>
    <w:p w14:paraId="32947CD3">
      <w:pPr>
        <w:pStyle w:val="110"/>
        <w:spacing w:before="120" w:after="120"/>
        <w:rPr>
          <w:szCs w:val="21"/>
        </w:rPr>
      </w:pPr>
      <w:bookmarkStart w:id="89" w:name="_Toc12169"/>
      <w:r>
        <w:rPr>
          <w:rFonts w:hint="eastAsia"/>
          <w:szCs w:val="21"/>
        </w:rPr>
        <w:t>概述</w:t>
      </w:r>
      <w:bookmarkEnd w:id="89"/>
    </w:p>
    <w:p w14:paraId="0585847F">
      <w:pPr>
        <w:pStyle w:val="61"/>
        <w:ind w:firstLine="420"/>
      </w:pPr>
      <w:r>
        <w:rPr>
          <w:rFonts w:hint="eastAsia"/>
        </w:rPr>
        <w:t>原子重力仪的可靠性指标根据被试设备的任务剖面，主要包含：</w:t>
      </w:r>
    </w:p>
    <w:p w14:paraId="6E38A771">
      <w:pPr>
        <w:pStyle w:val="179"/>
        <w:numPr>
          <w:ilvl w:val="0"/>
          <w:numId w:val="41"/>
        </w:numPr>
      </w:pPr>
      <w:r>
        <w:rPr>
          <w:rFonts w:hint="eastAsia"/>
        </w:rPr>
        <w:t>台站式连续观测型：连续运行率、连续运行稳定性、断电复现性；</w:t>
      </w:r>
    </w:p>
    <w:p w14:paraId="0E7C99CF">
      <w:pPr>
        <w:pStyle w:val="179"/>
        <w:numPr>
          <w:ilvl w:val="0"/>
          <w:numId w:val="41"/>
        </w:numPr>
      </w:pPr>
      <w:r>
        <w:rPr>
          <w:rFonts w:hint="eastAsia"/>
        </w:rPr>
        <w:t>流动观测型：运输转运复现性、部署时间。</w:t>
      </w:r>
    </w:p>
    <w:p w14:paraId="5D254222">
      <w:pPr>
        <w:pStyle w:val="61"/>
        <w:ind w:firstLine="420"/>
      </w:pPr>
      <w:r>
        <w:rPr>
          <w:rFonts w:hint="eastAsia"/>
        </w:rPr>
        <w:t>可靠性指标汇总表如表1所示。可靠性试验应和环境适应性测试交错印证。</w:t>
      </w:r>
    </w:p>
    <w:p w14:paraId="79670B6F">
      <w:pPr>
        <w:pStyle w:val="117"/>
        <w:spacing w:before="120" w:after="120"/>
        <w:ind w:left="0"/>
        <w:rPr>
          <w:szCs w:val="21"/>
        </w:rPr>
      </w:pPr>
      <w:r>
        <w:rPr>
          <w:rFonts w:hint="eastAsia"/>
          <w:szCs w:val="21"/>
        </w:rPr>
        <w:t>可靠性要求汇总表</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57" w:type="dxa"/>
          <w:left w:w="0" w:type="dxa"/>
          <w:bottom w:w="57" w:type="dxa"/>
          <w:right w:w="0" w:type="dxa"/>
        </w:tblCellMar>
      </w:tblPr>
      <w:tblGrid>
        <w:gridCol w:w="694"/>
        <w:gridCol w:w="1704"/>
        <w:gridCol w:w="5108"/>
        <w:gridCol w:w="1828"/>
      </w:tblGrid>
      <w:tr w14:paraId="450092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tblHeader/>
          <w:jc w:val="center"/>
        </w:trPr>
        <w:tc>
          <w:tcPr>
            <w:tcW w:w="372" w:type="pct"/>
            <w:tcBorders>
              <w:tl2br w:val="nil"/>
              <w:tr2bl w:val="nil"/>
            </w:tcBorders>
            <w:vAlign w:val="center"/>
          </w:tcPr>
          <w:p w14:paraId="012E8F8C">
            <w:pPr>
              <w:pStyle w:val="266"/>
              <w:rPr>
                <w:rFonts w:hint="eastAsia" w:ascii="宋体" w:eastAsia="宋体"/>
                <w:sz w:val="18"/>
                <w:szCs w:val="18"/>
                <w:lang w:val="zh-CN"/>
              </w:rPr>
            </w:pPr>
            <w:r>
              <w:rPr>
                <w:rFonts w:ascii="宋体" w:eastAsia="宋体"/>
                <w:sz w:val="18"/>
                <w:szCs w:val="18"/>
                <w:lang w:val="zh-CN"/>
              </w:rPr>
              <w:t>序号</w:t>
            </w:r>
          </w:p>
        </w:tc>
        <w:tc>
          <w:tcPr>
            <w:tcW w:w="913" w:type="pct"/>
            <w:tcBorders>
              <w:tl2br w:val="nil"/>
              <w:tr2bl w:val="nil"/>
            </w:tcBorders>
            <w:vAlign w:val="center"/>
          </w:tcPr>
          <w:p w14:paraId="7245A8D3">
            <w:pPr>
              <w:pStyle w:val="266"/>
              <w:rPr>
                <w:rFonts w:hint="eastAsia" w:ascii="宋体" w:eastAsia="宋体"/>
                <w:sz w:val="18"/>
                <w:szCs w:val="18"/>
                <w:lang w:val="zh-CN"/>
              </w:rPr>
            </w:pPr>
            <w:r>
              <w:rPr>
                <w:rFonts w:ascii="宋体" w:eastAsia="宋体"/>
                <w:sz w:val="18"/>
                <w:szCs w:val="18"/>
                <w:lang w:val="zh-CN"/>
              </w:rPr>
              <w:t>试验项目</w:t>
            </w:r>
          </w:p>
        </w:tc>
        <w:tc>
          <w:tcPr>
            <w:tcW w:w="2736" w:type="pct"/>
            <w:tcBorders>
              <w:tl2br w:val="nil"/>
              <w:tr2bl w:val="nil"/>
            </w:tcBorders>
            <w:vAlign w:val="center"/>
          </w:tcPr>
          <w:p w14:paraId="756AA4FB">
            <w:pPr>
              <w:pStyle w:val="266"/>
              <w:rPr>
                <w:rFonts w:hint="eastAsia" w:ascii="宋体" w:eastAsia="宋体"/>
                <w:sz w:val="18"/>
                <w:szCs w:val="18"/>
                <w:lang w:val="zh-CN"/>
              </w:rPr>
            </w:pPr>
            <w:r>
              <w:rPr>
                <w:rFonts w:ascii="宋体" w:eastAsia="宋体"/>
                <w:sz w:val="18"/>
                <w:szCs w:val="18"/>
                <w:lang w:val="zh-CN"/>
              </w:rPr>
              <w:t>试验条件</w:t>
            </w:r>
          </w:p>
        </w:tc>
        <w:tc>
          <w:tcPr>
            <w:tcW w:w="979" w:type="pct"/>
            <w:tcBorders>
              <w:tl2br w:val="nil"/>
              <w:tr2bl w:val="nil"/>
            </w:tcBorders>
            <w:vAlign w:val="center"/>
          </w:tcPr>
          <w:p w14:paraId="17482001">
            <w:pPr>
              <w:pStyle w:val="266"/>
              <w:rPr>
                <w:rFonts w:hint="eastAsia" w:ascii="宋体" w:eastAsia="宋体"/>
                <w:sz w:val="18"/>
                <w:szCs w:val="18"/>
                <w:lang w:val="zh-CN"/>
              </w:rPr>
            </w:pPr>
            <w:r>
              <w:rPr>
                <w:rFonts w:ascii="宋体" w:eastAsia="宋体"/>
                <w:sz w:val="18"/>
                <w:szCs w:val="18"/>
                <w:lang w:val="zh-CN"/>
              </w:rPr>
              <w:t>备注</w:t>
            </w:r>
          </w:p>
        </w:tc>
      </w:tr>
      <w:tr w14:paraId="375DD1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tcBorders>
              <w:tl2br w:val="nil"/>
              <w:tr2bl w:val="nil"/>
            </w:tcBorders>
            <w:vAlign w:val="center"/>
          </w:tcPr>
          <w:p w14:paraId="420953D7">
            <w:pPr>
              <w:pStyle w:val="267"/>
              <w:jc w:val="center"/>
              <w:rPr>
                <w:rFonts w:hint="eastAsia" w:ascii="宋体" w:eastAsia="宋体"/>
                <w:sz w:val="18"/>
                <w:szCs w:val="18"/>
                <w:lang w:val="zh-CN"/>
              </w:rPr>
            </w:pPr>
            <w:r>
              <w:rPr>
                <w:rFonts w:hint="eastAsia" w:ascii="宋体" w:eastAsia="宋体"/>
                <w:sz w:val="18"/>
                <w:szCs w:val="18"/>
                <w:lang w:val="zh-CN"/>
              </w:rPr>
              <w:t>1</w:t>
            </w:r>
          </w:p>
        </w:tc>
        <w:tc>
          <w:tcPr>
            <w:tcW w:w="913" w:type="pct"/>
            <w:tcBorders>
              <w:tl2br w:val="nil"/>
              <w:tr2bl w:val="nil"/>
            </w:tcBorders>
            <w:vAlign w:val="center"/>
          </w:tcPr>
          <w:p w14:paraId="7AE24561">
            <w:pPr>
              <w:pStyle w:val="267"/>
              <w:jc w:val="center"/>
              <w:rPr>
                <w:rFonts w:hint="eastAsia" w:ascii="宋体" w:eastAsia="宋体"/>
                <w:sz w:val="18"/>
                <w:szCs w:val="18"/>
                <w:lang w:val="zh-CN"/>
              </w:rPr>
            </w:pPr>
            <w:r>
              <w:rPr>
                <w:rFonts w:hint="eastAsia" w:ascii="宋体" w:eastAsia="宋体"/>
                <w:sz w:val="18"/>
                <w:szCs w:val="18"/>
                <w:lang w:val="zh-CN"/>
              </w:rPr>
              <w:t>连续运行率</w:t>
            </w:r>
          </w:p>
        </w:tc>
        <w:tc>
          <w:tcPr>
            <w:tcW w:w="2736" w:type="pct"/>
            <w:tcBorders>
              <w:tl2br w:val="nil"/>
              <w:tr2bl w:val="nil"/>
            </w:tcBorders>
            <w:vAlign w:val="center"/>
          </w:tcPr>
          <w:p w14:paraId="558C981E">
            <w:pPr>
              <w:pStyle w:val="267"/>
              <w:rPr>
                <w:rFonts w:hint="eastAsia" w:ascii="宋体" w:eastAsia="宋体"/>
                <w:sz w:val="18"/>
                <w:szCs w:val="18"/>
                <w:lang w:val="zh-CN"/>
              </w:rPr>
            </w:pPr>
            <w:r>
              <w:rPr>
                <w:rFonts w:hint="eastAsia" w:ascii="宋体" w:eastAsia="宋体"/>
                <w:sz w:val="18"/>
                <w:szCs w:val="18"/>
                <w:lang w:val="zh-CN"/>
              </w:rPr>
              <w:t>连续7天数据记录率</w:t>
            </w:r>
            <w:r>
              <w:rPr>
                <w:rFonts w:ascii="宋体" w:eastAsia="宋体"/>
                <w:sz w:val="18"/>
                <w:szCs w:val="18"/>
                <w:lang w:val="zh-CN"/>
              </w:rPr>
              <w:t>：</w:t>
            </w:r>
            <w:r>
              <w:rPr>
                <w:rFonts w:hint="eastAsia" w:ascii="宋体" w:eastAsia="宋体"/>
                <w:sz w:val="18"/>
                <w:szCs w:val="18"/>
                <w:lang w:val="zh-CN"/>
              </w:rPr>
              <w:t>100%</w:t>
            </w:r>
          </w:p>
          <w:p w14:paraId="0DB496BC">
            <w:pPr>
              <w:pStyle w:val="267"/>
              <w:rPr>
                <w:rFonts w:hint="eastAsia" w:ascii="宋体" w:eastAsia="宋体"/>
                <w:sz w:val="18"/>
                <w:szCs w:val="18"/>
                <w:lang w:val="zh-CN"/>
              </w:rPr>
            </w:pPr>
            <w:r>
              <w:rPr>
                <w:rFonts w:hint="eastAsia" w:ascii="宋体" w:eastAsia="宋体"/>
                <w:sz w:val="18"/>
                <w:szCs w:val="18"/>
                <w:lang w:val="zh-CN"/>
              </w:rPr>
              <w:t>连续15天数据记录率：不低于98%</w:t>
            </w:r>
          </w:p>
          <w:p w14:paraId="640769FC">
            <w:pPr>
              <w:pStyle w:val="267"/>
              <w:rPr>
                <w:rFonts w:hint="eastAsia" w:ascii="宋体" w:eastAsia="宋体"/>
                <w:sz w:val="18"/>
                <w:szCs w:val="18"/>
                <w:lang w:val="zh-CN"/>
              </w:rPr>
            </w:pPr>
            <w:r>
              <w:rPr>
                <w:rFonts w:hint="eastAsia" w:ascii="宋体" w:eastAsia="宋体"/>
                <w:sz w:val="18"/>
                <w:szCs w:val="18"/>
                <w:lang w:val="zh-CN"/>
              </w:rPr>
              <w:t>连续30天数据记录率：不低于95%</w:t>
            </w:r>
          </w:p>
          <w:p w14:paraId="0B79D186">
            <w:pPr>
              <w:pStyle w:val="267"/>
              <w:rPr>
                <w:rFonts w:hint="eastAsia" w:ascii="宋体" w:eastAsia="宋体"/>
                <w:sz w:val="18"/>
                <w:szCs w:val="18"/>
                <w:lang w:val="zh-CN"/>
              </w:rPr>
            </w:pPr>
            <w:r>
              <w:rPr>
                <w:rFonts w:hint="eastAsia" w:ascii="宋体" w:eastAsia="宋体"/>
                <w:sz w:val="18"/>
                <w:szCs w:val="18"/>
                <w:lang w:val="zh-CN"/>
              </w:rPr>
              <w:t>测试持续时间根据实际情况确定</w:t>
            </w:r>
          </w:p>
        </w:tc>
        <w:tc>
          <w:tcPr>
            <w:tcW w:w="979" w:type="pct"/>
            <w:tcBorders>
              <w:tl2br w:val="nil"/>
              <w:tr2bl w:val="nil"/>
            </w:tcBorders>
            <w:vAlign w:val="center"/>
          </w:tcPr>
          <w:p w14:paraId="5B67C783">
            <w:pPr>
              <w:pStyle w:val="267"/>
              <w:rPr>
                <w:rFonts w:hint="eastAsia" w:ascii="宋体" w:eastAsia="宋体"/>
                <w:sz w:val="18"/>
                <w:szCs w:val="18"/>
                <w:lang w:val="zh-CN"/>
              </w:rPr>
            </w:pPr>
            <w:r>
              <w:rPr>
                <w:rFonts w:hint="eastAsia" w:ascii="宋体" w:eastAsia="宋体"/>
                <w:sz w:val="18"/>
                <w:szCs w:val="18"/>
                <w:lang w:val="zh-CN"/>
              </w:rPr>
              <w:t>台站式连续观测型</w:t>
            </w:r>
          </w:p>
        </w:tc>
      </w:tr>
      <w:tr w14:paraId="24C81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tcBorders>
              <w:tl2br w:val="nil"/>
              <w:tr2bl w:val="nil"/>
            </w:tcBorders>
            <w:vAlign w:val="center"/>
          </w:tcPr>
          <w:p w14:paraId="253BA87F">
            <w:pPr>
              <w:pStyle w:val="267"/>
              <w:jc w:val="center"/>
              <w:rPr>
                <w:rFonts w:hint="eastAsia" w:ascii="宋体" w:eastAsia="宋体"/>
                <w:sz w:val="18"/>
                <w:szCs w:val="18"/>
                <w:lang w:val="zh-CN"/>
              </w:rPr>
            </w:pPr>
            <w:r>
              <w:rPr>
                <w:rFonts w:ascii="宋体" w:eastAsia="宋体"/>
                <w:sz w:val="18"/>
                <w:szCs w:val="18"/>
                <w:lang w:val="zh-CN"/>
              </w:rPr>
              <w:t>2</w:t>
            </w:r>
          </w:p>
        </w:tc>
        <w:tc>
          <w:tcPr>
            <w:tcW w:w="913" w:type="pct"/>
            <w:tcBorders>
              <w:tl2br w:val="nil"/>
              <w:tr2bl w:val="nil"/>
            </w:tcBorders>
            <w:vAlign w:val="center"/>
          </w:tcPr>
          <w:p w14:paraId="7CBBC70E">
            <w:pPr>
              <w:pStyle w:val="267"/>
              <w:jc w:val="center"/>
              <w:rPr>
                <w:rFonts w:hint="eastAsia" w:ascii="宋体" w:eastAsia="宋体"/>
                <w:sz w:val="18"/>
                <w:szCs w:val="18"/>
                <w:lang w:val="zh-CN"/>
              </w:rPr>
            </w:pPr>
            <w:r>
              <w:rPr>
                <w:rFonts w:hint="eastAsia" w:ascii="宋体" w:eastAsia="宋体"/>
                <w:sz w:val="18"/>
                <w:szCs w:val="18"/>
                <w:lang w:val="zh-CN"/>
              </w:rPr>
              <w:t>连续运行稳定性</w:t>
            </w:r>
          </w:p>
        </w:tc>
        <w:tc>
          <w:tcPr>
            <w:tcW w:w="2736" w:type="pct"/>
            <w:tcBorders>
              <w:tl2br w:val="nil"/>
              <w:tr2bl w:val="nil"/>
            </w:tcBorders>
            <w:vAlign w:val="center"/>
          </w:tcPr>
          <w:p w14:paraId="4AD069C2">
            <w:pPr>
              <w:pStyle w:val="267"/>
              <w:rPr>
                <w:rFonts w:hint="eastAsia" w:ascii="宋体" w:eastAsia="宋体"/>
                <w:sz w:val="18"/>
                <w:szCs w:val="18"/>
                <w:lang w:val="zh-CN"/>
              </w:rPr>
            </w:pPr>
            <w:r>
              <w:rPr>
                <w:rFonts w:hint="eastAsia" w:ascii="宋体" w:eastAsia="宋体"/>
                <w:sz w:val="18"/>
                <w:szCs w:val="18"/>
                <w:lang w:val="zh-CN"/>
              </w:rPr>
              <w:t>不少于连续7天组间标准差</w:t>
            </w:r>
            <w:r>
              <w:rPr>
                <w:rFonts w:ascii="宋体" w:eastAsia="宋体"/>
                <w:sz w:val="18"/>
                <w:szCs w:val="18"/>
                <w:lang w:val="zh-CN"/>
              </w:rPr>
              <w:t>：</w:t>
            </w:r>
            <w:r>
              <w:rPr>
                <w:rFonts w:hint="eastAsia" w:ascii="宋体" w:eastAsia="宋体"/>
                <w:sz w:val="18"/>
                <w:szCs w:val="18"/>
                <w:lang w:val="zh-CN"/>
              </w:rPr>
              <w:t>不大于5µGal，且</w:t>
            </w:r>
            <w:r>
              <w:rPr>
                <w:rFonts w:hint="eastAsia" w:ascii="宋体" w:eastAsia="宋体"/>
                <w:sz w:val="18"/>
                <w:szCs w:val="18"/>
                <w:highlight w:val="none"/>
                <w:lang w:val="zh-CN"/>
              </w:rPr>
              <w:t>残差总趋势无单调漂移（</w:t>
            </w:r>
            <w:r>
              <w:rPr>
                <w:rFonts w:hint="eastAsia" w:ascii="宋体" w:eastAsia="宋体"/>
                <w:sz w:val="18"/>
                <w:szCs w:val="18"/>
                <w:highlight w:val="none"/>
              </w:rPr>
              <w:t>相关系数绝对值&lt;0.6</w:t>
            </w:r>
            <w:r>
              <w:rPr>
                <w:rFonts w:hint="eastAsia" w:ascii="宋体" w:eastAsia="宋体"/>
                <w:sz w:val="18"/>
                <w:szCs w:val="18"/>
                <w:highlight w:val="none"/>
                <w:lang w:val="zh-CN"/>
              </w:rPr>
              <w:t>）</w:t>
            </w:r>
          </w:p>
        </w:tc>
        <w:tc>
          <w:tcPr>
            <w:tcW w:w="979" w:type="pct"/>
            <w:tcBorders>
              <w:tl2br w:val="nil"/>
              <w:tr2bl w:val="nil"/>
            </w:tcBorders>
            <w:vAlign w:val="center"/>
          </w:tcPr>
          <w:p w14:paraId="3876131D">
            <w:pPr>
              <w:pStyle w:val="267"/>
              <w:rPr>
                <w:rFonts w:hint="eastAsia" w:ascii="宋体" w:eastAsia="宋体"/>
                <w:sz w:val="18"/>
                <w:szCs w:val="18"/>
                <w:lang w:val="zh-CN"/>
              </w:rPr>
            </w:pPr>
            <w:r>
              <w:rPr>
                <w:rFonts w:hint="eastAsia" w:ascii="宋体" w:eastAsia="宋体"/>
                <w:sz w:val="18"/>
                <w:szCs w:val="18"/>
                <w:lang w:val="zh-CN"/>
              </w:rPr>
              <w:t>台站式连续观测型</w:t>
            </w:r>
          </w:p>
        </w:tc>
      </w:tr>
      <w:tr w14:paraId="32738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tcBorders>
              <w:tl2br w:val="nil"/>
              <w:tr2bl w:val="nil"/>
            </w:tcBorders>
            <w:vAlign w:val="center"/>
          </w:tcPr>
          <w:p w14:paraId="2C59DFD9">
            <w:pPr>
              <w:pStyle w:val="267"/>
              <w:jc w:val="center"/>
              <w:rPr>
                <w:rFonts w:hint="eastAsia" w:ascii="宋体" w:eastAsia="宋体"/>
                <w:sz w:val="18"/>
                <w:szCs w:val="18"/>
                <w:lang w:val="zh-CN"/>
              </w:rPr>
            </w:pPr>
            <w:r>
              <w:rPr>
                <w:rFonts w:hint="eastAsia" w:ascii="宋体" w:eastAsia="宋体"/>
                <w:sz w:val="18"/>
                <w:szCs w:val="18"/>
                <w:lang w:val="zh-CN"/>
              </w:rPr>
              <w:t>3</w:t>
            </w:r>
          </w:p>
        </w:tc>
        <w:tc>
          <w:tcPr>
            <w:tcW w:w="913" w:type="pct"/>
            <w:tcBorders>
              <w:tl2br w:val="nil"/>
              <w:tr2bl w:val="nil"/>
            </w:tcBorders>
            <w:vAlign w:val="center"/>
          </w:tcPr>
          <w:p w14:paraId="0EED5F0D">
            <w:pPr>
              <w:pStyle w:val="267"/>
              <w:jc w:val="center"/>
              <w:rPr>
                <w:rFonts w:hint="eastAsia" w:ascii="宋体" w:eastAsia="宋体"/>
                <w:sz w:val="18"/>
                <w:szCs w:val="18"/>
                <w:lang w:val="zh-CN"/>
              </w:rPr>
            </w:pPr>
            <w:r>
              <w:rPr>
                <w:rFonts w:hint="eastAsia" w:ascii="宋体" w:eastAsia="宋体"/>
                <w:sz w:val="18"/>
                <w:szCs w:val="18"/>
                <w:lang w:val="zh-CN"/>
              </w:rPr>
              <w:t>断电复现性</w:t>
            </w:r>
          </w:p>
        </w:tc>
        <w:tc>
          <w:tcPr>
            <w:tcW w:w="2736" w:type="pct"/>
            <w:tcBorders>
              <w:tl2br w:val="nil"/>
              <w:tr2bl w:val="nil"/>
            </w:tcBorders>
            <w:vAlign w:val="center"/>
          </w:tcPr>
          <w:p w14:paraId="436439AF">
            <w:pPr>
              <w:pStyle w:val="267"/>
              <w:rPr>
                <w:rFonts w:hint="eastAsia" w:ascii="宋体" w:eastAsia="宋体"/>
                <w:sz w:val="18"/>
                <w:szCs w:val="18"/>
                <w:lang w:val="zh-CN"/>
              </w:rPr>
            </w:pPr>
            <w:r>
              <w:rPr>
                <w:rFonts w:hint="eastAsia" w:ascii="宋体" w:eastAsia="宋体"/>
                <w:sz w:val="18"/>
                <w:szCs w:val="18"/>
                <w:lang w:val="zh-CN"/>
              </w:rPr>
              <w:t>不大于5µGal</w:t>
            </w:r>
          </w:p>
        </w:tc>
        <w:tc>
          <w:tcPr>
            <w:tcW w:w="979" w:type="pct"/>
            <w:tcBorders>
              <w:tl2br w:val="nil"/>
              <w:tr2bl w:val="nil"/>
            </w:tcBorders>
            <w:vAlign w:val="center"/>
          </w:tcPr>
          <w:p w14:paraId="7705BEBF">
            <w:pPr>
              <w:pStyle w:val="267"/>
              <w:rPr>
                <w:rFonts w:hint="eastAsia" w:ascii="宋体" w:eastAsia="宋体"/>
                <w:sz w:val="18"/>
                <w:szCs w:val="18"/>
                <w:lang w:val="zh-CN"/>
              </w:rPr>
            </w:pPr>
            <w:r>
              <w:rPr>
                <w:rFonts w:hint="eastAsia" w:ascii="宋体" w:eastAsia="宋体"/>
                <w:sz w:val="18"/>
                <w:szCs w:val="18"/>
                <w:lang w:val="zh-CN"/>
              </w:rPr>
              <w:t>台站式连续观测型</w:t>
            </w:r>
          </w:p>
        </w:tc>
      </w:tr>
      <w:tr w14:paraId="1677B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tcBorders>
              <w:tl2br w:val="nil"/>
              <w:tr2bl w:val="nil"/>
            </w:tcBorders>
            <w:vAlign w:val="center"/>
          </w:tcPr>
          <w:p w14:paraId="15EFCE48">
            <w:pPr>
              <w:pStyle w:val="267"/>
              <w:jc w:val="center"/>
              <w:rPr>
                <w:rFonts w:hint="eastAsia" w:ascii="宋体" w:eastAsia="宋体"/>
                <w:sz w:val="18"/>
                <w:szCs w:val="18"/>
                <w:lang w:val="zh-CN"/>
              </w:rPr>
            </w:pPr>
            <w:r>
              <w:rPr>
                <w:rFonts w:hint="eastAsia" w:ascii="宋体" w:eastAsia="宋体"/>
                <w:sz w:val="18"/>
                <w:szCs w:val="18"/>
                <w:lang w:val="zh-CN"/>
              </w:rPr>
              <w:t>4</w:t>
            </w:r>
          </w:p>
        </w:tc>
        <w:tc>
          <w:tcPr>
            <w:tcW w:w="913" w:type="pct"/>
            <w:tcBorders>
              <w:tl2br w:val="nil"/>
              <w:tr2bl w:val="nil"/>
            </w:tcBorders>
            <w:vAlign w:val="center"/>
          </w:tcPr>
          <w:p w14:paraId="2BC96B63">
            <w:pPr>
              <w:pStyle w:val="267"/>
              <w:jc w:val="center"/>
              <w:rPr>
                <w:rFonts w:hint="eastAsia" w:ascii="宋体" w:eastAsia="宋体"/>
                <w:sz w:val="18"/>
                <w:szCs w:val="18"/>
                <w:lang w:val="zh-CN"/>
              </w:rPr>
            </w:pPr>
            <w:r>
              <w:rPr>
                <w:rFonts w:hint="eastAsia" w:ascii="宋体" w:eastAsia="宋体"/>
                <w:sz w:val="18"/>
                <w:szCs w:val="18"/>
                <w:lang w:val="zh-CN"/>
              </w:rPr>
              <w:t>运输转运复现性</w:t>
            </w:r>
          </w:p>
        </w:tc>
        <w:tc>
          <w:tcPr>
            <w:tcW w:w="2736" w:type="pct"/>
            <w:tcBorders>
              <w:tl2br w:val="nil"/>
              <w:tr2bl w:val="nil"/>
            </w:tcBorders>
            <w:vAlign w:val="center"/>
          </w:tcPr>
          <w:p w14:paraId="69297686">
            <w:pPr>
              <w:pStyle w:val="267"/>
              <w:rPr>
                <w:rFonts w:hint="eastAsia" w:ascii="宋体" w:eastAsia="宋体"/>
                <w:sz w:val="18"/>
                <w:szCs w:val="18"/>
                <w:lang w:val="zh-CN"/>
              </w:rPr>
            </w:pPr>
            <w:r>
              <w:rPr>
                <w:rFonts w:hint="eastAsia" w:ascii="宋体" w:eastAsia="宋体"/>
                <w:sz w:val="18"/>
                <w:szCs w:val="18"/>
                <w:lang w:val="zh-CN"/>
              </w:rPr>
              <w:t>不大于10µGal</w:t>
            </w:r>
          </w:p>
        </w:tc>
        <w:tc>
          <w:tcPr>
            <w:tcW w:w="979" w:type="pct"/>
            <w:tcBorders>
              <w:tl2br w:val="nil"/>
              <w:tr2bl w:val="nil"/>
            </w:tcBorders>
            <w:vAlign w:val="center"/>
          </w:tcPr>
          <w:p w14:paraId="76B4F068">
            <w:pPr>
              <w:pStyle w:val="267"/>
              <w:rPr>
                <w:rFonts w:hint="eastAsia" w:ascii="宋体" w:eastAsia="宋体"/>
                <w:sz w:val="18"/>
                <w:szCs w:val="18"/>
                <w:lang w:val="zh-CN"/>
              </w:rPr>
            </w:pPr>
            <w:r>
              <w:rPr>
                <w:rFonts w:hint="eastAsia" w:ascii="宋体" w:eastAsia="宋体"/>
                <w:sz w:val="18"/>
                <w:szCs w:val="18"/>
                <w:lang w:val="zh-CN"/>
              </w:rPr>
              <w:t>流动观测型</w:t>
            </w:r>
          </w:p>
        </w:tc>
      </w:tr>
      <w:tr w14:paraId="39347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tcBorders>
              <w:tl2br w:val="nil"/>
              <w:tr2bl w:val="nil"/>
            </w:tcBorders>
            <w:vAlign w:val="center"/>
          </w:tcPr>
          <w:p w14:paraId="0AC27401">
            <w:pPr>
              <w:pStyle w:val="267"/>
              <w:jc w:val="center"/>
              <w:rPr>
                <w:rFonts w:hint="eastAsia" w:ascii="宋体" w:eastAsia="宋体"/>
                <w:sz w:val="18"/>
                <w:szCs w:val="18"/>
                <w:lang w:val="zh-CN"/>
              </w:rPr>
            </w:pPr>
            <w:r>
              <w:rPr>
                <w:rFonts w:hint="eastAsia" w:ascii="宋体" w:eastAsia="宋体"/>
                <w:sz w:val="18"/>
                <w:szCs w:val="18"/>
                <w:lang w:val="zh-CN"/>
              </w:rPr>
              <w:t>5</w:t>
            </w:r>
          </w:p>
        </w:tc>
        <w:tc>
          <w:tcPr>
            <w:tcW w:w="913" w:type="pct"/>
            <w:tcBorders>
              <w:tl2br w:val="nil"/>
              <w:tr2bl w:val="nil"/>
            </w:tcBorders>
            <w:vAlign w:val="center"/>
          </w:tcPr>
          <w:p w14:paraId="60E91331">
            <w:pPr>
              <w:pStyle w:val="267"/>
              <w:jc w:val="center"/>
              <w:rPr>
                <w:rFonts w:hint="eastAsia" w:ascii="宋体" w:eastAsia="宋体"/>
                <w:sz w:val="18"/>
                <w:szCs w:val="18"/>
                <w:lang w:val="zh-CN"/>
              </w:rPr>
            </w:pPr>
            <w:r>
              <w:rPr>
                <w:rFonts w:hint="eastAsia" w:ascii="宋体" w:eastAsia="宋体"/>
                <w:sz w:val="18"/>
                <w:szCs w:val="18"/>
                <w:lang w:val="zh-CN"/>
              </w:rPr>
              <w:t>部署时间</w:t>
            </w:r>
          </w:p>
        </w:tc>
        <w:tc>
          <w:tcPr>
            <w:tcW w:w="2736" w:type="pct"/>
            <w:tcBorders>
              <w:tl2br w:val="nil"/>
              <w:tr2bl w:val="nil"/>
            </w:tcBorders>
            <w:vAlign w:val="center"/>
          </w:tcPr>
          <w:p w14:paraId="68922DEB">
            <w:pPr>
              <w:pStyle w:val="267"/>
              <w:rPr>
                <w:rFonts w:hint="eastAsia" w:ascii="宋体" w:eastAsia="宋体"/>
                <w:sz w:val="18"/>
                <w:szCs w:val="18"/>
                <w:lang w:val="zh-CN"/>
              </w:rPr>
            </w:pPr>
            <w:r>
              <w:rPr>
                <w:rFonts w:hint="eastAsia" w:ascii="宋体" w:eastAsia="宋体"/>
                <w:sz w:val="18"/>
                <w:szCs w:val="18"/>
                <w:lang w:val="zh-CN"/>
              </w:rPr>
              <w:t>不长于2小时</w:t>
            </w:r>
          </w:p>
        </w:tc>
        <w:tc>
          <w:tcPr>
            <w:tcW w:w="979" w:type="pct"/>
            <w:tcBorders>
              <w:tl2br w:val="nil"/>
              <w:tr2bl w:val="nil"/>
            </w:tcBorders>
            <w:vAlign w:val="center"/>
          </w:tcPr>
          <w:p w14:paraId="4AF87885">
            <w:pPr>
              <w:pStyle w:val="267"/>
              <w:rPr>
                <w:rFonts w:hint="eastAsia" w:ascii="宋体" w:eastAsia="宋体"/>
                <w:sz w:val="18"/>
                <w:szCs w:val="18"/>
                <w:lang w:val="zh-CN"/>
              </w:rPr>
            </w:pPr>
            <w:r>
              <w:rPr>
                <w:rFonts w:hint="eastAsia" w:ascii="宋体" w:eastAsia="宋体"/>
                <w:sz w:val="18"/>
                <w:szCs w:val="18"/>
                <w:lang w:val="zh-CN"/>
              </w:rPr>
              <w:t>流动观测型</w:t>
            </w:r>
          </w:p>
        </w:tc>
      </w:tr>
    </w:tbl>
    <w:p w14:paraId="2C1CD064">
      <w:pPr>
        <w:pStyle w:val="179"/>
        <w:numPr>
          <w:ilvl w:val="0"/>
          <w:numId w:val="0"/>
        </w:numPr>
        <w:ind w:left="425"/>
      </w:pPr>
    </w:p>
    <w:p w14:paraId="68735562">
      <w:pPr>
        <w:pStyle w:val="110"/>
        <w:spacing w:before="120" w:after="120"/>
        <w:rPr>
          <w:szCs w:val="21"/>
        </w:rPr>
      </w:pPr>
      <w:bookmarkStart w:id="90" w:name="_Toc21360"/>
      <w:bookmarkStart w:id="91" w:name="_Toc192167800"/>
      <w:r>
        <w:rPr>
          <w:rFonts w:hint="eastAsia"/>
          <w:szCs w:val="21"/>
        </w:rPr>
        <w:t>连续运行率</w:t>
      </w:r>
      <w:bookmarkEnd w:id="90"/>
    </w:p>
    <w:p w14:paraId="2B9F6E43">
      <w:pPr>
        <w:pStyle w:val="70"/>
        <w:spacing w:before="120" w:after="120"/>
        <w:rPr>
          <w:szCs w:val="21"/>
        </w:rPr>
      </w:pPr>
      <w:r>
        <w:rPr>
          <w:rFonts w:hint="eastAsia"/>
          <w:szCs w:val="21"/>
        </w:rPr>
        <w:t>测试目的</w:t>
      </w:r>
    </w:p>
    <w:p w14:paraId="1E55DC21">
      <w:pPr>
        <w:pStyle w:val="61"/>
        <w:ind w:firstLine="420"/>
      </w:pPr>
      <w:r>
        <w:rPr>
          <w:rFonts w:hint="eastAsia"/>
        </w:rPr>
        <w:t>考核</w:t>
      </w:r>
      <w:r>
        <w:t>被试</w:t>
      </w:r>
      <w:r>
        <w:rPr>
          <w:rFonts w:hint="eastAsia"/>
        </w:rPr>
        <w:t>设备</w:t>
      </w:r>
      <w:r>
        <w:t>在</w:t>
      </w:r>
      <w:r>
        <w:rPr>
          <w:rFonts w:hint="eastAsia"/>
        </w:rPr>
        <w:t>无人值守台站环境下的连续重力数据记录能力。</w:t>
      </w:r>
    </w:p>
    <w:p w14:paraId="5EEAA505">
      <w:pPr>
        <w:pStyle w:val="70"/>
        <w:spacing w:before="120" w:after="120"/>
        <w:rPr>
          <w:szCs w:val="21"/>
        </w:rPr>
      </w:pPr>
      <w:r>
        <w:rPr>
          <w:rFonts w:hint="eastAsia"/>
          <w:szCs w:val="21"/>
        </w:rPr>
        <w:t>测试方法</w:t>
      </w:r>
    </w:p>
    <w:p w14:paraId="6AC99225">
      <w:pPr>
        <w:pStyle w:val="179"/>
        <w:numPr>
          <w:ilvl w:val="0"/>
          <w:numId w:val="42"/>
        </w:numPr>
      </w:pPr>
      <w:r>
        <w:rPr>
          <w:rFonts w:hint="eastAsia"/>
        </w:rPr>
        <w:t>将被试设备放置在测试点位处安装调试，充分预热后，启动重力加速度测量；</w:t>
      </w:r>
    </w:p>
    <w:p w14:paraId="51F893C5">
      <w:pPr>
        <w:pStyle w:val="179"/>
        <w:numPr>
          <w:ilvl w:val="0"/>
          <w:numId w:val="42"/>
        </w:numPr>
      </w:pPr>
      <w:r>
        <w:rPr>
          <w:rFonts w:hint="eastAsia"/>
        </w:rPr>
        <w:t>将观测数据进行固体潮、海潮负荷、极移、气压等环境因素改正后得到重力加速度观测值，在观测总时长T中共获得n个有效重力数据，</w:t>
      </w:r>
      <m:oMath>
        <m:r>
          <m:rPr/>
          <w:rPr>
            <w:rFonts w:ascii="Cambria Math" w:hAnsi="Cambria Math"/>
          </w:rPr>
          <m:t>τ</m:t>
        </m:r>
      </m:oMath>
      <w:r>
        <w:rPr>
          <w:rFonts w:hint="eastAsia"/>
        </w:rPr>
        <w:t>为获取单个有效重力数据的时间。</w:t>
      </w:r>
    </w:p>
    <w:p w14:paraId="4849CFFF">
      <w:pPr>
        <w:pStyle w:val="179"/>
        <w:numPr>
          <w:ilvl w:val="0"/>
          <w:numId w:val="42"/>
        </w:numPr>
      </w:pPr>
      <w:r>
        <w:rPr>
          <w:rFonts w:hint="eastAsia"/>
        </w:rPr>
        <w:t>根据如下公式计算被试设备的运行连续率：</w:t>
      </w:r>
    </w:p>
    <w:p w14:paraId="52BD44E6">
      <w:pPr>
        <w:pStyle w:val="118"/>
        <w:ind w:firstLine="4830" w:firstLineChars="2300"/>
        <w:rPr>
          <w:rFonts w:hint="eastAsia"/>
        </w:rPr>
      </w:pPr>
      <m:oMath>
        <m:r>
          <m:rPr/>
          <w:rPr>
            <w:rFonts w:ascii="Cambria Math" w:hAnsi="Cambria Math"/>
          </w:rPr>
          <m:t>η</m:t>
        </m:r>
        <m:r>
          <m:rPr>
            <m:sty m:val="p"/>
          </m:rPr>
          <w:rPr>
            <w:rFonts w:ascii="Cambria Math" w:hAnsi="Cambria Math"/>
          </w:rPr>
          <m:t>=</m:t>
        </m:r>
        <m:f>
          <m:fPr>
            <m:ctrlPr>
              <w:rPr>
                <w:rFonts w:ascii="Cambria Math" w:hAnsi="Cambria Math"/>
              </w:rPr>
            </m:ctrlPr>
          </m:fPr>
          <m:num>
            <m:r>
              <m:rPr/>
              <w:rPr>
                <w:rFonts w:hint="eastAsia" w:ascii="Cambria Math" w:hAnsi="Cambria Math"/>
              </w:rPr>
              <m:t>n</m:t>
            </m:r>
            <m:r>
              <m:rPr>
                <m:sty m:val="p"/>
              </m:rPr>
              <w:rPr>
                <w:rFonts w:ascii="Cambria Math" w:hAnsi="Cambria Math"/>
              </w:rPr>
              <m:t>∙</m:t>
            </m:r>
            <m:r>
              <m:rPr/>
              <w:rPr>
                <w:rFonts w:ascii="Cambria Math" w:hAnsi="Cambria Math"/>
              </w:rPr>
              <m:t>τ</m:t>
            </m:r>
            <m:ctrlPr>
              <w:rPr>
                <w:rFonts w:ascii="Cambria Math" w:hAnsi="Cambria Math"/>
              </w:rPr>
            </m:ctrlPr>
          </m:num>
          <m:den>
            <m:r>
              <m:rPr/>
              <w:rPr>
                <w:rFonts w:hint="eastAsia" w:ascii="Cambria Math" w:hAnsi="Cambria Math"/>
              </w:rPr>
              <m:t>T</m:t>
            </m:r>
            <m:ctrlPr>
              <w:rPr>
                <w:rFonts w:ascii="Cambria Math" w:hAnsi="Cambria Math"/>
              </w:rPr>
            </m:ctrlPr>
          </m:den>
        </m:f>
        <m:r>
          <m:rPr>
            <m:sty m:val="p"/>
          </m:rPr>
          <w:rPr>
            <w:rFonts w:ascii="Cambria Math" w:hAnsi="Cambria Math"/>
          </w:rPr>
          <m:t>×100%</m:t>
        </m:r>
      </m:oMath>
      <w:r>
        <w:rPr>
          <w:rFonts w:hint="eastAsia" w:ascii="微软雅黑" w:hAnsi="微软雅黑" w:eastAsia="微软雅黑"/>
        </w:rPr>
        <w:t>..........................................................</w:t>
      </w:r>
      <w:r>
        <w:rPr>
          <w:rFonts w:hint="eastAsia"/>
        </w:rPr>
        <w:t>（1）</w:t>
      </w:r>
    </w:p>
    <w:p w14:paraId="42090E89">
      <w:pPr>
        <w:pStyle w:val="60"/>
        <w:ind w:firstLine="420"/>
      </w:pPr>
      <w:r>
        <w:rPr>
          <w:rFonts w:hint="eastAsia"/>
        </w:rPr>
        <w:t>式中：</w:t>
      </w:r>
    </w:p>
    <w:p w14:paraId="707F7595">
      <w:pPr>
        <w:pStyle w:val="61"/>
        <w:ind w:firstLine="420"/>
      </w:pPr>
      <w:r>
        <w:rPr>
          <w:rFonts w:ascii="Cambria Math" w:hAnsi="Cambria Math" w:cs="Cambria Math"/>
        </w:rPr>
        <w:t>𝜂</w:t>
      </w:r>
      <w:r>
        <w:rPr>
          <w:rFonts w:hint="eastAsia"/>
        </w:rPr>
        <w:t>——有效重力数据持续记录时间与总测试时间的比值，即为连续运行率。</w:t>
      </w:r>
    </w:p>
    <w:p w14:paraId="64CED0D5">
      <w:pPr>
        <w:pStyle w:val="184"/>
        <w:rPr>
          <w:rFonts w:hint="eastAsia" w:hAnsi="宋体" w:cs="宋体"/>
        </w:rPr>
      </w:pPr>
      <w:r>
        <w:rPr>
          <w:rFonts w:hint="eastAsia" w:hAnsi="宋体" w:cs="宋体"/>
        </w:rPr>
        <w:t>测试期间若有地震影响应予以剔除。</w:t>
      </w:r>
    </w:p>
    <w:p w14:paraId="6D2E7762">
      <w:pPr>
        <w:pStyle w:val="110"/>
        <w:spacing w:before="120" w:after="120"/>
        <w:rPr>
          <w:szCs w:val="21"/>
        </w:rPr>
      </w:pPr>
      <w:bookmarkStart w:id="92" w:name="_Toc8484"/>
      <w:r>
        <w:rPr>
          <w:rFonts w:hint="eastAsia"/>
          <w:szCs w:val="21"/>
        </w:rPr>
        <w:t>连续运行稳定性</w:t>
      </w:r>
      <w:bookmarkEnd w:id="92"/>
    </w:p>
    <w:p w14:paraId="2AA6DC0B">
      <w:pPr>
        <w:pStyle w:val="70"/>
        <w:spacing w:before="120" w:after="120"/>
        <w:rPr>
          <w:szCs w:val="21"/>
        </w:rPr>
      </w:pPr>
      <w:r>
        <w:rPr>
          <w:rFonts w:hint="eastAsia"/>
          <w:szCs w:val="21"/>
        </w:rPr>
        <w:t>测试目的</w:t>
      </w:r>
    </w:p>
    <w:p w14:paraId="5E546C22">
      <w:pPr>
        <w:pStyle w:val="61"/>
        <w:ind w:firstLine="420"/>
      </w:pPr>
      <w:r>
        <w:rPr>
          <w:rFonts w:hint="eastAsia"/>
        </w:rPr>
        <w:t>考核</w:t>
      </w:r>
      <w:r>
        <w:t>被试</w:t>
      </w:r>
      <w:r>
        <w:rPr>
          <w:rFonts w:hint="eastAsia"/>
        </w:rPr>
        <w:t>设备连续运行时是否存在线性漂移。</w:t>
      </w:r>
    </w:p>
    <w:p w14:paraId="67C541E5">
      <w:pPr>
        <w:pStyle w:val="70"/>
        <w:spacing w:before="120" w:after="120"/>
        <w:rPr>
          <w:szCs w:val="21"/>
        </w:rPr>
      </w:pPr>
      <w:r>
        <w:rPr>
          <w:rFonts w:hint="eastAsia"/>
          <w:szCs w:val="21"/>
        </w:rPr>
        <w:t>测试方法</w:t>
      </w:r>
    </w:p>
    <w:p w14:paraId="157DDD76">
      <w:pPr>
        <w:pStyle w:val="179"/>
        <w:numPr>
          <w:ilvl w:val="0"/>
          <w:numId w:val="43"/>
        </w:numPr>
      </w:pPr>
      <w:r>
        <w:t>将被试</w:t>
      </w:r>
      <w:r>
        <w:rPr>
          <w:rFonts w:hint="eastAsia"/>
        </w:rPr>
        <w:t>设备放置在地质结构稳定的测试点位处并安装调试，充分预热后，启动重力加速度测量</w:t>
      </w:r>
      <w:r>
        <w:t>；</w:t>
      </w:r>
    </w:p>
    <w:p w14:paraId="18A5C798">
      <w:pPr>
        <w:pStyle w:val="179"/>
        <w:numPr>
          <w:ilvl w:val="0"/>
          <w:numId w:val="43"/>
        </w:numPr>
      </w:pPr>
      <w:r>
        <w:rPr>
          <w:rFonts w:hint="eastAsia"/>
        </w:rPr>
        <w:t>将观测数据进行固体潮、海潮负荷、极移、气压等环境因素改正，系统偏置项扣除后得到重力加速度观测值；</w:t>
      </w:r>
    </w:p>
    <w:p w14:paraId="2AE6CFE3">
      <w:pPr>
        <w:pStyle w:val="179"/>
        <w:numPr>
          <w:ilvl w:val="0"/>
          <w:numId w:val="43"/>
        </w:numPr>
        <w:rPr>
          <w:iCs/>
        </w:rPr>
      </w:pPr>
      <w:r>
        <w:rPr>
          <w:rFonts w:hint="eastAsia"/>
          <w:iCs/>
        </w:rPr>
        <w:t>根据被试设备的具体性能，</w:t>
      </w:r>
      <w:r>
        <w:rPr>
          <w:rFonts w:hint="eastAsia"/>
        </w:rPr>
        <w:t>将每10分钟～30分钟的重力观测值归为一组取平均值，根据拉依达准则（</w:t>
      </w:r>
      <w:r>
        <w:t>3</w:t>
      </w:r>
      <w:r>
        <w:rPr>
          <w:rFonts w:ascii="Cambria Math" w:hAnsi="Cambria Math" w:cs="Cambria Math"/>
        </w:rPr>
        <w:t>𝜎</w:t>
      </w:r>
      <w:r>
        <w:rPr>
          <w:rFonts w:hint="eastAsia"/>
        </w:rPr>
        <w:t>准则）剔除异常值，</w:t>
      </w:r>
      <w:r>
        <w:rPr>
          <w:rFonts w:ascii="Times New Roman"/>
        </w:rPr>
        <w:t>记为g</w:t>
      </w:r>
      <w:r>
        <w:rPr>
          <w:rFonts w:ascii="Times New Roman"/>
          <w:vertAlign w:val="subscript"/>
        </w:rPr>
        <w:t>i</w:t>
      </w:r>
      <w:r>
        <w:rPr>
          <w:rFonts w:ascii="Times New Roman"/>
        </w:rPr>
        <w:t>,i</w:t>
      </w:r>
      <w:r>
        <w:rPr>
          <w:rFonts w:ascii="Times New Roman"/>
        </w:rPr>
        <w:sym w:font="Symbol" w:char="F03D"/>
      </w:r>
      <w:r>
        <w:rPr>
          <w:rFonts w:ascii="Times New Roman"/>
        </w:rPr>
        <w:t>1,2,3,...,n</w:t>
      </w:r>
      <w:r>
        <w:rPr>
          <w:rFonts w:hint="eastAsia"/>
          <w:iCs/>
        </w:rPr>
        <w:t>。</w:t>
      </w:r>
    </w:p>
    <w:p w14:paraId="73C1FDBF">
      <w:pPr>
        <w:pStyle w:val="179"/>
        <w:numPr>
          <w:ilvl w:val="0"/>
          <w:numId w:val="43"/>
        </w:numPr>
      </w:pPr>
      <w:r>
        <w:rPr>
          <w:rFonts w:hint="eastAsia"/>
        </w:rPr>
        <w:t>根据如下公式计算被试设备的组间标准差：</w:t>
      </w:r>
    </w:p>
    <w:p w14:paraId="743070C2">
      <w:pPr>
        <w:pStyle w:val="118"/>
        <w:ind w:firstLine="4830" w:firstLineChars="2300"/>
        <w:rPr>
          <w:rFonts w:hint="eastAsia"/>
        </w:rPr>
      </w:pPr>
      <m:oMath>
        <m:r>
          <m:rPr/>
          <w:rPr>
            <w:rFonts w:ascii="Cambria Math" w:hAnsi="Cambria Math"/>
          </w:rPr>
          <m:t>σ</m:t>
        </m:r>
        <m:r>
          <m:rPr>
            <m:sty m:val="p"/>
          </m:rPr>
          <w:rPr>
            <w:rFonts w:ascii="Cambria Math" w:hAnsi="Cambria Math"/>
          </w:rPr>
          <m:t>=</m:t>
        </m:r>
        <m:rad>
          <m:radPr>
            <m:degHide m:val="1"/>
            <m:ctrlPr>
              <w:rPr>
                <w:rFonts w:ascii="Cambria Math" w:hAnsi="Cambria Math"/>
              </w:rPr>
            </m:ctrlPr>
          </m:radPr>
          <m:deg>
            <m:ctrlPr>
              <w:rPr>
                <w:rFonts w:ascii="Cambria Math" w:hAnsi="Cambria Math"/>
              </w:rPr>
            </m:ctrlPr>
          </m:deg>
          <m:e>
            <m:f>
              <m:fPr>
                <m:ctrlPr>
                  <w:rPr>
                    <w:rFonts w:ascii="Cambria Math" w:hAnsi="Cambria Math"/>
                  </w:rPr>
                </m:ctrlPr>
              </m:fPr>
              <m:num>
                <m:nary>
                  <m:naryPr>
                    <m:chr m:val="∑"/>
                    <m:limLoc m:val="subSup"/>
                    <m:ctrlPr>
                      <w:rPr>
                        <w:rFonts w:ascii="Cambria Math" w:hAnsi="Cambria Math"/>
                      </w:rPr>
                    </m:ctrlPr>
                  </m:naryPr>
                  <m:sub>
                    <m:r>
                      <m:rPr/>
                      <w:rPr>
                        <w:rFonts w:ascii="Cambria Math" w:hAnsi="Cambria Math"/>
                      </w:rPr>
                      <m:t>i</m:t>
                    </m:r>
                    <m:r>
                      <m:rPr>
                        <m:sty m:val="p"/>
                      </m:rPr>
                      <w:rPr>
                        <w:rFonts w:ascii="Cambria Math" w:hAnsi="Cambria Math"/>
                      </w:rPr>
                      <m:t>=1</m:t>
                    </m:r>
                    <m:ctrlPr>
                      <w:rPr>
                        <w:rFonts w:ascii="Cambria Math" w:hAnsi="Cambria Math"/>
                      </w:rPr>
                    </m:ctrlPr>
                  </m:sub>
                  <m:sup>
                    <m:r>
                      <m:rPr/>
                      <w:rPr>
                        <w:rFonts w:ascii="Cambria Math" w:hAnsi="Cambria Math"/>
                      </w:rPr>
                      <m:t>n</m:t>
                    </m:r>
                    <m:ctrlPr>
                      <w:rPr>
                        <w:rFonts w:ascii="Cambria Math" w:hAnsi="Cambria Math"/>
                      </w:rPr>
                    </m:ctrlPr>
                  </m:sup>
                  <m:e>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m:rPr/>
                              <w:rPr>
                                <w:rFonts w:ascii="Cambria Math" w:hAnsi="Cambria Math"/>
                              </w:rPr>
                              <m:t>g</m:t>
                            </m:r>
                            <m:ctrlPr>
                              <w:rPr>
                                <w:rFonts w:ascii="Cambria Math" w:hAnsi="Cambria Math"/>
                              </w:rPr>
                            </m:ctrlPr>
                          </m:e>
                          <m:sub>
                            <m:r>
                              <m:rPr/>
                              <w:rPr>
                                <w:rFonts w:ascii="Cambria Math" w:hAnsi="Cambria Math"/>
                              </w:rPr>
                              <m:t>i</m:t>
                            </m:r>
                            <m:ctrlPr>
                              <w:rPr>
                                <w:rFonts w:ascii="Cambria Math" w:hAnsi="Cambria Math"/>
                              </w:rPr>
                            </m:ctrlPr>
                          </m:sub>
                        </m:sSub>
                        <m:r>
                          <m:rPr>
                            <m:sty m:val="p"/>
                          </m:rPr>
                          <w:rPr>
                            <w:rFonts w:ascii="Cambria Math" w:hAnsi="Cambria Math"/>
                          </w:rPr>
                          <m:t>−</m:t>
                        </m:r>
                        <m:acc>
                          <m:accPr>
                            <m:chr m:val="̅"/>
                            <m:ctrlPr>
                              <w:rPr>
                                <w:rFonts w:ascii="Cambria Math" w:hAnsi="Cambria Math"/>
                              </w:rPr>
                            </m:ctrlPr>
                          </m:accPr>
                          <m:e>
                            <m:r>
                              <m:rPr/>
                              <w:rPr>
                                <w:rFonts w:ascii="Cambria Math" w:hAnsi="Cambria Math"/>
                              </w:rPr>
                              <m:t>g</m:t>
                            </m:r>
                            <m:ctrlPr>
                              <w:rPr>
                                <w:rFonts w:ascii="Cambria Math" w:hAnsi="Cambria Math"/>
                              </w:rPr>
                            </m:ctrlPr>
                          </m:e>
                        </m:acc>
                        <m:r>
                          <m:rPr>
                            <m:sty m:val="p"/>
                          </m:rPr>
                          <w:rPr>
                            <w:rFonts w:ascii="Cambria Math" w:hAnsi="Cambria Math"/>
                          </w:rPr>
                          <m:t>)</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e>
                </m:nary>
                <m:ctrlPr>
                  <w:rPr>
                    <w:rFonts w:ascii="Cambria Math" w:hAnsi="Cambria Math"/>
                  </w:rPr>
                </m:ctrlPr>
              </m:num>
              <m:den>
                <m:r>
                  <m:rPr/>
                  <w:rPr>
                    <w:rFonts w:ascii="Cambria Math" w:hAnsi="Cambria Math"/>
                  </w:rPr>
                  <m:t>n</m:t>
                </m:r>
                <m:r>
                  <m:rPr>
                    <m:sty m:val="p"/>
                  </m:rPr>
                  <w:rPr>
                    <w:rFonts w:ascii="Cambria Math" w:hAnsi="Cambria Math"/>
                  </w:rPr>
                  <m:t>−1</m:t>
                </m:r>
                <m:ctrlPr>
                  <w:rPr>
                    <w:rFonts w:ascii="Cambria Math" w:hAnsi="Cambria Math"/>
                  </w:rPr>
                </m:ctrlPr>
              </m:den>
            </m:f>
            <m:ctrlPr>
              <w:rPr>
                <w:rFonts w:ascii="Cambria Math" w:hAnsi="Cambria Math"/>
              </w:rPr>
            </m:ctrlPr>
          </m:e>
        </m:rad>
      </m:oMath>
      <w:r>
        <w:rPr>
          <w:rFonts w:hint="eastAsia" w:ascii="微软雅黑" w:hAnsi="微软雅黑" w:eastAsia="微软雅黑"/>
        </w:rPr>
        <w:t>.........................................................</w:t>
      </w:r>
      <w:r>
        <w:rPr>
          <w:rFonts w:hint="eastAsia"/>
        </w:rPr>
        <w:t>（2）</w:t>
      </w:r>
    </w:p>
    <w:p w14:paraId="0162C3BB">
      <w:pPr>
        <w:pStyle w:val="61"/>
        <w:ind w:firstLine="420"/>
      </w:pPr>
    </w:p>
    <w:p w14:paraId="44FB9D26">
      <w:pPr>
        <w:pStyle w:val="60"/>
        <w:ind w:firstLine="420"/>
      </w:pPr>
      <w:r>
        <w:rPr>
          <w:rFonts w:hint="eastAsia"/>
        </w:rPr>
        <w:t>式中：</w:t>
      </w:r>
    </w:p>
    <w:p w14:paraId="03C887D6">
      <w:pPr>
        <w:pStyle w:val="61"/>
        <w:ind w:firstLine="420"/>
        <w:rPr>
          <w:rFonts w:ascii="Cambria Math" w:hAnsi="Cambria Math" w:cs="Cambria Math"/>
        </w:rPr>
      </w:pPr>
      <w:r>
        <w:rPr/>
        <w:sym w:font="Symbol" w:char="F073"/>
      </w:r>
      <w:r>
        <w:rPr>
          <w:rFonts w:hint="eastAsia"/>
        </w:rPr>
        <w:t>——连续运行稳定性的表征参数。</w:t>
      </w:r>
      <m:oMath>
        <m:acc>
          <m:accPr>
            <m:chr m:val="̅"/>
            <m:ctrlPr>
              <w:rPr>
                <w:rFonts w:ascii="Cambria Math" w:hAnsi="Cambria Math"/>
              </w:rPr>
            </m:ctrlPr>
          </m:accPr>
          <m:e>
            <m:r>
              <m:rPr>
                <m:sty m:val="p"/>
              </m:rPr>
              <w:rPr>
                <w:rFonts w:ascii="Cambria Math" w:hAnsi="Cambria Math"/>
              </w:rPr>
              <m:t>g</m:t>
            </m:r>
            <m:ctrlPr>
              <w:rPr>
                <w:rFonts w:ascii="Cambria Math" w:hAnsi="Cambria Math"/>
              </w:rPr>
            </m:ctrlPr>
          </m:e>
        </m:acc>
        <m:r>
          <m:rPr>
            <m:sty m:val="p"/>
          </m:rPr>
          <w:rPr>
            <w:rFonts w:ascii="Cambria Math" w:hAnsi="Cambria Math"/>
          </w:rPr>
          <m:t>=</m:t>
        </m:r>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n</m:t>
            </m:r>
            <m:ctrlPr>
              <w:rPr>
                <w:rFonts w:ascii="Cambria Math" w:hAnsi="Cambria Math"/>
              </w:rPr>
            </m:ctrlPr>
          </m:den>
        </m:f>
        <m:nary>
          <m:naryPr>
            <m:chr m:val="∑"/>
            <m:limLoc m:val="subSup"/>
            <m:ctrlPr>
              <w:rPr>
                <w:rFonts w:ascii="Cambria Math" w:hAnsi="Cambria Math"/>
              </w:rPr>
            </m:ctrlPr>
          </m:naryPr>
          <m:sub>
            <m:r>
              <m:rPr>
                <m:sty m:val="p"/>
              </m:rPr>
              <w:rPr>
                <w:rFonts w:ascii="Cambria Math" w:hAnsi="Cambria Math"/>
              </w:rPr>
              <m:t>i=1</m:t>
            </m:r>
            <m:ctrlPr>
              <w:rPr>
                <w:rFonts w:ascii="Cambria Math" w:hAnsi="Cambria Math"/>
              </w:rPr>
            </m:ctrlPr>
          </m:sub>
          <m:sup>
            <m:r>
              <m:rPr>
                <m:sty m:val="p"/>
              </m:rPr>
              <w:rPr>
                <w:rFonts w:ascii="Cambria Math" w:hAnsi="Cambria Math"/>
              </w:rPr>
              <m:t>n</m:t>
            </m:r>
            <m:ctrlPr>
              <w:rPr>
                <w:rFonts w:ascii="Cambria Math" w:hAnsi="Cambria Math"/>
              </w:rPr>
            </m:ctrlPr>
          </m:sup>
          <m:e>
            <m:sSub>
              <m:sSubPr>
                <m:ctrlPr>
                  <w:rPr>
                    <w:rFonts w:ascii="Cambria Math" w:hAnsi="Cambria Math"/>
                  </w:rPr>
                </m:ctrlPr>
              </m:sSubPr>
              <m:e>
                <m:r>
                  <m:rPr>
                    <m:sty m:val="p"/>
                  </m:rPr>
                  <w:rPr>
                    <w:rFonts w:ascii="Cambria Math" w:hAnsi="Cambria Math"/>
                  </w:rPr>
                  <m:t>g</m:t>
                </m:r>
                <m:ctrlPr>
                  <w:rPr>
                    <w:rFonts w:ascii="Cambria Math" w:hAnsi="Cambria Math"/>
                  </w:rPr>
                </m:ctrlPr>
              </m:e>
              <m:sub>
                <m:r>
                  <m:rPr>
                    <m:sty m:val="p"/>
                  </m:rPr>
                  <w:rPr>
                    <w:rFonts w:ascii="Cambria Math" w:hAnsi="Cambria Math"/>
                  </w:rPr>
                  <m:t>i</m:t>
                </m:r>
                <m:ctrlPr>
                  <w:rPr>
                    <w:rFonts w:ascii="Cambria Math" w:hAnsi="Cambria Math"/>
                  </w:rPr>
                </m:ctrlPr>
              </m:sub>
            </m:sSub>
            <m:ctrlPr>
              <w:rPr>
                <w:rFonts w:ascii="Cambria Math" w:hAnsi="Cambria Math"/>
              </w:rPr>
            </m:ctrlPr>
          </m:e>
        </m:nary>
      </m:oMath>
      <w:r>
        <w:t>，n为观测组数</w:t>
      </w:r>
      <w:r>
        <w:rPr>
          <w:rFonts w:hint="eastAsia" w:ascii="Cambria Math" w:hAnsi="Cambria Math" w:cs="Cambria Math"/>
        </w:rPr>
        <w:t>。</w:t>
      </w:r>
    </w:p>
    <w:p w14:paraId="3F0FD131">
      <w:pPr>
        <w:pStyle w:val="184"/>
        <w:rPr>
          <w:rFonts w:hint="eastAsia" w:hAnsi="宋体" w:cs="宋体"/>
        </w:rPr>
      </w:pPr>
      <w:r>
        <w:rPr>
          <w:rFonts w:hint="eastAsia" w:hAnsi="宋体" w:cs="宋体"/>
        </w:rPr>
        <w:t>测试期间若有地震影响应予以剔除。</w:t>
      </w:r>
    </w:p>
    <w:p w14:paraId="37FABF55">
      <w:pPr>
        <w:pStyle w:val="179"/>
        <w:numPr>
          <w:ilvl w:val="0"/>
          <w:numId w:val="43"/>
        </w:numPr>
      </w:pPr>
      <w:r>
        <w:rPr>
          <w:rFonts w:hint="eastAsia"/>
        </w:rPr>
        <w:t>根据如下公式计算重力观测值与观测时间的相关系数：</w:t>
      </w:r>
    </w:p>
    <w:p w14:paraId="1962A31C">
      <w:pPr>
        <w:pStyle w:val="61"/>
        <w:rPr>
          <w:szCs w:val="21"/>
        </w:rPr>
      </w:pPr>
      <m:oMathPara>
        <m:oMath>
          <m:r>
            <m:rPr/>
            <w:rPr>
              <w:rFonts w:ascii="Cambria Math" w:hAnsi="Cambria Math"/>
              <w:szCs w:val="21"/>
            </w:rPr>
            <m:t>r</m:t>
          </m:r>
          <m:r>
            <m:rPr>
              <m:sty m:val="p"/>
            </m:rPr>
            <w:rPr>
              <w:rFonts w:ascii="Cambria Math" w:hAnsi="Cambria Math"/>
              <w:szCs w:val="21"/>
            </w:rPr>
            <m:t>=</m:t>
          </m:r>
          <m:f>
            <m:fPr>
              <m:ctrlPr>
                <w:rPr>
                  <w:rFonts w:ascii="Cambria Math" w:hAnsi="Cambria Math"/>
                  <w:szCs w:val="21"/>
                </w:rPr>
              </m:ctrlPr>
            </m:fPr>
            <m:num>
              <m:nary>
                <m:naryPr>
                  <m:chr m:val="∑"/>
                  <m:limLoc m:val="subSup"/>
                  <m:ctrlPr>
                    <w:rPr>
                      <w:rFonts w:ascii="Cambria Math" w:hAnsi="Cambria Math"/>
                      <w:szCs w:val="21"/>
                    </w:rPr>
                  </m:ctrlPr>
                </m:naryPr>
                <m:sub>
                  <m:r>
                    <m:rPr/>
                    <w:rPr>
                      <w:rFonts w:ascii="Cambria Math" w:hAnsi="Cambria Math"/>
                      <w:szCs w:val="21"/>
                    </w:rPr>
                    <m:t>i</m:t>
                  </m:r>
                  <m:r>
                    <m:rPr>
                      <m:sty m:val="p"/>
                    </m:rPr>
                    <w:rPr>
                      <w:rFonts w:ascii="Cambria Math" w:hAnsi="Cambria Math"/>
                      <w:szCs w:val="21"/>
                    </w:rPr>
                    <m:t>=1</m:t>
                  </m:r>
                  <m:ctrlPr>
                    <w:rPr>
                      <w:rFonts w:ascii="Cambria Math" w:hAnsi="Cambria Math"/>
                      <w:szCs w:val="21"/>
                    </w:rPr>
                  </m:ctrlPr>
                </m:sub>
                <m:sup>
                  <m:r>
                    <m:rPr/>
                    <w:rPr>
                      <w:rFonts w:ascii="Cambria Math" w:hAnsi="Cambria Math"/>
                      <w:szCs w:val="21"/>
                    </w:rPr>
                    <m:t>n</m:t>
                  </m:r>
                  <m:ctrlPr>
                    <w:rPr>
                      <w:rFonts w:ascii="Cambria Math" w:hAnsi="Cambria Math"/>
                      <w:szCs w:val="21"/>
                    </w:rPr>
                  </m:ctrlPr>
                </m:sup>
                <m:e>
                  <m:r>
                    <m:rPr>
                      <m:sty m:val="p"/>
                    </m:rPr>
                    <w:rPr>
                      <w:rFonts w:ascii="Cambria Math" w:hAnsi="Cambria Math"/>
                      <w:szCs w:val="21"/>
                    </w:rPr>
                    <m:t>(</m:t>
                  </m:r>
                  <m:sSub>
                    <m:sSubPr>
                      <m:ctrlPr>
                        <w:rPr>
                          <w:rFonts w:ascii="Cambria Math" w:hAnsi="Cambria Math"/>
                          <w:szCs w:val="21"/>
                        </w:rPr>
                      </m:ctrlPr>
                    </m:sSubPr>
                    <m:e>
                      <m:r>
                        <m:rPr/>
                        <w:rPr>
                          <w:rFonts w:ascii="Cambria Math" w:hAnsi="Cambria Math"/>
                          <w:szCs w:val="21"/>
                        </w:rPr>
                        <m:t>g</m:t>
                      </m:r>
                      <m:ctrlPr>
                        <w:rPr>
                          <w:rFonts w:ascii="Cambria Math" w:hAnsi="Cambria Math"/>
                          <w:szCs w:val="21"/>
                        </w:rPr>
                      </m:ctrlPr>
                    </m:e>
                    <m:sub>
                      <m:r>
                        <m:rPr/>
                        <w:rPr>
                          <w:rFonts w:ascii="Cambria Math" w:hAnsi="Cambria Math"/>
                          <w:szCs w:val="21"/>
                        </w:rPr>
                        <m:t>i</m:t>
                      </m:r>
                      <m:ctrlPr>
                        <w:rPr>
                          <w:rFonts w:ascii="Cambria Math" w:hAnsi="Cambria Math"/>
                          <w:szCs w:val="21"/>
                        </w:rPr>
                      </m:ctrlPr>
                    </m:sub>
                  </m:sSub>
                  <m:r>
                    <m:rPr>
                      <m:sty m:val="p"/>
                    </m:rPr>
                    <w:rPr>
                      <w:rFonts w:ascii="Cambria Math" w:hAnsi="Cambria Math"/>
                      <w:szCs w:val="21"/>
                    </w:rPr>
                    <m:t>−</m:t>
                  </m:r>
                  <m:acc>
                    <m:accPr>
                      <m:chr m:val="̅"/>
                      <m:ctrlPr>
                        <w:rPr>
                          <w:rFonts w:ascii="Cambria Math" w:hAnsi="Cambria Math"/>
                          <w:szCs w:val="21"/>
                        </w:rPr>
                      </m:ctrlPr>
                    </m:accPr>
                    <m:e>
                      <m:r>
                        <m:rPr/>
                        <w:rPr>
                          <w:rFonts w:ascii="Cambria Math" w:hAnsi="Cambria Math"/>
                          <w:szCs w:val="21"/>
                        </w:rPr>
                        <m:t>g</m:t>
                      </m:r>
                      <m:ctrlPr>
                        <w:rPr>
                          <w:rFonts w:ascii="Cambria Math" w:hAnsi="Cambria Math"/>
                          <w:szCs w:val="21"/>
                        </w:rPr>
                      </m:ctrlPr>
                    </m:e>
                  </m:acc>
                  <m:r>
                    <m:rPr>
                      <m:sty m:val="p"/>
                    </m:rPr>
                    <w:rPr>
                      <w:rFonts w:ascii="Cambria Math" w:hAnsi="Cambria Math"/>
                      <w:szCs w:val="21"/>
                    </w:rPr>
                    <m:t>)(</m:t>
                  </m:r>
                  <m:sSub>
                    <m:sSubPr>
                      <m:ctrlPr>
                        <w:rPr>
                          <w:rFonts w:ascii="Cambria Math" w:hAnsi="Cambria Math"/>
                          <w:szCs w:val="21"/>
                        </w:rPr>
                      </m:ctrlPr>
                    </m:sSubPr>
                    <m:e>
                      <m:r>
                        <m:rPr/>
                        <w:rPr>
                          <w:rFonts w:ascii="Cambria Math" w:hAnsi="Cambria Math"/>
                          <w:szCs w:val="21"/>
                        </w:rPr>
                        <m:t>t</m:t>
                      </m:r>
                      <m:ctrlPr>
                        <w:rPr>
                          <w:rFonts w:ascii="Cambria Math" w:hAnsi="Cambria Math"/>
                          <w:szCs w:val="21"/>
                        </w:rPr>
                      </m:ctrlPr>
                    </m:e>
                    <m:sub>
                      <m:r>
                        <m:rPr/>
                        <w:rPr>
                          <w:rFonts w:ascii="Cambria Math" w:hAnsi="Cambria Math"/>
                          <w:szCs w:val="21"/>
                        </w:rPr>
                        <m:t>i</m:t>
                      </m:r>
                      <m:ctrlPr>
                        <w:rPr>
                          <w:rFonts w:ascii="Cambria Math" w:hAnsi="Cambria Math"/>
                          <w:szCs w:val="21"/>
                        </w:rPr>
                      </m:ctrlPr>
                    </m:sub>
                  </m:sSub>
                  <m:r>
                    <m:rPr>
                      <m:sty m:val="p"/>
                    </m:rPr>
                    <w:rPr>
                      <w:rFonts w:ascii="Cambria Math" w:hAnsi="Cambria Math"/>
                      <w:szCs w:val="21"/>
                    </w:rPr>
                    <m:t>−</m:t>
                  </m:r>
                  <m:acc>
                    <m:accPr>
                      <m:chr m:val="̅"/>
                      <m:ctrlPr>
                        <w:rPr>
                          <w:rFonts w:ascii="Cambria Math" w:hAnsi="Cambria Math"/>
                          <w:szCs w:val="21"/>
                        </w:rPr>
                      </m:ctrlPr>
                    </m:accPr>
                    <m:e>
                      <m:r>
                        <m:rPr/>
                        <w:rPr>
                          <w:rFonts w:ascii="Cambria Math" w:hAnsi="Cambria Math"/>
                          <w:szCs w:val="21"/>
                        </w:rPr>
                        <m:t>t</m:t>
                      </m:r>
                      <m:ctrlPr>
                        <w:rPr>
                          <w:rFonts w:ascii="Cambria Math" w:hAnsi="Cambria Math"/>
                          <w:szCs w:val="21"/>
                        </w:rPr>
                      </m:ctrlPr>
                    </m:e>
                  </m:acc>
                  <m:r>
                    <m:rPr>
                      <m:sty m:val="p"/>
                    </m:rPr>
                    <w:rPr>
                      <w:rFonts w:ascii="Cambria Math" w:hAnsi="Cambria Math"/>
                      <w:szCs w:val="21"/>
                    </w:rPr>
                    <m:t>)</m:t>
                  </m:r>
                  <m:ctrlPr>
                    <w:rPr>
                      <w:rFonts w:ascii="Cambria Math" w:hAnsi="Cambria Math"/>
                      <w:szCs w:val="21"/>
                    </w:rPr>
                  </m:ctrlPr>
                </m:e>
              </m:nary>
              <m:ctrlPr>
                <w:rPr>
                  <w:rFonts w:ascii="Cambria Math" w:hAnsi="Cambria Math"/>
                  <w:szCs w:val="21"/>
                </w:rPr>
              </m:ctrlPr>
            </m:num>
            <m:den>
              <m:rad>
                <m:radPr>
                  <m:degHide m:val="1"/>
                  <m:ctrlPr>
                    <w:rPr>
                      <w:rFonts w:ascii="Cambria Math" w:hAnsi="Cambria Math"/>
                      <w:i/>
                      <w:szCs w:val="21"/>
                    </w:rPr>
                  </m:ctrlPr>
                </m:radPr>
                <m:deg>
                  <m:ctrlPr>
                    <w:rPr>
                      <w:rFonts w:ascii="Cambria Math" w:hAnsi="Cambria Math"/>
                      <w:i/>
                      <w:szCs w:val="21"/>
                    </w:rPr>
                  </m:ctrlPr>
                </m:deg>
                <m:e>
                  <m:nary>
                    <m:naryPr>
                      <m:chr m:val="∑"/>
                      <m:limLoc m:val="subSup"/>
                      <m:ctrlPr>
                        <w:rPr>
                          <w:rFonts w:ascii="Cambria Math" w:hAnsi="Cambria Math"/>
                          <w:szCs w:val="21"/>
                        </w:rPr>
                      </m:ctrlPr>
                    </m:naryPr>
                    <m:sub>
                      <m:r>
                        <m:rPr/>
                        <w:rPr>
                          <w:rFonts w:ascii="Cambria Math" w:hAnsi="Cambria Math"/>
                          <w:szCs w:val="21"/>
                        </w:rPr>
                        <m:t>i</m:t>
                      </m:r>
                      <m:r>
                        <m:rPr>
                          <m:sty m:val="p"/>
                        </m:rPr>
                        <w:rPr>
                          <w:rFonts w:ascii="Cambria Math" w:hAnsi="Cambria Math"/>
                          <w:szCs w:val="21"/>
                        </w:rPr>
                        <m:t>=1</m:t>
                      </m:r>
                      <m:ctrlPr>
                        <w:rPr>
                          <w:rFonts w:ascii="Cambria Math" w:hAnsi="Cambria Math"/>
                          <w:szCs w:val="21"/>
                        </w:rPr>
                      </m:ctrlPr>
                    </m:sub>
                    <m:sup>
                      <m:r>
                        <m:rPr/>
                        <w:rPr>
                          <w:rFonts w:ascii="Cambria Math" w:hAnsi="Cambria Math"/>
                          <w:szCs w:val="21"/>
                        </w:rPr>
                        <m:t>n</m:t>
                      </m:r>
                      <m:ctrlPr>
                        <w:rPr>
                          <w:rFonts w:ascii="Cambria Math" w:hAnsi="Cambria Math"/>
                          <w:szCs w:val="21"/>
                        </w:rPr>
                      </m:ctrlPr>
                    </m:sup>
                    <m:e>
                      <m:r>
                        <m:rPr>
                          <m:sty m:val="p"/>
                        </m:rPr>
                        <w:rPr>
                          <w:rFonts w:ascii="Cambria Math" w:hAnsi="Cambria Math"/>
                          <w:szCs w:val="21"/>
                        </w:rPr>
                        <m:t>(</m:t>
                      </m:r>
                      <m:sSup>
                        <m:sSupPr>
                          <m:ctrlPr>
                            <w:rPr>
                              <w:rFonts w:ascii="Cambria Math" w:hAnsi="Cambria Math"/>
                              <w:szCs w:val="21"/>
                            </w:rPr>
                          </m:ctrlPr>
                        </m:sSupPr>
                        <m:e>
                          <m:sSub>
                            <m:sSubPr>
                              <m:ctrlPr>
                                <w:rPr>
                                  <w:rFonts w:ascii="Cambria Math" w:hAnsi="Cambria Math"/>
                                  <w:szCs w:val="21"/>
                                </w:rPr>
                              </m:ctrlPr>
                            </m:sSubPr>
                            <m:e>
                              <m:r>
                                <m:rPr/>
                                <w:rPr>
                                  <w:rFonts w:ascii="Cambria Math" w:hAnsi="Cambria Math"/>
                                  <w:szCs w:val="21"/>
                                </w:rPr>
                                <m:t>g</m:t>
                              </m:r>
                              <m:ctrlPr>
                                <w:rPr>
                                  <w:rFonts w:ascii="Cambria Math" w:hAnsi="Cambria Math"/>
                                  <w:szCs w:val="21"/>
                                </w:rPr>
                              </m:ctrlPr>
                            </m:e>
                            <m:sub>
                              <m:r>
                                <m:rPr/>
                                <w:rPr>
                                  <w:rFonts w:ascii="Cambria Math" w:hAnsi="Cambria Math"/>
                                  <w:szCs w:val="21"/>
                                </w:rPr>
                                <m:t>i</m:t>
                              </m:r>
                              <m:ctrlPr>
                                <w:rPr>
                                  <w:rFonts w:ascii="Cambria Math" w:hAnsi="Cambria Math"/>
                                  <w:szCs w:val="21"/>
                                </w:rPr>
                              </m:ctrlPr>
                            </m:sub>
                          </m:sSub>
                          <m:r>
                            <m:rPr>
                              <m:sty m:val="p"/>
                            </m:rPr>
                            <w:rPr>
                              <w:rFonts w:ascii="Cambria Math" w:hAnsi="Cambria Math"/>
                              <w:szCs w:val="21"/>
                            </w:rPr>
                            <m:t>−</m:t>
                          </m:r>
                          <m:acc>
                            <m:accPr>
                              <m:chr m:val="̅"/>
                              <m:ctrlPr>
                                <w:rPr>
                                  <w:rFonts w:ascii="Cambria Math" w:hAnsi="Cambria Math"/>
                                  <w:szCs w:val="21"/>
                                </w:rPr>
                              </m:ctrlPr>
                            </m:accPr>
                            <m:e>
                              <m:r>
                                <m:rPr/>
                                <w:rPr>
                                  <w:rFonts w:ascii="Cambria Math" w:hAnsi="Cambria Math"/>
                                  <w:szCs w:val="21"/>
                                </w:rPr>
                                <m:t>g</m:t>
                              </m:r>
                              <m:ctrlPr>
                                <w:rPr>
                                  <w:rFonts w:ascii="Cambria Math" w:hAnsi="Cambria Math"/>
                                  <w:szCs w:val="21"/>
                                </w:rPr>
                              </m:ctrlPr>
                            </m:e>
                          </m:acc>
                          <m:r>
                            <m:rPr>
                              <m:sty m:val="p"/>
                            </m:rPr>
                            <w:rPr>
                              <w:rFonts w:ascii="Cambria Math" w:hAnsi="Cambria Math"/>
                              <w:szCs w:val="21"/>
                            </w:rPr>
                            <m:t>)</m:t>
                          </m:r>
                          <m:ctrlPr>
                            <w:rPr>
                              <w:rFonts w:ascii="Cambria Math" w:hAnsi="Cambria Math"/>
                              <w:szCs w:val="21"/>
                            </w:rPr>
                          </m:ctrlPr>
                        </m:e>
                        <m:sup>
                          <m:r>
                            <m:rPr>
                              <m:sty m:val="p"/>
                            </m:rPr>
                            <w:rPr>
                              <w:rFonts w:ascii="Cambria Math" w:hAnsi="Cambria Math"/>
                              <w:szCs w:val="21"/>
                            </w:rPr>
                            <m:t>2</m:t>
                          </m:r>
                          <m:ctrlPr>
                            <w:rPr>
                              <w:rFonts w:ascii="Cambria Math" w:hAnsi="Cambria Math"/>
                              <w:szCs w:val="21"/>
                            </w:rPr>
                          </m:ctrlPr>
                        </m:sup>
                      </m:sSup>
                      <m:ctrlPr>
                        <w:rPr>
                          <w:rFonts w:ascii="Cambria Math" w:hAnsi="Cambria Math"/>
                          <w:szCs w:val="21"/>
                        </w:rPr>
                      </m:ctrlPr>
                    </m:e>
                  </m:nary>
                  <m:ctrlPr>
                    <w:rPr>
                      <w:rFonts w:ascii="Cambria Math" w:hAnsi="Cambria Math"/>
                      <w:i/>
                      <w:szCs w:val="21"/>
                    </w:rPr>
                  </m:ctrlPr>
                </m:e>
              </m:rad>
              <m:rad>
                <m:radPr>
                  <m:degHide m:val="1"/>
                  <m:ctrlPr>
                    <w:rPr>
                      <w:rFonts w:ascii="Cambria Math" w:hAnsi="Cambria Math"/>
                      <w:i/>
                      <w:szCs w:val="21"/>
                    </w:rPr>
                  </m:ctrlPr>
                </m:radPr>
                <m:deg>
                  <m:ctrlPr>
                    <w:rPr>
                      <w:rFonts w:ascii="Cambria Math" w:hAnsi="Cambria Math"/>
                      <w:i/>
                      <w:szCs w:val="21"/>
                    </w:rPr>
                  </m:ctrlPr>
                </m:deg>
                <m:e>
                  <m:nary>
                    <m:naryPr>
                      <m:chr m:val="∑"/>
                      <m:limLoc m:val="subSup"/>
                      <m:ctrlPr>
                        <w:rPr>
                          <w:rFonts w:ascii="Cambria Math" w:hAnsi="Cambria Math"/>
                          <w:szCs w:val="21"/>
                        </w:rPr>
                      </m:ctrlPr>
                    </m:naryPr>
                    <m:sub>
                      <m:r>
                        <m:rPr/>
                        <w:rPr>
                          <w:rFonts w:ascii="Cambria Math" w:hAnsi="Cambria Math"/>
                          <w:szCs w:val="21"/>
                        </w:rPr>
                        <m:t>i</m:t>
                      </m:r>
                      <m:r>
                        <m:rPr>
                          <m:sty m:val="p"/>
                        </m:rPr>
                        <w:rPr>
                          <w:rFonts w:ascii="Cambria Math" w:hAnsi="Cambria Math"/>
                          <w:szCs w:val="21"/>
                        </w:rPr>
                        <m:t>=1</m:t>
                      </m:r>
                      <m:ctrlPr>
                        <w:rPr>
                          <w:rFonts w:ascii="Cambria Math" w:hAnsi="Cambria Math"/>
                          <w:szCs w:val="21"/>
                        </w:rPr>
                      </m:ctrlPr>
                    </m:sub>
                    <m:sup>
                      <m:r>
                        <m:rPr/>
                        <w:rPr>
                          <w:rFonts w:ascii="Cambria Math" w:hAnsi="Cambria Math"/>
                          <w:szCs w:val="21"/>
                        </w:rPr>
                        <m:t>n</m:t>
                      </m:r>
                      <m:ctrlPr>
                        <w:rPr>
                          <w:rFonts w:ascii="Cambria Math" w:hAnsi="Cambria Math"/>
                          <w:szCs w:val="21"/>
                        </w:rPr>
                      </m:ctrlPr>
                    </m:sup>
                    <m:e>
                      <m:r>
                        <m:rPr>
                          <m:sty m:val="p"/>
                        </m:rPr>
                        <w:rPr>
                          <w:rFonts w:ascii="Cambria Math" w:hAnsi="Cambria Math"/>
                          <w:szCs w:val="21"/>
                        </w:rPr>
                        <m:t>(</m:t>
                      </m:r>
                      <m:sSup>
                        <m:sSupPr>
                          <m:ctrlPr>
                            <w:rPr>
                              <w:rFonts w:ascii="Cambria Math" w:hAnsi="Cambria Math"/>
                              <w:szCs w:val="21"/>
                            </w:rPr>
                          </m:ctrlPr>
                        </m:sSupPr>
                        <m:e>
                          <m:sSub>
                            <m:sSubPr>
                              <m:ctrlPr>
                                <w:rPr>
                                  <w:rFonts w:ascii="Cambria Math" w:hAnsi="Cambria Math"/>
                                  <w:szCs w:val="21"/>
                                </w:rPr>
                              </m:ctrlPr>
                            </m:sSubPr>
                            <m:e>
                              <m:r>
                                <m:rPr/>
                                <w:rPr>
                                  <w:rFonts w:ascii="Cambria Math" w:hAnsi="Cambria Math"/>
                                  <w:szCs w:val="21"/>
                                </w:rPr>
                                <m:t>t</m:t>
                              </m:r>
                              <m:ctrlPr>
                                <w:rPr>
                                  <w:rFonts w:ascii="Cambria Math" w:hAnsi="Cambria Math"/>
                                  <w:szCs w:val="21"/>
                                </w:rPr>
                              </m:ctrlPr>
                            </m:e>
                            <m:sub>
                              <m:r>
                                <m:rPr/>
                                <w:rPr>
                                  <w:rFonts w:ascii="Cambria Math" w:hAnsi="Cambria Math"/>
                                  <w:szCs w:val="21"/>
                                </w:rPr>
                                <m:t>i</m:t>
                              </m:r>
                              <m:ctrlPr>
                                <w:rPr>
                                  <w:rFonts w:ascii="Cambria Math" w:hAnsi="Cambria Math"/>
                                  <w:szCs w:val="21"/>
                                </w:rPr>
                              </m:ctrlPr>
                            </m:sub>
                          </m:sSub>
                          <m:r>
                            <m:rPr>
                              <m:sty m:val="p"/>
                            </m:rPr>
                            <w:rPr>
                              <w:rFonts w:ascii="Cambria Math" w:hAnsi="Cambria Math"/>
                              <w:szCs w:val="21"/>
                            </w:rPr>
                            <m:t>−</m:t>
                          </m:r>
                          <m:acc>
                            <m:accPr>
                              <m:chr m:val="̅"/>
                              <m:ctrlPr>
                                <w:rPr>
                                  <w:rFonts w:ascii="Cambria Math" w:hAnsi="Cambria Math"/>
                                  <w:szCs w:val="21"/>
                                </w:rPr>
                              </m:ctrlPr>
                            </m:accPr>
                            <m:e>
                              <m:r>
                                <m:rPr/>
                                <w:rPr>
                                  <w:rFonts w:ascii="Cambria Math" w:hAnsi="Cambria Math"/>
                                  <w:szCs w:val="21"/>
                                </w:rPr>
                                <m:t>t</m:t>
                              </m:r>
                              <m:ctrlPr>
                                <w:rPr>
                                  <w:rFonts w:ascii="Cambria Math" w:hAnsi="Cambria Math"/>
                                  <w:szCs w:val="21"/>
                                </w:rPr>
                              </m:ctrlPr>
                            </m:e>
                          </m:acc>
                          <m:r>
                            <m:rPr>
                              <m:sty m:val="p"/>
                            </m:rPr>
                            <w:rPr>
                              <w:rFonts w:ascii="Cambria Math" w:hAnsi="Cambria Math"/>
                              <w:szCs w:val="21"/>
                            </w:rPr>
                            <m:t>)</m:t>
                          </m:r>
                          <m:ctrlPr>
                            <w:rPr>
                              <w:rFonts w:ascii="Cambria Math" w:hAnsi="Cambria Math"/>
                              <w:szCs w:val="21"/>
                            </w:rPr>
                          </m:ctrlPr>
                        </m:e>
                        <m:sup>
                          <m:r>
                            <m:rPr>
                              <m:sty m:val="p"/>
                            </m:rPr>
                            <w:rPr>
                              <w:rFonts w:ascii="Cambria Math" w:hAnsi="Cambria Math"/>
                              <w:szCs w:val="21"/>
                            </w:rPr>
                            <m:t>2</m:t>
                          </m:r>
                          <m:ctrlPr>
                            <w:rPr>
                              <w:rFonts w:ascii="Cambria Math" w:hAnsi="Cambria Math"/>
                              <w:szCs w:val="21"/>
                            </w:rPr>
                          </m:ctrlPr>
                        </m:sup>
                      </m:sSup>
                      <m:ctrlPr>
                        <w:rPr>
                          <w:rFonts w:ascii="Cambria Math" w:hAnsi="Cambria Math"/>
                          <w:szCs w:val="21"/>
                        </w:rPr>
                      </m:ctrlPr>
                    </m:e>
                  </m:nary>
                  <m:ctrlPr>
                    <w:rPr>
                      <w:rFonts w:ascii="Cambria Math" w:hAnsi="Cambria Math"/>
                      <w:i/>
                      <w:szCs w:val="21"/>
                    </w:rPr>
                  </m:ctrlPr>
                </m:e>
              </m:rad>
              <m:ctrlPr>
                <w:rPr>
                  <w:rFonts w:ascii="Cambria Math" w:hAnsi="Cambria Math"/>
                  <w:szCs w:val="21"/>
                </w:rPr>
              </m:ctrlPr>
            </m:den>
          </m:f>
        </m:oMath>
      </m:oMathPara>
    </w:p>
    <w:p w14:paraId="6A1BF246">
      <w:pPr>
        <w:pStyle w:val="60"/>
        <w:ind w:firstLine="420"/>
      </w:pPr>
      <w:r>
        <w:rPr>
          <w:rFonts w:hint="eastAsia"/>
        </w:rPr>
        <w:t>式中：</w:t>
      </w:r>
    </w:p>
    <w:p w14:paraId="77DBD42C">
      <w:pPr>
        <w:pStyle w:val="61"/>
        <w:ind w:firstLine="420"/>
        <w:rPr>
          <w:rFonts w:hint="eastAsia"/>
        </w:rPr>
      </w:pPr>
      <w:r>
        <w:rPr>
          <w:rFonts w:hint="default" w:ascii="Times New Roman"/>
        </w:rPr>
        <w:t>t</w:t>
      </w:r>
      <w:r>
        <w:rPr>
          <w:rFonts w:ascii="Times New Roman"/>
          <w:vertAlign w:val="subscript"/>
        </w:rPr>
        <w:t>i</w:t>
      </w:r>
      <w:r>
        <w:rPr>
          <w:rFonts w:hint="eastAsia"/>
        </w:rPr>
        <w:t>为</w:t>
      </w:r>
      <w:r>
        <w:rPr>
          <w:rFonts w:ascii="Times New Roman"/>
        </w:rPr>
        <w:t>g</w:t>
      </w:r>
      <w:r>
        <w:rPr>
          <w:rFonts w:ascii="Times New Roman"/>
          <w:vertAlign w:val="subscript"/>
        </w:rPr>
        <w:t>i</w:t>
      </w:r>
      <w:r>
        <w:rPr>
          <w:rFonts w:hint="eastAsia" w:ascii="宋体"/>
          <w:vertAlign w:val="baseline"/>
        </w:rPr>
        <w:t>观测</w:t>
      </w:r>
      <w:r>
        <w:rPr>
          <w:rFonts w:hint="eastAsia"/>
        </w:rPr>
        <w:t>时刻，</w:t>
      </w:r>
      <m:oMath>
        <m:acc>
          <m:accPr>
            <m:chr m:val="̅"/>
            <m:ctrlPr>
              <w:rPr>
                <w:rFonts w:ascii="Cambria Math" w:hAnsi="Cambria Math"/>
              </w:rPr>
            </m:ctrlPr>
          </m:accPr>
          <m:e>
            <m:r>
              <m:rPr>
                <m:sty m:val="p"/>
              </m:rPr>
              <w:rPr>
                <w:rFonts w:ascii="Cambria Math" w:hAnsi="Cambria Math"/>
              </w:rPr>
              <m:t>t</m:t>
            </m:r>
            <m:ctrlPr>
              <w:rPr>
                <w:rFonts w:ascii="Cambria Math" w:hAnsi="Cambria Math"/>
              </w:rPr>
            </m:ctrlPr>
          </m:e>
        </m:acc>
        <m:r>
          <m:rPr>
            <m:sty m:val="p"/>
          </m:rPr>
          <w:rPr>
            <w:rFonts w:ascii="Cambria Math" w:hAnsi="Cambria Math"/>
          </w:rPr>
          <m:t>=</m:t>
        </m:r>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n</m:t>
            </m:r>
            <m:ctrlPr>
              <w:rPr>
                <w:rFonts w:ascii="Cambria Math" w:hAnsi="Cambria Math"/>
              </w:rPr>
            </m:ctrlPr>
          </m:den>
        </m:f>
        <m:nary>
          <m:naryPr>
            <m:chr m:val="∑"/>
            <m:limLoc m:val="subSup"/>
            <m:ctrlPr>
              <w:rPr>
                <w:rFonts w:ascii="Cambria Math" w:hAnsi="Cambria Math"/>
              </w:rPr>
            </m:ctrlPr>
          </m:naryPr>
          <m:sub>
            <m:r>
              <m:rPr>
                <m:sty m:val="p"/>
              </m:rPr>
              <w:rPr>
                <w:rFonts w:ascii="Cambria Math" w:hAnsi="Cambria Math"/>
              </w:rPr>
              <m:t>i=1</m:t>
            </m:r>
            <m:ctrlPr>
              <w:rPr>
                <w:rFonts w:ascii="Cambria Math" w:hAnsi="Cambria Math"/>
              </w:rPr>
            </m:ctrlPr>
          </m:sub>
          <m:sup>
            <m:r>
              <m:rPr>
                <m:sty m:val="p"/>
              </m:rPr>
              <w:rPr>
                <w:rFonts w:ascii="Cambria Math" w:hAnsi="Cambria Math"/>
              </w:rPr>
              <m:t>n</m:t>
            </m:r>
            <m:ctrlPr>
              <w:rPr>
                <w:rFonts w:ascii="Cambria Math" w:hAnsi="Cambria Math"/>
              </w:rPr>
            </m:ctrlPr>
          </m:sup>
          <m:e>
            <m:sSub>
              <m:sSubPr>
                <m:ctrlPr>
                  <w:rPr>
                    <w:rFonts w:ascii="Cambria Math" w:hAnsi="Cambria Math"/>
                  </w:rPr>
                </m:ctrlPr>
              </m:sSubPr>
              <m:e>
                <m:r>
                  <m:rPr>
                    <m:sty m:val="p"/>
                  </m:rPr>
                  <w:rPr>
                    <w:rFonts w:ascii="Cambria Math" w:hAnsi="Cambria Math"/>
                  </w:rPr>
                  <m:t>t</m:t>
                </m:r>
                <m:ctrlPr>
                  <w:rPr>
                    <w:rFonts w:ascii="Cambria Math" w:hAnsi="Cambria Math"/>
                  </w:rPr>
                </m:ctrlPr>
              </m:e>
              <m:sub>
                <m:r>
                  <m:rPr>
                    <m:sty m:val="p"/>
                  </m:rPr>
                  <w:rPr>
                    <w:rFonts w:ascii="Cambria Math" w:hAnsi="Cambria Math"/>
                  </w:rPr>
                  <m:t>i</m:t>
                </m:r>
                <m:ctrlPr>
                  <w:rPr>
                    <w:rFonts w:ascii="Cambria Math" w:hAnsi="Cambria Math"/>
                  </w:rPr>
                </m:ctrlPr>
              </m:sub>
            </m:sSub>
            <m:ctrlPr>
              <w:rPr>
                <w:rFonts w:ascii="Cambria Math" w:hAnsi="Cambria Math"/>
              </w:rPr>
            </m:ctrlPr>
          </m:e>
        </m:nary>
      </m:oMath>
      <w:r>
        <w:rPr>
          <w:rFonts w:hint="eastAsia"/>
        </w:rPr>
        <w:t>。</w:t>
      </w:r>
    </w:p>
    <w:p w14:paraId="1153C16D">
      <w:pPr>
        <w:pStyle w:val="110"/>
        <w:spacing w:before="120" w:after="120"/>
        <w:rPr>
          <w:szCs w:val="21"/>
        </w:rPr>
      </w:pPr>
      <w:bookmarkStart w:id="93" w:name="_Toc11202"/>
      <w:r>
        <w:rPr>
          <w:rFonts w:hint="eastAsia"/>
          <w:szCs w:val="21"/>
        </w:rPr>
        <w:t>断电复现性</w:t>
      </w:r>
      <w:bookmarkEnd w:id="93"/>
    </w:p>
    <w:p w14:paraId="55301F54">
      <w:pPr>
        <w:pStyle w:val="70"/>
        <w:spacing w:before="120" w:after="120"/>
        <w:rPr>
          <w:szCs w:val="21"/>
        </w:rPr>
      </w:pPr>
      <w:r>
        <w:rPr>
          <w:rFonts w:hint="eastAsia"/>
          <w:szCs w:val="21"/>
        </w:rPr>
        <w:t>测试目的</w:t>
      </w:r>
    </w:p>
    <w:p w14:paraId="322EC437">
      <w:pPr>
        <w:pStyle w:val="61"/>
        <w:ind w:firstLine="420"/>
      </w:pPr>
      <w:r>
        <w:rPr>
          <w:rFonts w:hint="eastAsia"/>
        </w:rPr>
        <w:t>考核</w:t>
      </w:r>
      <w:r>
        <w:t>被试</w:t>
      </w:r>
      <w:r>
        <w:rPr>
          <w:rFonts w:hint="eastAsia"/>
        </w:rPr>
        <w:t>设备在经历断电后重力测值是否连续。</w:t>
      </w:r>
    </w:p>
    <w:p w14:paraId="472A3EA2">
      <w:pPr>
        <w:pStyle w:val="70"/>
        <w:spacing w:before="120" w:after="120"/>
        <w:rPr>
          <w:szCs w:val="21"/>
        </w:rPr>
      </w:pPr>
      <w:r>
        <w:rPr>
          <w:rFonts w:hint="eastAsia"/>
          <w:szCs w:val="21"/>
        </w:rPr>
        <w:t>测试方法</w:t>
      </w:r>
    </w:p>
    <w:p w14:paraId="3AB19FB9">
      <w:pPr>
        <w:pStyle w:val="179"/>
        <w:numPr>
          <w:ilvl w:val="0"/>
          <w:numId w:val="44"/>
        </w:numPr>
      </w:pPr>
      <w:r>
        <w:t>将被试</w:t>
      </w:r>
      <w:r>
        <w:rPr>
          <w:rFonts w:hint="eastAsia"/>
        </w:rPr>
        <w:t>设备放置在地质结构稳定的测试点位处并安装调试，充分预热后，启动重力加速度测量</w:t>
      </w:r>
      <w:r>
        <w:t>；</w:t>
      </w:r>
    </w:p>
    <w:p w14:paraId="4B495200">
      <w:pPr>
        <w:pStyle w:val="179"/>
        <w:numPr>
          <w:ilvl w:val="0"/>
          <w:numId w:val="44"/>
        </w:numPr>
      </w:pPr>
      <w:r>
        <w:rPr>
          <w:rFonts w:hint="eastAsia"/>
        </w:rPr>
        <w:t>将观测数据进行固体潮、海潮负荷、极移、气压等环境因素改正，系统偏置项扣除后得到重力加速度观测值；</w:t>
      </w:r>
    </w:p>
    <w:p w14:paraId="56DBA304">
      <w:pPr>
        <w:pStyle w:val="179"/>
        <w:numPr>
          <w:ilvl w:val="0"/>
          <w:numId w:val="44"/>
        </w:numPr>
      </w:pPr>
      <w:r>
        <w:rPr>
          <w:rFonts w:hint="eastAsia"/>
        </w:rPr>
        <w:t>根据被试设备的具体性能确定连续观测时长，根据拉依达准则（</w:t>
      </w:r>
      <w:r>
        <w:t>3</w:t>
      </w:r>
      <w:r>
        <w:rPr>
          <w:rFonts w:ascii="Cambria Math" w:hAnsi="Cambria Math" w:cs="Cambria Math"/>
        </w:rPr>
        <w:t>𝜎</w:t>
      </w:r>
      <w:r>
        <w:rPr>
          <w:rFonts w:hint="eastAsia"/>
        </w:rPr>
        <w:t>准则）剔除异常值后，该次观测的重力加速度平均值</w:t>
      </w:r>
      <w:r>
        <w:t>记为</w:t>
      </w:r>
      <m:oMath>
        <m:sSub>
          <m:sSubPr>
            <m:ctrlPr>
              <w:rPr>
                <w:rFonts w:ascii="Cambria Math" w:hAnsi="Cambria Math"/>
                <w:i/>
              </w:rPr>
            </m:ctrlPr>
          </m:sSubPr>
          <m:e>
            <m:acc>
              <m:accPr>
                <m:chr m:val="̃"/>
                <m:ctrlPr>
                  <w:rPr>
                    <w:rFonts w:ascii="Cambria Math" w:hAnsi="Cambria Math"/>
                    <w:i/>
                  </w:rPr>
                </m:ctrlPr>
              </m:accPr>
              <m:e>
                <m:r>
                  <m:rPr/>
                  <w:rPr>
                    <w:rFonts w:ascii="Cambria Math" w:hAnsi="Cambria Math"/>
                  </w:rPr>
                  <m:t>g</m:t>
                </m:r>
                <m:ctrlPr>
                  <w:rPr>
                    <w:rFonts w:ascii="Cambria Math" w:hAnsi="Cambria Math"/>
                    <w:i/>
                  </w:rPr>
                </m:ctrlPr>
              </m:e>
            </m:acc>
            <m:ctrlPr>
              <w:rPr>
                <w:rFonts w:ascii="Cambria Math" w:hAnsi="Cambria Math"/>
                <w:i/>
              </w:rPr>
            </m:ctrlPr>
          </m:e>
          <m:sub>
            <m:r>
              <m:rPr/>
              <w:rPr>
                <w:rFonts w:ascii="Cambria Math" w:hAnsi="Cambria Math"/>
              </w:rPr>
              <m:t>1</m:t>
            </m:r>
            <m:ctrlPr>
              <w:rPr>
                <w:rFonts w:ascii="Cambria Math" w:hAnsi="Cambria Math"/>
                <w:i/>
              </w:rPr>
            </m:ctrlPr>
          </m:sub>
        </m:sSub>
      </m:oMath>
      <w:r>
        <w:rPr>
          <w:rFonts w:hint="eastAsia"/>
        </w:rPr>
        <w:t>；</w:t>
      </w:r>
    </w:p>
    <w:p w14:paraId="4309A233">
      <w:pPr>
        <w:pStyle w:val="179"/>
        <w:numPr>
          <w:ilvl w:val="0"/>
          <w:numId w:val="44"/>
        </w:numPr>
      </w:pPr>
      <w:r>
        <w:rPr>
          <w:rFonts w:hint="eastAsia"/>
        </w:rPr>
        <w:t>将被试设备正常断电并完全冷却；</w:t>
      </w:r>
    </w:p>
    <w:p w14:paraId="63A05EE2">
      <w:pPr>
        <w:pStyle w:val="179"/>
        <w:numPr>
          <w:ilvl w:val="0"/>
          <w:numId w:val="44"/>
        </w:numPr>
      </w:pPr>
      <w:r>
        <w:rPr>
          <w:rFonts w:hint="eastAsia"/>
        </w:rPr>
        <w:t>将被试设备重新上电并充分预热稳定后进行重力观测，观测时长与c）保持一致，该次观测的重力加速度平均值</w:t>
      </w:r>
      <w:r>
        <w:t>记为</w:t>
      </w:r>
      <m:oMath>
        <m:sSub>
          <m:sSubPr>
            <m:ctrlPr>
              <w:rPr>
                <w:rFonts w:ascii="Cambria Math" w:hAnsi="Cambria Math"/>
                <w:i/>
              </w:rPr>
            </m:ctrlPr>
          </m:sSubPr>
          <m:e>
            <m:acc>
              <m:accPr>
                <m:chr m:val="̃"/>
                <m:ctrlPr>
                  <w:rPr>
                    <w:rFonts w:ascii="Cambria Math" w:hAnsi="Cambria Math"/>
                    <w:i/>
                  </w:rPr>
                </m:ctrlPr>
              </m:accPr>
              <m:e>
                <m:r>
                  <m:rPr/>
                  <w:rPr>
                    <w:rFonts w:ascii="Cambria Math" w:hAnsi="Cambria Math"/>
                  </w:rPr>
                  <m:t>g</m:t>
                </m:r>
                <m:ctrlPr>
                  <w:rPr>
                    <w:rFonts w:ascii="Cambria Math" w:hAnsi="Cambria Math"/>
                    <w:i/>
                  </w:rPr>
                </m:ctrlPr>
              </m:e>
            </m:acc>
            <m:ctrlPr>
              <w:rPr>
                <w:rFonts w:ascii="Cambria Math" w:hAnsi="Cambria Math"/>
                <w:i/>
              </w:rPr>
            </m:ctrlPr>
          </m:e>
          <m:sub>
            <m:r>
              <m:rPr/>
              <w:rPr>
                <w:rFonts w:ascii="Cambria Math" w:hAnsi="Cambria Math"/>
              </w:rPr>
              <m:t>2</m:t>
            </m:r>
            <m:ctrlPr>
              <w:rPr>
                <w:rFonts w:ascii="Cambria Math" w:hAnsi="Cambria Math"/>
                <w:i/>
              </w:rPr>
            </m:ctrlPr>
          </m:sub>
        </m:sSub>
      </m:oMath>
      <w:r>
        <w:rPr>
          <w:rFonts w:hint="eastAsia"/>
        </w:rPr>
        <w:t>（可根据需要重新标校参数和系统偏置）；</w:t>
      </w:r>
    </w:p>
    <w:p w14:paraId="1A64F492">
      <w:pPr>
        <w:pStyle w:val="179"/>
        <w:numPr>
          <w:ilvl w:val="0"/>
          <w:numId w:val="44"/>
        </w:numPr>
      </w:pPr>
      <w:r>
        <w:rPr>
          <w:rFonts w:hint="eastAsia"/>
        </w:rPr>
        <w:t>重复d）～e），至少进行两次断电操作；</w:t>
      </w:r>
    </w:p>
    <w:p w14:paraId="2E07512B">
      <w:pPr>
        <w:pStyle w:val="179"/>
        <w:numPr>
          <w:ilvl w:val="0"/>
          <w:numId w:val="44"/>
        </w:numPr>
      </w:pPr>
      <w:r>
        <w:rPr>
          <w:rFonts w:hint="eastAsia"/>
        </w:rPr>
        <w:t>根据如下公式计算被试设备的断电复现性：</w:t>
      </w:r>
    </w:p>
    <w:p w14:paraId="69C1A713">
      <w:pPr>
        <w:pStyle w:val="118"/>
        <w:ind w:firstLine="4830" w:firstLineChars="2300"/>
        <w:rPr>
          <w:rFonts w:hint="eastAsia"/>
        </w:rPr>
      </w:pPr>
      <m:oMath>
        <m:r>
          <m:rPr/>
          <w:rPr>
            <w:rFonts w:ascii="Cambria Math" w:hAnsi="Cambria Math"/>
          </w:rPr>
          <m:t>ε</m:t>
        </m:r>
        <m:r>
          <m:rPr>
            <m:sty m:val="p"/>
          </m:rPr>
          <w:rPr>
            <w:rFonts w:ascii="Cambria Math" w:hAnsi="Cambria Math"/>
          </w:rPr>
          <m:t>=</m:t>
        </m:r>
        <m:rad>
          <m:radPr>
            <m:degHide m:val="1"/>
            <m:ctrlPr>
              <w:rPr>
                <w:rFonts w:ascii="Cambria Math" w:hAnsi="Cambria Math"/>
              </w:rPr>
            </m:ctrlPr>
          </m:radPr>
          <m:deg>
            <m:ctrlPr>
              <w:rPr>
                <w:rFonts w:ascii="Cambria Math" w:hAnsi="Cambria Math"/>
              </w:rPr>
            </m:ctrlPr>
          </m:deg>
          <m:e>
            <m:f>
              <m:fPr>
                <m:ctrlPr>
                  <w:rPr>
                    <w:rFonts w:ascii="Cambria Math" w:hAnsi="Cambria Math"/>
                  </w:rPr>
                </m:ctrlPr>
              </m:fPr>
              <m:num>
                <m:nary>
                  <m:naryPr>
                    <m:chr m:val="∑"/>
                    <m:limLoc m:val="subSup"/>
                    <m:ctrlPr>
                      <w:rPr>
                        <w:rFonts w:ascii="Cambria Math" w:hAnsi="Cambria Math"/>
                      </w:rPr>
                    </m:ctrlPr>
                  </m:naryPr>
                  <m:sub>
                    <m:r>
                      <m:rPr/>
                      <w:rPr>
                        <w:rFonts w:ascii="Cambria Math" w:hAnsi="Cambria Math"/>
                      </w:rPr>
                      <m:t>i</m:t>
                    </m:r>
                    <m:r>
                      <m:rPr>
                        <m:sty m:val="p"/>
                      </m:rPr>
                      <w:rPr>
                        <w:rFonts w:ascii="Cambria Math" w:hAnsi="Cambria Math"/>
                      </w:rPr>
                      <m:t>=1</m:t>
                    </m:r>
                    <m:ctrlPr>
                      <w:rPr>
                        <w:rFonts w:ascii="Cambria Math" w:hAnsi="Cambria Math"/>
                      </w:rPr>
                    </m:ctrlPr>
                  </m:sub>
                  <m:sup>
                    <m:r>
                      <m:rPr/>
                      <w:rPr>
                        <w:rFonts w:hint="eastAsia" w:ascii="Cambria Math" w:hAnsi="Cambria Math"/>
                      </w:rPr>
                      <m:t>s</m:t>
                    </m:r>
                    <m:r>
                      <m:rPr>
                        <m:sty m:val="p"/>
                      </m:rPr>
                      <w:rPr>
                        <w:rFonts w:ascii="Cambria Math" w:hAnsi="Cambria Math"/>
                      </w:rPr>
                      <m:t>+1</m:t>
                    </m:r>
                    <m:ctrlPr>
                      <w:rPr>
                        <w:rFonts w:ascii="Cambria Math" w:hAnsi="Cambria Math"/>
                      </w:rPr>
                    </m:ctrlPr>
                  </m:sup>
                  <m:e>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sSub>
                              <m:sSubPr>
                                <m:ctrlPr>
                                  <w:rPr>
                                    <w:rFonts w:ascii="Cambria Math" w:hAnsi="Cambria Math"/>
                                  </w:rPr>
                                </m:ctrlPr>
                              </m:sSubPr>
                              <m:e>
                                <m:r>
                                  <m:rPr/>
                                  <w:rPr>
                                    <w:rFonts w:ascii="Cambria Math" w:hAnsi="Cambria Math"/>
                                  </w:rPr>
                                  <m:t>g</m:t>
                                </m:r>
                                <m:ctrlPr>
                                  <w:rPr>
                                    <w:rFonts w:ascii="Cambria Math" w:hAnsi="Cambria Math"/>
                                  </w:rPr>
                                </m:ctrlPr>
                              </m:e>
                              <m:sub>
                                <m:r>
                                  <m:rPr/>
                                  <w:rPr>
                                    <w:rFonts w:hint="eastAsia" w:ascii="Cambria Math" w:hAnsi="Cambria Math"/>
                                  </w:rPr>
                                  <m:t>i</m:t>
                                </m:r>
                                <m:ctrlPr>
                                  <w:rPr>
                                    <w:rFonts w:ascii="Cambria Math" w:hAnsi="Cambria Math"/>
                                  </w:rPr>
                                </m:ctrlPr>
                              </m:sub>
                            </m:sSub>
                            <m:ctrlPr>
                              <w:rPr>
                                <w:rFonts w:ascii="Cambria Math" w:hAnsi="Cambria Math"/>
                              </w:rPr>
                            </m:ctrlPr>
                          </m:e>
                        </m:acc>
                        <m:r>
                          <m:rPr>
                            <m:sty m:val="p"/>
                          </m:rPr>
                          <w:rPr>
                            <w:rFonts w:ascii="Cambria Math" w:hAnsi="Cambria Math"/>
                          </w:rPr>
                          <m:t>−</m:t>
                        </m:r>
                        <m:acc>
                          <m:accPr>
                            <m:chr m:val="̅"/>
                            <m:ctrlPr>
                              <w:rPr>
                                <w:rFonts w:ascii="Cambria Math" w:hAnsi="Cambria Math"/>
                              </w:rPr>
                            </m:ctrlPr>
                          </m:accPr>
                          <m:e>
                            <m:r>
                              <m:rPr/>
                              <w:rPr>
                                <w:rFonts w:ascii="Cambria Math" w:hAnsi="Cambria Math"/>
                              </w:rPr>
                              <m:t>g</m:t>
                            </m:r>
                            <m:ctrlPr>
                              <w:rPr>
                                <w:rFonts w:ascii="Cambria Math" w:hAnsi="Cambria Math"/>
                              </w:rPr>
                            </m:ctrlPr>
                          </m:e>
                        </m:acc>
                        <m:r>
                          <m:rPr>
                            <m:sty m:val="p"/>
                          </m:rPr>
                          <w:rPr>
                            <w:rFonts w:ascii="Cambria Math" w:hAnsi="Cambria Math"/>
                          </w:rPr>
                          <m:t>)</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e>
                </m:nary>
                <m:ctrlPr>
                  <w:rPr>
                    <w:rFonts w:ascii="Cambria Math" w:hAnsi="Cambria Math"/>
                  </w:rPr>
                </m:ctrlPr>
              </m:num>
              <m:den>
                <m:r>
                  <m:rPr/>
                  <w:rPr>
                    <w:rFonts w:hint="eastAsia" w:ascii="Cambria Math" w:hAnsi="Cambria Math"/>
                  </w:rPr>
                  <m:t>s</m:t>
                </m:r>
                <m:ctrlPr>
                  <w:rPr>
                    <w:rFonts w:ascii="Cambria Math" w:hAnsi="Cambria Math"/>
                  </w:rPr>
                </m:ctrlPr>
              </m:den>
            </m:f>
            <m:ctrlPr>
              <w:rPr>
                <w:rFonts w:ascii="Cambria Math" w:hAnsi="Cambria Math"/>
              </w:rPr>
            </m:ctrlPr>
          </m:e>
        </m:rad>
      </m:oMath>
      <w:r>
        <w:rPr>
          <w:rFonts w:hint="eastAsia" w:ascii="微软雅黑" w:hAnsi="微软雅黑" w:eastAsia="微软雅黑"/>
        </w:rPr>
        <w:t>........................................................</w:t>
      </w:r>
      <w:r>
        <w:rPr>
          <w:rFonts w:hint="eastAsia"/>
        </w:rPr>
        <w:t>（3）</w:t>
      </w:r>
    </w:p>
    <w:p w14:paraId="4533768B">
      <w:pPr>
        <w:pStyle w:val="61"/>
        <w:ind w:firstLine="420"/>
      </w:pPr>
    </w:p>
    <w:p w14:paraId="625788E3">
      <w:pPr>
        <w:pStyle w:val="60"/>
        <w:ind w:firstLine="420"/>
      </w:pPr>
      <w:r>
        <w:rPr>
          <w:rFonts w:hint="eastAsia"/>
        </w:rPr>
        <w:t>式中：</w:t>
      </w:r>
    </w:p>
    <w:p w14:paraId="532B56DD">
      <w:pPr>
        <w:pStyle w:val="61"/>
        <w:ind w:firstLine="420"/>
      </w:pPr>
      <m:oMath>
        <m:r>
          <m:rPr/>
          <w:rPr>
            <w:rFonts w:ascii="Cambria Math" w:hAnsi="Cambria Math"/>
          </w:rPr>
          <m:t>ε</m:t>
        </m:r>
      </m:oMath>
      <w:r>
        <w:rPr>
          <w:rFonts w:hint="eastAsia"/>
        </w:rPr>
        <w:t>——断电复现性的表征参数。</w:t>
      </w:r>
    </w:p>
    <w:p w14:paraId="40B0336D">
      <w:pPr>
        <w:pStyle w:val="61"/>
        <w:ind w:firstLine="420"/>
        <w:rPr>
          <w:rFonts w:ascii="Times New Roman"/>
        </w:rPr>
      </w:pPr>
      <m:oMath>
        <m:acc>
          <m:accPr>
            <m:chr m:val="̅"/>
            <m:ctrlPr>
              <w:rPr>
                <w:rFonts w:ascii="Cambria Math" w:hAnsi="Cambria Math"/>
              </w:rPr>
            </m:ctrlPr>
          </m:accPr>
          <m:e>
            <m:r>
              <m:rPr>
                <m:sty m:val="p"/>
              </m:rPr>
              <w:rPr>
                <w:rFonts w:ascii="Cambria Math" w:hAnsi="Cambria Math"/>
              </w:rPr>
              <m:t>g</m:t>
            </m:r>
            <m:ctrlPr>
              <w:rPr>
                <w:rFonts w:ascii="Cambria Math" w:hAnsi="Cambria Math"/>
              </w:rPr>
            </m:ctrlPr>
          </m:e>
        </m:acc>
        <m:r>
          <m:rPr>
            <m:sty m:val="p"/>
          </m:rPr>
          <w:rPr>
            <w:rFonts w:ascii="Cambria Math" w:hAnsi="Cambria Math"/>
          </w:rPr>
          <m:t>=</m:t>
        </m:r>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hint="eastAsia" w:ascii="Cambria Math" w:hAnsi="Cambria Math"/>
              </w:rPr>
              <m:t>s</m:t>
            </m:r>
            <m:r>
              <m:rPr>
                <m:sty m:val="p"/>
              </m:rPr>
              <w:rPr>
                <w:rFonts w:ascii="Cambria Math" w:hAnsi="Cambria Math"/>
              </w:rPr>
              <m:t>+</m:t>
            </m:r>
            <m:r>
              <m:rPr/>
              <w:rPr>
                <w:rFonts w:ascii="Cambria Math" w:hAnsi="Cambria Math"/>
              </w:rPr>
              <m:t>1</m:t>
            </m:r>
            <m:ctrlPr>
              <w:rPr>
                <w:rFonts w:ascii="Cambria Math" w:hAnsi="Cambria Math"/>
              </w:rPr>
            </m:ctrlPr>
          </m:den>
        </m:f>
        <m:nary>
          <m:naryPr>
            <m:chr m:val="∑"/>
            <m:limLoc m:val="subSup"/>
            <m:ctrlPr>
              <w:rPr>
                <w:rFonts w:ascii="Cambria Math" w:hAnsi="Cambria Math"/>
              </w:rPr>
            </m:ctrlPr>
          </m:naryPr>
          <m:sub>
            <m:r>
              <m:rPr>
                <m:sty m:val="p"/>
              </m:rPr>
              <w:rPr>
                <w:rFonts w:ascii="Cambria Math" w:hAnsi="Cambria Math"/>
              </w:rPr>
              <m:t>i=1</m:t>
            </m:r>
            <m:ctrlPr>
              <w:rPr>
                <w:rFonts w:ascii="Cambria Math" w:hAnsi="Cambria Math"/>
              </w:rPr>
            </m:ctrlPr>
          </m:sub>
          <m:sup>
            <m:r>
              <m:rPr>
                <m:sty m:val="p"/>
              </m:rPr>
              <w:rPr>
                <w:rFonts w:hint="eastAsia" w:ascii="Cambria Math" w:hAnsi="Cambria Math"/>
              </w:rPr>
              <m:t>s+1</m:t>
            </m:r>
            <m:ctrlPr>
              <w:rPr>
                <w:rFonts w:ascii="Cambria Math" w:hAnsi="Cambria Math"/>
              </w:rPr>
            </m:ctrlPr>
          </m:sup>
          <m:e>
            <m:acc>
              <m:accPr>
                <m:chr m:val="̃"/>
                <m:ctrlPr>
                  <w:rPr>
                    <w:rFonts w:ascii="Cambria Math" w:hAnsi="Cambria Math"/>
                  </w:rPr>
                </m:ctrlPr>
              </m:accPr>
              <m:e>
                <m:sSub>
                  <m:sSubPr>
                    <m:ctrlPr>
                      <w:rPr>
                        <w:rFonts w:ascii="Cambria Math" w:hAnsi="Cambria Math"/>
                        <w:i/>
                      </w:rPr>
                    </m:ctrlPr>
                  </m:sSubPr>
                  <m:e>
                    <m:r>
                      <m:rPr/>
                      <w:rPr>
                        <w:rFonts w:hint="eastAsia" w:ascii="Cambria Math" w:hAnsi="Cambria Math"/>
                      </w:rPr>
                      <m:t>g</m:t>
                    </m:r>
                    <m:ctrlPr>
                      <w:rPr>
                        <w:rFonts w:ascii="Cambria Math" w:hAnsi="Cambria Math"/>
                        <w:i/>
                      </w:rPr>
                    </m:ctrlPr>
                  </m:e>
                  <m:sub>
                    <m:r>
                      <m:rPr/>
                      <w:rPr>
                        <w:rFonts w:hint="eastAsia" w:ascii="Cambria Math" w:hAnsi="Cambria Math"/>
                      </w:rPr>
                      <m:t>i</m:t>
                    </m:r>
                    <m:ctrlPr>
                      <w:rPr>
                        <w:rFonts w:ascii="Cambria Math" w:hAnsi="Cambria Math"/>
                        <w:i/>
                      </w:rPr>
                    </m:ctrlPr>
                  </m:sub>
                </m:sSub>
                <m:ctrlPr>
                  <w:rPr>
                    <w:rFonts w:ascii="Cambria Math" w:hAnsi="Cambria Math"/>
                  </w:rPr>
                </m:ctrlPr>
              </m:e>
            </m:acc>
            <m:ctrlPr>
              <w:rPr>
                <w:rFonts w:ascii="Cambria Math" w:hAnsi="Cambria Math"/>
              </w:rPr>
            </m:ctrlPr>
          </m:e>
        </m:nary>
      </m:oMath>
      <w:r>
        <w:rPr>
          <w:rFonts w:hint="eastAsia" w:ascii="Times New Roman"/>
        </w:rPr>
        <w:t>。</w:t>
      </w:r>
    </w:p>
    <w:p w14:paraId="42B1BFF4">
      <w:pPr>
        <w:pStyle w:val="61"/>
        <w:ind w:firstLine="420"/>
        <w:rPr>
          <w:rFonts w:cs="Cambria Math"/>
        </w:rPr>
      </w:pPr>
      <w:r>
        <w:rPr>
          <w:rFonts w:hint="eastAsia"/>
        </w:rPr>
        <w:t>s——断电次数</w:t>
      </w:r>
      <w:r>
        <w:rPr>
          <w:rFonts w:hint="eastAsia" w:cs="Cambria Math"/>
        </w:rPr>
        <w:t>。</w:t>
      </w:r>
    </w:p>
    <w:p w14:paraId="381DC7F0">
      <w:pPr>
        <w:pStyle w:val="110"/>
        <w:spacing w:before="120" w:after="120"/>
        <w:rPr>
          <w:szCs w:val="21"/>
        </w:rPr>
      </w:pPr>
      <w:bookmarkStart w:id="94" w:name="_Toc4330"/>
      <w:r>
        <w:rPr>
          <w:rFonts w:hint="eastAsia"/>
          <w:szCs w:val="21"/>
        </w:rPr>
        <w:t>运输转运复现性</w:t>
      </w:r>
      <w:bookmarkEnd w:id="94"/>
    </w:p>
    <w:p w14:paraId="698C02EC">
      <w:pPr>
        <w:pStyle w:val="70"/>
        <w:spacing w:before="120" w:after="120"/>
        <w:rPr>
          <w:szCs w:val="21"/>
        </w:rPr>
      </w:pPr>
      <w:r>
        <w:rPr>
          <w:rFonts w:hint="eastAsia"/>
          <w:szCs w:val="21"/>
        </w:rPr>
        <w:t>测试目的</w:t>
      </w:r>
    </w:p>
    <w:p w14:paraId="3B59158A">
      <w:pPr>
        <w:pStyle w:val="61"/>
        <w:ind w:firstLine="420"/>
      </w:pPr>
      <w:r>
        <w:rPr>
          <w:rFonts w:hint="eastAsia"/>
        </w:rPr>
        <w:t>考核</w:t>
      </w:r>
      <w:r>
        <w:t>被试</w:t>
      </w:r>
      <w:r>
        <w:rPr>
          <w:rFonts w:hint="eastAsia"/>
        </w:rPr>
        <w:t>设备在经历公路运输后重力测值准确度保持能力。</w:t>
      </w:r>
    </w:p>
    <w:p w14:paraId="639C27FF">
      <w:pPr>
        <w:pStyle w:val="70"/>
        <w:spacing w:before="120" w:after="120"/>
        <w:rPr>
          <w:szCs w:val="21"/>
        </w:rPr>
      </w:pPr>
      <w:r>
        <w:rPr>
          <w:rFonts w:hint="eastAsia"/>
          <w:szCs w:val="21"/>
        </w:rPr>
        <w:t>测试方法</w:t>
      </w:r>
    </w:p>
    <w:p w14:paraId="78B74BCF">
      <w:pPr>
        <w:pStyle w:val="179"/>
        <w:numPr>
          <w:ilvl w:val="0"/>
          <w:numId w:val="45"/>
        </w:numPr>
      </w:pPr>
      <w:r>
        <w:t>将被试</w:t>
      </w:r>
      <w:r>
        <w:rPr>
          <w:rFonts w:hint="eastAsia"/>
        </w:rPr>
        <w:t>设备放置在地质结构稳定的测试点位处并安装调试，充分预热后，启动重力加速度测量</w:t>
      </w:r>
      <w:r>
        <w:t>；</w:t>
      </w:r>
    </w:p>
    <w:p w14:paraId="2AE42CCD">
      <w:pPr>
        <w:pStyle w:val="179"/>
        <w:numPr>
          <w:ilvl w:val="0"/>
          <w:numId w:val="45"/>
        </w:numPr>
      </w:pPr>
      <w:r>
        <w:rPr>
          <w:rFonts w:hint="eastAsia"/>
        </w:rPr>
        <w:t>将观测数据进行固体潮、海潮负荷、极移、气压等环境因素改正，系统偏置项扣除后得到重力加速度观测值；</w:t>
      </w:r>
    </w:p>
    <w:p w14:paraId="0E977DD5">
      <w:pPr>
        <w:pStyle w:val="179"/>
        <w:numPr>
          <w:ilvl w:val="0"/>
          <w:numId w:val="45"/>
        </w:numPr>
      </w:pPr>
      <w:r>
        <w:rPr>
          <w:rFonts w:hint="eastAsia"/>
        </w:rPr>
        <w:t>根据被试设备的具体性能确定连续观测时长，根据拉依达准则（</w:t>
      </w:r>
      <w:r>
        <w:t>3</w:t>
      </w:r>
      <w:r>
        <w:rPr>
          <w:rFonts w:ascii="Cambria Math" w:hAnsi="Cambria Math" w:cs="Cambria Math"/>
        </w:rPr>
        <w:t>𝜎</w:t>
      </w:r>
      <w:r>
        <w:rPr>
          <w:rFonts w:hint="eastAsia"/>
        </w:rPr>
        <w:t>准则）剔除异常值后，该次观测的重力加速度平均值</w:t>
      </w:r>
      <w:r>
        <w:t>记为</w:t>
      </w:r>
      <m:oMath>
        <m:sSub>
          <m:sSubPr>
            <m:ctrlPr>
              <w:rPr>
                <w:rFonts w:ascii="Cambria Math" w:hAnsi="Cambria Math"/>
              </w:rPr>
            </m:ctrlPr>
          </m:sSubPr>
          <m:e>
            <m:acc>
              <m:accPr>
                <m:ctrlPr>
                  <w:rPr>
                    <w:rFonts w:ascii="Cambria Math" w:hAnsi="Cambria Math"/>
                  </w:rPr>
                </m:ctrlPr>
              </m:accPr>
              <m:e>
                <m:r>
                  <m:rPr/>
                  <w:rPr>
                    <w:rFonts w:ascii="Cambria Math" w:hAnsi="Cambria Math"/>
                  </w:rPr>
                  <m:t>g</m:t>
                </m:r>
                <m:ctrlPr>
                  <w:rPr>
                    <w:rFonts w:ascii="Cambria Math" w:hAnsi="Cambria Math"/>
                  </w:rPr>
                </m:ctrlPr>
              </m:e>
            </m:acc>
            <m:ctrlPr>
              <w:rPr>
                <w:rFonts w:ascii="Cambria Math" w:hAnsi="Cambria Math"/>
              </w:rPr>
            </m:ctrlPr>
          </m:e>
          <m:sub>
            <m:r>
              <m:rPr>
                <m:sty m:val="p"/>
              </m:rPr>
              <w:rPr>
                <w:rFonts w:ascii="Cambria Math" w:hAnsi="Cambria Math"/>
              </w:rPr>
              <m:t>1</m:t>
            </m:r>
            <m:ctrlPr>
              <w:rPr>
                <w:rFonts w:ascii="Cambria Math" w:hAnsi="Cambria Math"/>
              </w:rPr>
            </m:ctrlPr>
          </m:sub>
        </m:sSub>
      </m:oMath>
      <w:r>
        <w:rPr>
          <w:rFonts w:hint="eastAsia"/>
        </w:rPr>
        <w:t>；</w:t>
      </w:r>
    </w:p>
    <w:p w14:paraId="64C3012F">
      <w:pPr>
        <w:pStyle w:val="179"/>
        <w:numPr>
          <w:ilvl w:val="0"/>
          <w:numId w:val="45"/>
        </w:numPr>
      </w:pPr>
      <w:r>
        <w:rPr>
          <w:rFonts w:hint="eastAsia"/>
        </w:rPr>
        <w:t>将被试设备正常断电并完全冷却后装箱，根据7.7开展模拟振动测试；</w:t>
      </w:r>
    </w:p>
    <w:p w14:paraId="281159BE">
      <w:pPr>
        <w:pStyle w:val="179"/>
        <w:numPr>
          <w:ilvl w:val="0"/>
          <w:numId w:val="45"/>
        </w:numPr>
      </w:pPr>
      <w:r>
        <w:rPr>
          <w:rFonts w:hint="eastAsia"/>
        </w:rPr>
        <w:t>模拟振动测试结束后，将被试设备开箱并部署在原重力测点或点差已知的同等级重力测点上，重新上电并充分预热稳定后进行重力观测，观测时长与c）保持一致，该次观测的重力加速度平均值</w:t>
      </w:r>
      <w:r>
        <w:t>记为</w:t>
      </w:r>
      <m:oMath>
        <m:sSub>
          <m:sSubPr>
            <m:ctrlPr>
              <w:rPr>
                <w:rFonts w:ascii="Cambria Math" w:hAnsi="Cambria Math"/>
              </w:rPr>
            </m:ctrlPr>
          </m:sSubPr>
          <m:e>
            <m:acc>
              <m:accPr>
                <m:ctrlPr>
                  <w:rPr>
                    <w:rFonts w:ascii="Cambria Math" w:hAnsi="Cambria Math"/>
                  </w:rPr>
                </m:ctrlPr>
              </m:accPr>
              <m:e>
                <m:r>
                  <m:rPr/>
                  <w:rPr>
                    <w:rFonts w:hint="eastAsia" w:ascii="Cambria Math" w:hAnsi="Cambria Math"/>
                  </w:rPr>
                  <m:t>g</m:t>
                </m:r>
                <m:ctrlPr>
                  <w:rPr>
                    <w:rFonts w:ascii="Cambria Math" w:hAnsi="Cambria Math"/>
                  </w:rPr>
                </m:ctrlPr>
              </m:e>
            </m:acc>
            <m:ctrlPr>
              <w:rPr>
                <w:rFonts w:ascii="Cambria Math" w:hAnsi="Cambria Math"/>
              </w:rPr>
            </m:ctrlPr>
          </m:e>
          <m:sub>
            <m:r>
              <m:rPr>
                <m:sty m:val="p"/>
              </m:rPr>
              <w:rPr>
                <w:rFonts w:ascii="Cambria Math" w:hAnsi="Cambria Math"/>
              </w:rPr>
              <m:t>2</m:t>
            </m:r>
            <m:ctrlPr>
              <w:rPr>
                <w:rFonts w:ascii="Cambria Math" w:hAnsi="Cambria Math"/>
              </w:rPr>
            </m:ctrlPr>
          </m:sub>
        </m:sSub>
      </m:oMath>
      <w:r>
        <w:rPr>
          <w:rFonts w:hint="eastAsia"/>
        </w:rPr>
        <w:t>（可根据需要重新标校参数和系统偏置）；</w:t>
      </w:r>
    </w:p>
    <w:p w14:paraId="3CAC968E">
      <w:pPr>
        <w:pStyle w:val="179"/>
        <w:numPr>
          <w:ilvl w:val="0"/>
          <w:numId w:val="45"/>
        </w:numPr>
      </w:pPr>
      <w:r>
        <w:rPr>
          <w:rFonts w:hint="eastAsia"/>
        </w:rPr>
        <w:t>根据具体测试需要重复d）～e）；</w:t>
      </w:r>
    </w:p>
    <w:p w14:paraId="441898D5">
      <w:pPr>
        <w:pStyle w:val="179"/>
        <w:numPr>
          <w:ilvl w:val="0"/>
          <w:numId w:val="45"/>
        </w:numPr>
      </w:pPr>
      <w:r>
        <w:rPr>
          <w:rFonts w:hint="eastAsia"/>
        </w:rPr>
        <w:t>根据如下公式计算被试设备的重复性：</w:t>
      </w:r>
    </w:p>
    <w:p w14:paraId="7EABF5A6">
      <w:pPr>
        <w:pStyle w:val="118"/>
        <w:ind w:firstLine="4830" w:firstLineChars="2300"/>
        <w:rPr>
          <w:rFonts w:hint="eastAsia"/>
        </w:rPr>
      </w:pPr>
      <m:oMath>
        <m:r>
          <m:rPr/>
          <w:rPr>
            <w:rFonts w:ascii="Cambria Math" w:hAnsi="Cambria Math"/>
          </w:rPr>
          <m:t>γ</m:t>
        </m:r>
        <m:r>
          <m:rPr>
            <m:sty m:val="p"/>
          </m:rPr>
          <w:rPr>
            <w:rFonts w:ascii="Cambria Math" w:hAnsi="Cambria Math"/>
          </w:rPr>
          <m:t>=</m:t>
        </m:r>
        <m:rad>
          <m:radPr>
            <m:degHide m:val="1"/>
            <m:ctrlPr>
              <w:rPr>
                <w:rFonts w:ascii="Cambria Math" w:hAnsi="Cambria Math"/>
              </w:rPr>
            </m:ctrlPr>
          </m:radPr>
          <m:deg>
            <m:ctrlPr>
              <w:rPr>
                <w:rFonts w:ascii="Cambria Math" w:hAnsi="Cambria Math"/>
              </w:rPr>
            </m:ctrlPr>
          </m:deg>
          <m:e>
            <m:f>
              <m:fPr>
                <m:ctrlPr>
                  <w:rPr>
                    <w:rFonts w:ascii="Cambria Math" w:hAnsi="Cambria Math"/>
                  </w:rPr>
                </m:ctrlPr>
              </m:fPr>
              <m:num>
                <m:nary>
                  <m:naryPr>
                    <m:chr m:val="∑"/>
                    <m:limLoc m:val="subSup"/>
                    <m:ctrlPr>
                      <w:rPr>
                        <w:rFonts w:ascii="Cambria Math" w:hAnsi="Cambria Math"/>
                      </w:rPr>
                    </m:ctrlPr>
                  </m:naryPr>
                  <m:sub>
                    <m:r>
                      <m:rPr/>
                      <w:rPr>
                        <w:rFonts w:ascii="Cambria Math" w:hAnsi="Cambria Math"/>
                      </w:rPr>
                      <m:t>i</m:t>
                    </m:r>
                    <m:r>
                      <m:rPr>
                        <m:sty m:val="p"/>
                      </m:rPr>
                      <w:rPr>
                        <w:rFonts w:ascii="Cambria Math" w:hAnsi="Cambria Math"/>
                      </w:rPr>
                      <m:t>=1</m:t>
                    </m:r>
                    <m:ctrlPr>
                      <w:rPr>
                        <w:rFonts w:ascii="Cambria Math" w:hAnsi="Cambria Math"/>
                      </w:rPr>
                    </m:ctrlPr>
                  </m:sub>
                  <m:sup>
                    <m:r>
                      <m:rPr/>
                      <w:rPr>
                        <w:rFonts w:ascii="Cambria Math" w:hAnsi="Cambria Math"/>
                      </w:rPr>
                      <m:t>r</m:t>
                    </m:r>
                    <m:r>
                      <m:rPr>
                        <m:sty m:val="p"/>
                      </m:rPr>
                      <w:rPr>
                        <w:rFonts w:ascii="Cambria Math" w:hAnsi="Cambria Math"/>
                      </w:rPr>
                      <m:t>+1</m:t>
                    </m:r>
                    <m:ctrlPr>
                      <w:rPr>
                        <w:rFonts w:ascii="Cambria Math" w:hAnsi="Cambria Math"/>
                      </w:rPr>
                    </m:ctrlPr>
                  </m:sup>
                  <m:e>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acc>
                              <m:accPr>
                                <m:ctrlPr>
                                  <w:rPr>
                                    <w:rFonts w:ascii="Cambria Math" w:hAnsi="Cambria Math"/>
                                  </w:rPr>
                                </m:ctrlPr>
                              </m:accPr>
                              <m:e>
                                <m:r>
                                  <m:rPr/>
                                  <w:rPr>
                                    <w:rFonts w:hint="eastAsia" w:ascii="Cambria Math" w:hAnsi="Cambria Math"/>
                                  </w:rPr>
                                  <m:t>g</m:t>
                                </m:r>
                                <m:ctrlPr>
                                  <w:rPr>
                                    <w:rFonts w:ascii="Cambria Math" w:hAnsi="Cambria Math"/>
                                  </w:rPr>
                                </m:ctrlPr>
                              </m:e>
                            </m:acc>
                            <m:ctrlPr>
                              <w:rPr>
                                <w:rFonts w:ascii="Cambria Math" w:hAnsi="Cambria Math"/>
                              </w:rPr>
                            </m:ctrlPr>
                          </m:e>
                          <m:sub>
                            <m:r>
                              <m:rPr/>
                              <w:rPr>
                                <w:rFonts w:hint="eastAsia" w:ascii="Cambria Math" w:hAnsi="Cambria Math"/>
                              </w:rPr>
                              <m:t>i</m:t>
                            </m:r>
                            <m:ctrlPr>
                              <w:rPr>
                                <w:rFonts w:ascii="Cambria Math" w:hAnsi="Cambria Math"/>
                              </w:rPr>
                            </m:ctrlPr>
                          </m:sub>
                        </m:sSub>
                        <m:r>
                          <m:rPr>
                            <m:sty m:val="p"/>
                          </m:rPr>
                          <w:rPr>
                            <w:rFonts w:ascii="Cambria Math" w:hAnsi="Cambria Math"/>
                          </w:rPr>
                          <m:t>−</m:t>
                        </m:r>
                        <m:acc>
                          <m:accPr>
                            <m:chr m:val="̅"/>
                            <m:ctrlPr>
                              <w:rPr>
                                <w:rFonts w:ascii="Cambria Math" w:hAnsi="Cambria Math"/>
                              </w:rPr>
                            </m:ctrlPr>
                          </m:accPr>
                          <m:e>
                            <m:r>
                              <m:rPr/>
                              <w:rPr>
                                <w:rFonts w:ascii="Cambria Math" w:hAnsi="Cambria Math"/>
                              </w:rPr>
                              <m:t>g</m:t>
                            </m:r>
                            <m:ctrlPr>
                              <w:rPr>
                                <w:rFonts w:ascii="Cambria Math" w:hAnsi="Cambria Math"/>
                              </w:rPr>
                            </m:ctrlPr>
                          </m:e>
                        </m:acc>
                        <m:r>
                          <m:rPr>
                            <m:sty m:val="p"/>
                          </m:rPr>
                          <w:rPr>
                            <w:rFonts w:ascii="Cambria Math" w:hAnsi="Cambria Math"/>
                          </w:rPr>
                          <m:t>)</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e>
                </m:nary>
                <m:ctrlPr>
                  <w:rPr>
                    <w:rFonts w:ascii="Cambria Math" w:hAnsi="Cambria Math"/>
                  </w:rPr>
                </m:ctrlPr>
              </m:num>
              <m:den>
                <m:r>
                  <m:rPr/>
                  <w:rPr>
                    <w:rFonts w:hint="eastAsia" w:ascii="Cambria Math" w:hAnsi="Cambria Math"/>
                  </w:rPr>
                  <m:t>r</m:t>
                </m:r>
                <m:ctrlPr>
                  <w:rPr>
                    <w:rFonts w:ascii="Cambria Math" w:hAnsi="Cambria Math"/>
                  </w:rPr>
                </m:ctrlPr>
              </m:den>
            </m:f>
            <m:ctrlPr>
              <w:rPr>
                <w:rFonts w:ascii="Cambria Math" w:hAnsi="Cambria Math"/>
              </w:rPr>
            </m:ctrlPr>
          </m:e>
        </m:rad>
      </m:oMath>
      <w:r>
        <w:rPr>
          <w:rFonts w:hint="eastAsia" w:ascii="微软雅黑" w:hAnsi="微软雅黑" w:eastAsia="微软雅黑"/>
        </w:rPr>
        <w:t>........................................................</w:t>
      </w:r>
      <w:r>
        <w:rPr>
          <w:rFonts w:hint="eastAsia"/>
        </w:rPr>
        <w:t>（4）</w:t>
      </w:r>
    </w:p>
    <w:p w14:paraId="25FBCC14">
      <w:pPr>
        <w:pStyle w:val="61"/>
        <w:ind w:firstLine="420"/>
      </w:pPr>
    </w:p>
    <w:p w14:paraId="47D0EEF6">
      <w:pPr>
        <w:pStyle w:val="60"/>
        <w:ind w:firstLine="420"/>
      </w:pPr>
      <w:r>
        <w:rPr>
          <w:rFonts w:hint="eastAsia"/>
        </w:rPr>
        <w:t>式中：</w:t>
      </w:r>
    </w:p>
    <w:p w14:paraId="356C2916">
      <w:pPr>
        <w:pStyle w:val="61"/>
        <w:ind w:firstLine="420"/>
        <w:rPr>
          <w:rFonts w:cs="Cambria Math"/>
        </w:rPr>
      </w:pPr>
      <w:r>
        <w:rPr>
          <w:rFonts w:hint="eastAsia" w:ascii="Times New Roman"/>
        </w:rPr>
        <w:t>若在同一测点测量，则</w:t>
      </w:r>
      <m:oMath>
        <m:acc>
          <m:accPr>
            <m:chr m:val="̅"/>
            <m:ctrlPr>
              <w:rPr>
                <w:rFonts w:ascii="Cambria Math" w:hAnsi="Cambria Math"/>
              </w:rPr>
            </m:ctrlPr>
          </m:accPr>
          <m:e>
            <m:r>
              <m:rPr>
                <m:sty m:val="p"/>
              </m:rPr>
              <w:rPr>
                <w:rFonts w:ascii="Cambria Math" w:hAnsi="Cambria Math"/>
              </w:rPr>
              <m:t>g</m:t>
            </m:r>
            <m:ctrlPr>
              <w:rPr>
                <w:rFonts w:ascii="Cambria Math" w:hAnsi="Cambria Math"/>
              </w:rPr>
            </m:ctrlPr>
          </m:e>
        </m:acc>
        <m:r>
          <m:rPr>
            <m:sty m:val="p"/>
          </m:rPr>
          <w:rPr>
            <w:rFonts w:ascii="Cambria Math" w:hAnsi="Cambria Math"/>
          </w:rPr>
          <m:t>=</m:t>
        </m:r>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r+</m:t>
            </m:r>
            <m:r>
              <m:rPr/>
              <w:rPr>
                <w:rFonts w:ascii="Cambria Math" w:hAnsi="Cambria Math"/>
              </w:rPr>
              <m:t>1</m:t>
            </m:r>
            <m:ctrlPr>
              <w:rPr>
                <w:rFonts w:ascii="Cambria Math" w:hAnsi="Cambria Math"/>
              </w:rPr>
            </m:ctrlPr>
          </m:den>
        </m:f>
        <m:nary>
          <m:naryPr>
            <m:chr m:val="∑"/>
            <m:limLoc m:val="subSup"/>
            <m:ctrlPr>
              <w:rPr>
                <w:rFonts w:ascii="Cambria Math" w:hAnsi="Cambria Math"/>
              </w:rPr>
            </m:ctrlPr>
          </m:naryPr>
          <m:sub>
            <m:r>
              <m:rPr>
                <m:sty m:val="p"/>
              </m:rPr>
              <w:rPr>
                <w:rFonts w:ascii="Cambria Math" w:hAnsi="Cambria Math"/>
              </w:rPr>
              <m:t>i=1</m:t>
            </m:r>
            <m:ctrlPr>
              <w:rPr>
                <w:rFonts w:ascii="Cambria Math" w:hAnsi="Cambria Math"/>
              </w:rPr>
            </m:ctrlPr>
          </m:sub>
          <m:sup>
            <m:r>
              <m:rPr>
                <m:sty m:val="p"/>
              </m:rPr>
              <w:rPr>
                <w:rFonts w:ascii="Cambria Math" w:hAnsi="Cambria Math"/>
              </w:rPr>
              <m:t>r+1</m:t>
            </m:r>
            <m:ctrlPr>
              <w:rPr>
                <w:rFonts w:ascii="Cambria Math" w:hAnsi="Cambria Math"/>
              </w:rPr>
            </m:ctrlPr>
          </m:sup>
          <m:e>
            <m:sSub>
              <m:sSubPr>
                <m:ctrlPr>
                  <w:rPr>
                    <w:rFonts w:ascii="Cambria Math" w:hAnsi="Cambria Math"/>
                  </w:rPr>
                </m:ctrlPr>
              </m:sSubPr>
              <m:e>
                <m:acc>
                  <m:accPr>
                    <m:ctrlPr>
                      <w:rPr>
                        <w:rFonts w:ascii="Cambria Math" w:hAnsi="Cambria Math"/>
                        <w:kern w:val="2"/>
                      </w:rPr>
                    </m:ctrlPr>
                  </m:accPr>
                  <m:e>
                    <m:r>
                      <m:rPr/>
                      <w:rPr>
                        <w:rFonts w:hint="eastAsia" w:ascii="Cambria Math" w:hAnsi="Cambria Math"/>
                      </w:rPr>
                      <m:t>g</m:t>
                    </m:r>
                    <m:ctrlPr>
                      <w:rPr>
                        <w:rFonts w:ascii="Cambria Math" w:hAnsi="Cambria Math"/>
                        <w:kern w:val="2"/>
                      </w:rPr>
                    </m:ctrlPr>
                  </m:e>
                </m:acc>
                <m:ctrlPr>
                  <w:rPr>
                    <w:rFonts w:ascii="Cambria Math" w:hAnsi="Cambria Math"/>
                  </w:rPr>
                </m:ctrlPr>
              </m:e>
              <m:sub>
                <m:r>
                  <m:rPr>
                    <m:sty m:val="p"/>
                  </m:rPr>
                  <w:rPr>
                    <w:rFonts w:ascii="Cambria Math" w:hAnsi="Cambria Math"/>
                  </w:rPr>
                  <m:t>i</m:t>
                </m:r>
                <m:ctrlPr>
                  <w:rPr>
                    <w:rFonts w:ascii="Cambria Math" w:hAnsi="Cambria Math"/>
                  </w:rPr>
                </m:ctrlPr>
              </m:sub>
            </m:sSub>
            <m:ctrlPr>
              <w:rPr>
                <w:rFonts w:ascii="Cambria Math" w:hAnsi="Cambria Math"/>
              </w:rPr>
            </m:ctrlPr>
          </m:e>
        </m:nary>
      </m:oMath>
      <w:r>
        <w:rPr>
          <w:rFonts w:hint="eastAsia" w:cs="Cambria Math"/>
        </w:rPr>
        <w:t>；若在不同测点测量，则</w:t>
      </w:r>
      <m:oMath>
        <m:acc>
          <m:accPr>
            <m:chr m:val="̅"/>
            <m:ctrlPr>
              <w:rPr>
                <w:rFonts w:ascii="Cambria Math" w:hAnsi="Cambria Math"/>
              </w:rPr>
            </m:ctrlPr>
          </m:accPr>
          <m:e>
            <m:r>
              <m:rPr>
                <m:sty m:val="p"/>
              </m:rPr>
              <w:rPr>
                <w:rFonts w:ascii="Cambria Math" w:hAnsi="Cambria Math"/>
              </w:rPr>
              <m:t>g</m:t>
            </m:r>
            <m:ctrlPr>
              <w:rPr>
                <w:rFonts w:ascii="Cambria Math" w:hAnsi="Cambria Math"/>
              </w:rPr>
            </m:ctrlPr>
          </m:e>
        </m:acc>
        <m:r>
          <m:rPr>
            <m:sty m:val="p"/>
          </m:rPr>
          <w:rPr>
            <w:rFonts w:ascii="Cambria Math" w:hAnsi="Cambria Math"/>
          </w:rPr>
          <m:t>=</m:t>
        </m:r>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r+</m:t>
            </m:r>
            <m:r>
              <m:rPr/>
              <w:rPr>
                <w:rFonts w:ascii="Cambria Math" w:hAnsi="Cambria Math"/>
              </w:rPr>
              <m:t>1</m:t>
            </m:r>
            <m:ctrlPr>
              <w:rPr>
                <w:rFonts w:ascii="Cambria Math" w:hAnsi="Cambria Math"/>
              </w:rPr>
            </m:ctrlPr>
          </m:den>
        </m:f>
        <m:nary>
          <m:naryPr>
            <m:chr m:val="∑"/>
            <m:limLoc m:val="subSup"/>
            <m:ctrlPr>
              <w:rPr>
                <w:rFonts w:ascii="Cambria Math" w:hAnsi="Cambria Math"/>
              </w:rPr>
            </m:ctrlPr>
          </m:naryPr>
          <m:sub>
            <m:r>
              <m:rPr>
                <m:sty m:val="p"/>
              </m:rPr>
              <w:rPr>
                <w:rFonts w:ascii="Cambria Math" w:hAnsi="Cambria Math"/>
              </w:rPr>
              <m:t>i=1</m:t>
            </m:r>
            <m:ctrlPr>
              <w:rPr>
                <w:rFonts w:ascii="Cambria Math" w:hAnsi="Cambria Math"/>
              </w:rPr>
            </m:ctrlPr>
          </m:sub>
          <m:sup>
            <m:r>
              <m:rPr>
                <m:sty m:val="p"/>
              </m:rPr>
              <w:rPr>
                <w:rFonts w:ascii="Cambria Math" w:hAnsi="Cambria Math"/>
              </w:rPr>
              <m:t>r+1</m:t>
            </m:r>
            <m:ctrlPr>
              <w:rPr>
                <w:rFonts w:ascii="Cambria Math" w:hAnsi="Cambria Math"/>
              </w:rPr>
            </m:ctrlPr>
          </m:sup>
          <m:e>
            <m:r>
              <m:rPr/>
              <w:rPr>
                <w:rFonts w:ascii="Cambria Math" w:hAnsi="Cambria Math"/>
              </w:rPr>
              <m:t>(</m:t>
            </m:r>
            <m:sSub>
              <m:sSubPr>
                <m:ctrlPr>
                  <w:rPr>
                    <w:rFonts w:ascii="Cambria Math" w:hAnsi="Cambria Math"/>
                  </w:rPr>
                </m:ctrlPr>
              </m:sSubPr>
              <m:e>
                <m:acc>
                  <m:accPr>
                    <m:ctrlPr>
                      <w:rPr>
                        <w:rFonts w:ascii="Cambria Math" w:hAnsi="Cambria Math"/>
                        <w:kern w:val="2"/>
                      </w:rPr>
                    </m:ctrlPr>
                  </m:accPr>
                  <m:e>
                    <m:r>
                      <m:rPr/>
                      <w:rPr>
                        <w:rFonts w:hint="eastAsia" w:ascii="Cambria Math" w:hAnsi="Cambria Math"/>
                      </w:rPr>
                      <m:t>g</m:t>
                    </m:r>
                    <m:ctrlPr>
                      <w:rPr>
                        <w:rFonts w:ascii="Cambria Math" w:hAnsi="Cambria Math"/>
                        <w:kern w:val="2"/>
                      </w:rPr>
                    </m:ctrlPr>
                  </m:e>
                </m:acc>
                <m:ctrlPr>
                  <w:rPr>
                    <w:rFonts w:ascii="Cambria Math" w:hAnsi="Cambria Math"/>
                  </w:rPr>
                </m:ctrlPr>
              </m:e>
              <m:sub>
                <m:r>
                  <m:rPr>
                    <m:sty m:val="p"/>
                  </m:rPr>
                  <w:rPr>
                    <w:rFonts w:ascii="Cambria Math" w:hAnsi="Cambria Math"/>
                  </w:rPr>
                  <m:t>i</m:t>
                </m:r>
                <m:ctrlPr>
                  <w:rPr>
                    <w:rFonts w:ascii="Cambria Math" w:hAnsi="Cambria Math"/>
                  </w:rPr>
                </m:ctrlPr>
              </m:sub>
            </m:sSub>
            <m:r>
              <m:rPr/>
              <w:rPr>
                <w:rFonts w:ascii="Cambria Math" w:hAnsi="Cambria Math"/>
              </w:rPr>
              <m:t>−</m:t>
            </m:r>
            <m:sSubSup>
              <m:sSubSupPr>
                <m:ctrlPr>
                  <w:rPr>
                    <w:rFonts w:ascii="Cambria Math" w:hAnsi="Cambria Math"/>
                  </w:rPr>
                </m:ctrlPr>
              </m:sSubSupPr>
              <m:e>
                <m:r>
                  <m:rPr/>
                  <w:rPr>
                    <w:rFonts w:hint="eastAsia" w:ascii="Cambria Math" w:hAnsi="Cambria Math"/>
                  </w:rPr>
                  <m:t>g</m:t>
                </m:r>
                <m:ctrlPr>
                  <w:rPr>
                    <w:rFonts w:ascii="Cambria Math" w:hAnsi="Cambria Math"/>
                  </w:rPr>
                </m:ctrlPr>
              </m:e>
              <m:sub>
                <m:r>
                  <m:rPr/>
                  <w:rPr>
                    <w:rFonts w:ascii="Cambria Math" w:hAnsi="Cambria Math"/>
                  </w:rPr>
                  <m:t>0</m:t>
                </m:r>
                <m:ctrlPr>
                  <w:rPr>
                    <w:rFonts w:ascii="Cambria Math" w:hAnsi="Cambria Math"/>
                  </w:rPr>
                </m:ctrlPr>
              </m:sub>
              <m:sup>
                <m:r>
                  <m:rPr/>
                  <w:rPr>
                    <w:rFonts w:hint="eastAsia" w:ascii="Cambria Math" w:hAnsi="Cambria Math"/>
                  </w:rPr>
                  <m:t>i</m:t>
                </m:r>
                <m:ctrlPr>
                  <w:rPr>
                    <w:rFonts w:ascii="Cambria Math" w:hAnsi="Cambria Math"/>
                  </w:rPr>
                </m:ctrlPr>
              </m:sup>
            </m:sSubSup>
            <m:r>
              <m:rPr/>
              <w:rPr>
                <w:rFonts w:ascii="Cambria Math" w:hAnsi="Cambria Math"/>
              </w:rPr>
              <m:t>)</m:t>
            </m:r>
            <m:ctrlPr>
              <w:rPr>
                <w:rFonts w:ascii="Cambria Math" w:hAnsi="Cambria Math"/>
              </w:rPr>
            </m:ctrlPr>
          </m:e>
        </m:nary>
      </m:oMath>
      <w:r>
        <w:rPr>
          <w:rFonts w:hint="eastAsia" w:cs="Cambria Math"/>
        </w:rPr>
        <w:t>；</w:t>
      </w:r>
      <w:r>
        <w:rPr>
          <w:rFonts w:ascii="Times New Roman"/>
        </w:rPr>
        <w:t>r为</w:t>
      </w:r>
      <w:r>
        <w:rPr>
          <w:rFonts w:hint="eastAsia" w:ascii="Times New Roman"/>
        </w:rPr>
        <w:t>模拟振动测试次数。</w:t>
      </w:r>
    </w:p>
    <w:p w14:paraId="1171030B">
      <w:pPr>
        <w:pStyle w:val="61"/>
        <w:ind w:firstLine="420"/>
      </w:pPr>
      <w:r>
        <w:rPr>
          <w:rFonts w:hint="eastAsia"/>
        </w:rPr>
        <w:t>同时，应给出被试设备在测点的示值误差</w:t>
      </w:r>
      <m:oMath>
        <m:r>
          <m:rPr/>
          <w:rPr>
            <w:rFonts w:ascii="Cambria Math" w:hAnsi="Cambria Math"/>
          </w:rPr>
          <m:t>δ</m:t>
        </m:r>
      </m:oMath>
      <w:r>
        <w:rPr>
          <w:rFonts w:hint="eastAsia"/>
        </w:rPr>
        <w:t>作为准确度指标，</w:t>
      </w:r>
      <m:oMath>
        <m:r>
          <m:rPr/>
          <w:rPr>
            <w:rFonts w:ascii="Cambria Math" w:hAnsi="Cambria Math"/>
          </w:rPr>
          <m:t>γ</m:t>
        </m:r>
      </m:oMath>
      <w:r>
        <w:rPr>
          <w:rFonts w:hint="eastAsia"/>
        </w:rPr>
        <w:t>和</w:t>
      </w:r>
      <m:oMath>
        <m:r>
          <m:rPr/>
          <w:rPr>
            <w:rFonts w:ascii="Cambria Math" w:hAnsi="Cambria Math"/>
          </w:rPr>
          <m:t>δ</m:t>
        </m:r>
      </m:oMath>
      <w:r>
        <w:rPr>
          <w:rFonts w:hint="eastAsia"/>
        </w:rPr>
        <w:t>共同表征被试设备的运输转运复现性。</w:t>
      </w:r>
    </w:p>
    <w:p w14:paraId="378E6C80">
      <w:pPr>
        <w:pStyle w:val="110"/>
        <w:spacing w:before="120" w:after="120"/>
        <w:rPr>
          <w:szCs w:val="21"/>
        </w:rPr>
      </w:pPr>
      <w:bookmarkStart w:id="95" w:name="_Toc29150"/>
      <w:r>
        <w:rPr>
          <w:rFonts w:hint="eastAsia"/>
          <w:szCs w:val="21"/>
        </w:rPr>
        <w:t>部署时间</w:t>
      </w:r>
      <w:bookmarkEnd w:id="95"/>
    </w:p>
    <w:p w14:paraId="6DE54A7B">
      <w:pPr>
        <w:pStyle w:val="70"/>
        <w:spacing w:before="120" w:after="120"/>
        <w:rPr>
          <w:szCs w:val="21"/>
        </w:rPr>
      </w:pPr>
      <w:r>
        <w:rPr>
          <w:rFonts w:hint="eastAsia"/>
          <w:szCs w:val="21"/>
        </w:rPr>
        <w:t>测试目的</w:t>
      </w:r>
    </w:p>
    <w:p w14:paraId="106744AD">
      <w:pPr>
        <w:pStyle w:val="61"/>
        <w:ind w:firstLine="420"/>
      </w:pPr>
      <w:r>
        <w:rPr>
          <w:rFonts w:hint="eastAsia"/>
        </w:rPr>
        <w:t>考核</w:t>
      </w:r>
      <w:r>
        <w:t>被试</w:t>
      </w:r>
      <w:r>
        <w:rPr>
          <w:rFonts w:hint="eastAsia"/>
        </w:rPr>
        <w:t>设备的部署便捷性能力。</w:t>
      </w:r>
    </w:p>
    <w:p w14:paraId="64C25B37">
      <w:pPr>
        <w:pStyle w:val="70"/>
        <w:spacing w:before="120" w:after="120"/>
        <w:rPr>
          <w:szCs w:val="21"/>
        </w:rPr>
      </w:pPr>
      <w:r>
        <w:rPr>
          <w:rFonts w:hint="eastAsia"/>
          <w:szCs w:val="21"/>
        </w:rPr>
        <w:t>测试方法</w:t>
      </w:r>
    </w:p>
    <w:p w14:paraId="0F3239EE">
      <w:pPr>
        <w:pStyle w:val="61"/>
        <w:ind w:firstLine="420"/>
      </w:pPr>
      <w:r>
        <w:rPr>
          <w:rFonts w:hint="eastAsia"/>
        </w:rPr>
        <w:t>记录被试设备从开箱到调校完毕、可输出重力观测值的总时间（需要时可详化每个阶段的时间）。</w:t>
      </w:r>
    </w:p>
    <w:bookmarkEnd w:id="91"/>
    <w:p w14:paraId="14E516FC">
      <w:pPr>
        <w:pStyle w:val="109"/>
        <w:spacing w:before="240" w:after="240"/>
        <w:rPr>
          <w:szCs w:val="21"/>
        </w:rPr>
      </w:pPr>
      <w:bookmarkStart w:id="96" w:name="_Toc7430"/>
      <w:bookmarkStart w:id="97" w:name="_Toc839"/>
      <w:bookmarkStart w:id="98" w:name="_Toc28361"/>
      <w:bookmarkStart w:id="99" w:name="_Toc32618"/>
      <w:r>
        <w:rPr>
          <w:rFonts w:hint="eastAsia"/>
          <w:szCs w:val="21"/>
        </w:rPr>
        <w:t>环境适应性</w:t>
      </w:r>
      <w:bookmarkEnd w:id="96"/>
      <w:bookmarkEnd w:id="97"/>
      <w:bookmarkEnd w:id="98"/>
      <w:r>
        <w:rPr>
          <w:rFonts w:hint="eastAsia"/>
          <w:szCs w:val="21"/>
        </w:rPr>
        <w:t>要求及测试方法</w:t>
      </w:r>
      <w:bookmarkEnd w:id="99"/>
    </w:p>
    <w:p w14:paraId="33AF8BE0">
      <w:pPr>
        <w:pStyle w:val="110"/>
        <w:spacing w:before="120" w:after="120"/>
        <w:rPr>
          <w:szCs w:val="21"/>
        </w:rPr>
      </w:pPr>
      <w:bookmarkStart w:id="100" w:name="_Toc24697"/>
      <w:r>
        <w:rPr>
          <w:rFonts w:hint="eastAsia"/>
          <w:szCs w:val="21"/>
        </w:rPr>
        <w:t>概述</w:t>
      </w:r>
      <w:bookmarkEnd w:id="100"/>
    </w:p>
    <w:p w14:paraId="7095F168">
      <w:pPr>
        <w:pStyle w:val="61"/>
        <w:ind w:firstLine="420"/>
      </w:pPr>
      <w:r>
        <w:rPr>
          <w:rFonts w:hint="eastAsia"/>
        </w:rPr>
        <w:t>环境适应性用于模拟原子重力仪可能经历的工作、存储、运输环境。环境试验后，被试设备应开展全套可靠性测试以检验被试设备的性能是否保持。</w:t>
      </w:r>
    </w:p>
    <w:p w14:paraId="435B053D">
      <w:pPr>
        <w:pStyle w:val="61"/>
        <w:ind w:firstLine="420"/>
      </w:pPr>
      <w:r>
        <w:rPr>
          <w:rFonts w:hint="eastAsia"/>
        </w:rPr>
        <w:t>根据使用环境，原子重力仪的环境适应性测试主要包含：高低温工作、高低温存储、湿热、低气压、振动试验，详见表2</w:t>
      </w:r>
    </w:p>
    <w:p w14:paraId="15E4C2B7">
      <w:pPr>
        <w:pStyle w:val="117"/>
        <w:spacing w:before="120" w:after="120"/>
        <w:ind w:left="0"/>
        <w:rPr>
          <w:szCs w:val="21"/>
        </w:rPr>
      </w:pPr>
      <w:r>
        <w:rPr>
          <w:rFonts w:hint="eastAsia"/>
          <w:szCs w:val="21"/>
        </w:rPr>
        <w:t>环境适应性要求汇总表</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57" w:type="dxa"/>
          <w:left w:w="0" w:type="dxa"/>
          <w:bottom w:w="57" w:type="dxa"/>
          <w:right w:w="0" w:type="dxa"/>
        </w:tblCellMar>
      </w:tblPr>
      <w:tblGrid>
        <w:gridCol w:w="694"/>
        <w:gridCol w:w="1135"/>
        <w:gridCol w:w="5677"/>
        <w:gridCol w:w="1828"/>
      </w:tblGrid>
      <w:tr w14:paraId="7AB0BB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tblHeader/>
          <w:jc w:val="center"/>
        </w:trPr>
        <w:tc>
          <w:tcPr>
            <w:tcW w:w="372" w:type="pct"/>
            <w:tcBorders>
              <w:tl2br w:val="nil"/>
              <w:tr2bl w:val="nil"/>
            </w:tcBorders>
            <w:vAlign w:val="center"/>
          </w:tcPr>
          <w:p w14:paraId="040E99E3">
            <w:pPr>
              <w:pStyle w:val="266"/>
              <w:rPr>
                <w:rFonts w:hint="eastAsia" w:ascii="宋体" w:eastAsia="宋体"/>
                <w:sz w:val="18"/>
                <w:szCs w:val="18"/>
                <w:lang w:val="zh-CN"/>
              </w:rPr>
            </w:pPr>
            <w:r>
              <w:rPr>
                <w:rFonts w:ascii="宋体" w:eastAsia="宋体"/>
                <w:sz w:val="18"/>
                <w:szCs w:val="18"/>
                <w:lang w:val="zh-CN"/>
              </w:rPr>
              <w:t>序号</w:t>
            </w:r>
          </w:p>
        </w:tc>
        <w:tc>
          <w:tcPr>
            <w:tcW w:w="608" w:type="pct"/>
            <w:tcBorders>
              <w:tl2br w:val="nil"/>
              <w:tr2bl w:val="nil"/>
            </w:tcBorders>
            <w:vAlign w:val="center"/>
          </w:tcPr>
          <w:p w14:paraId="3F323DCE">
            <w:pPr>
              <w:pStyle w:val="266"/>
              <w:rPr>
                <w:rFonts w:hint="eastAsia" w:ascii="宋体" w:eastAsia="宋体"/>
                <w:sz w:val="18"/>
                <w:szCs w:val="18"/>
                <w:lang w:val="zh-CN"/>
              </w:rPr>
            </w:pPr>
            <w:r>
              <w:rPr>
                <w:rFonts w:ascii="宋体" w:eastAsia="宋体"/>
                <w:sz w:val="18"/>
                <w:szCs w:val="18"/>
                <w:lang w:val="zh-CN"/>
              </w:rPr>
              <w:t>试验项目</w:t>
            </w:r>
          </w:p>
        </w:tc>
        <w:tc>
          <w:tcPr>
            <w:tcW w:w="3041" w:type="pct"/>
            <w:tcBorders>
              <w:tl2br w:val="nil"/>
              <w:tr2bl w:val="nil"/>
            </w:tcBorders>
            <w:vAlign w:val="center"/>
          </w:tcPr>
          <w:p w14:paraId="0579E55A">
            <w:pPr>
              <w:pStyle w:val="266"/>
              <w:rPr>
                <w:rFonts w:hint="eastAsia" w:ascii="宋体" w:eastAsia="宋体"/>
                <w:sz w:val="18"/>
                <w:szCs w:val="18"/>
                <w:lang w:val="zh-CN"/>
              </w:rPr>
            </w:pPr>
            <w:r>
              <w:rPr>
                <w:rFonts w:ascii="宋体" w:eastAsia="宋体"/>
                <w:sz w:val="18"/>
                <w:szCs w:val="18"/>
                <w:lang w:val="zh-CN"/>
              </w:rPr>
              <w:t>试验条件</w:t>
            </w:r>
          </w:p>
        </w:tc>
        <w:tc>
          <w:tcPr>
            <w:tcW w:w="979" w:type="pct"/>
            <w:tcBorders>
              <w:tl2br w:val="nil"/>
              <w:tr2bl w:val="nil"/>
            </w:tcBorders>
            <w:vAlign w:val="center"/>
          </w:tcPr>
          <w:p w14:paraId="3060552F">
            <w:pPr>
              <w:pStyle w:val="266"/>
              <w:rPr>
                <w:rFonts w:hint="eastAsia" w:ascii="宋体" w:eastAsia="宋体"/>
                <w:sz w:val="18"/>
                <w:szCs w:val="18"/>
                <w:lang w:val="zh-CN"/>
              </w:rPr>
            </w:pPr>
            <w:r>
              <w:rPr>
                <w:rFonts w:ascii="宋体" w:eastAsia="宋体"/>
                <w:sz w:val="18"/>
                <w:szCs w:val="18"/>
                <w:lang w:val="zh-CN"/>
              </w:rPr>
              <w:t>备注</w:t>
            </w:r>
          </w:p>
        </w:tc>
      </w:tr>
      <w:tr w14:paraId="4EA97D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vMerge w:val="restart"/>
            <w:tcBorders>
              <w:tl2br w:val="nil"/>
              <w:tr2bl w:val="nil"/>
            </w:tcBorders>
            <w:vAlign w:val="center"/>
          </w:tcPr>
          <w:p w14:paraId="691025EA">
            <w:pPr>
              <w:pStyle w:val="267"/>
              <w:jc w:val="center"/>
              <w:rPr>
                <w:rFonts w:hint="eastAsia" w:ascii="宋体" w:eastAsia="宋体"/>
                <w:sz w:val="18"/>
                <w:szCs w:val="18"/>
                <w:lang w:val="zh-CN"/>
              </w:rPr>
            </w:pPr>
            <w:r>
              <w:rPr>
                <w:rFonts w:ascii="宋体" w:eastAsia="宋体"/>
                <w:sz w:val="18"/>
                <w:szCs w:val="18"/>
                <w:lang w:val="zh-CN"/>
              </w:rPr>
              <w:t>1</w:t>
            </w:r>
          </w:p>
        </w:tc>
        <w:tc>
          <w:tcPr>
            <w:tcW w:w="608" w:type="pct"/>
            <w:vMerge w:val="restart"/>
            <w:tcBorders>
              <w:tl2br w:val="nil"/>
              <w:tr2bl w:val="nil"/>
            </w:tcBorders>
            <w:vAlign w:val="center"/>
          </w:tcPr>
          <w:p w14:paraId="2B8B6118">
            <w:pPr>
              <w:pStyle w:val="267"/>
              <w:jc w:val="center"/>
              <w:rPr>
                <w:rFonts w:hint="eastAsia" w:ascii="宋体" w:eastAsia="宋体"/>
                <w:sz w:val="18"/>
                <w:szCs w:val="18"/>
                <w:lang w:val="zh-CN"/>
              </w:rPr>
            </w:pPr>
            <w:r>
              <w:rPr>
                <w:rFonts w:hint="eastAsia" w:ascii="宋体" w:eastAsia="宋体"/>
                <w:sz w:val="18"/>
                <w:szCs w:val="18"/>
                <w:lang w:val="zh-CN"/>
              </w:rPr>
              <w:t>低温</w:t>
            </w:r>
            <w:r>
              <w:rPr>
                <w:rFonts w:ascii="宋体" w:eastAsia="宋体"/>
                <w:sz w:val="18"/>
                <w:szCs w:val="18"/>
                <w:lang w:val="zh-CN"/>
              </w:rPr>
              <w:t>工作</w:t>
            </w:r>
          </w:p>
        </w:tc>
        <w:tc>
          <w:tcPr>
            <w:tcW w:w="3041" w:type="pct"/>
            <w:tcBorders>
              <w:tl2br w:val="nil"/>
              <w:tr2bl w:val="nil"/>
            </w:tcBorders>
            <w:vAlign w:val="center"/>
          </w:tcPr>
          <w:p w14:paraId="1D189C74">
            <w:pPr>
              <w:pStyle w:val="267"/>
              <w:rPr>
                <w:rFonts w:hint="eastAsia" w:ascii="宋体" w:eastAsia="宋体"/>
                <w:sz w:val="18"/>
                <w:szCs w:val="18"/>
                <w:lang w:val="zh-CN"/>
              </w:rPr>
            </w:pPr>
            <w:r>
              <w:rPr>
                <w:rFonts w:ascii="宋体" w:eastAsia="宋体"/>
                <w:sz w:val="18"/>
                <w:szCs w:val="18"/>
                <w:lang w:val="zh-CN"/>
              </w:rPr>
              <w:t>温度：</w:t>
            </w:r>
            <w:r>
              <w:rPr>
                <w:rFonts w:hint="eastAsia" w:ascii="宋体" w:eastAsia="宋体"/>
                <w:sz w:val="18"/>
                <w:szCs w:val="18"/>
                <w:lang w:val="zh-CN"/>
              </w:rPr>
              <w:t>10</w:t>
            </w:r>
            <w:r>
              <w:rPr>
                <w:rFonts w:hint="eastAsia" w:ascii="宋体" w:eastAsia="宋体" w:cs="宋体"/>
                <w:sz w:val="18"/>
                <w:szCs w:val="18"/>
              </w:rPr>
              <w:t>℃</w:t>
            </w:r>
          </w:p>
          <w:p w14:paraId="5436D399">
            <w:pPr>
              <w:pStyle w:val="267"/>
              <w:rPr>
                <w:rFonts w:hint="eastAsia" w:ascii="宋体" w:eastAsia="宋体"/>
                <w:sz w:val="18"/>
                <w:szCs w:val="18"/>
                <w:lang w:val="zh-CN"/>
              </w:rPr>
            </w:pPr>
            <w:r>
              <w:rPr>
                <w:rFonts w:hint="eastAsia" w:ascii="宋体" w:eastAsia="宋体"/>
                <w:kern w:val="2"/>
                <w:sz w:val="18"/>
                <w:szCs w:val="18"/>
              </w:rPr>
              <w:t>符合</w:t>
            </w:r>
            <w:r>
              <w:rPr>
                <w:rFonts w:ascii="宋体" w:eastAsia="宋体"/>
                <w:kern w:val="2"/>
                <w:sz w:val="18"/>
                <w:szCs w:val="18"/>
              </w:rPr>
              <w:t>GB/T 6587-2012</w:t>
            </w:r>
            <w:r>
              <w:rPr>
                <w:rFonts w:hint="eastAsia" w:ascii="宋体" w:eastAsia="宋体"/>
                <w:kern w:val="2"/>
                <w:sz w:val="18"/>
                <w:szCs w:val="18"/>
              </w:rPr>
              <w:t xml:space="preserve"> 中4.7.1条关于环境组别I组要求。</w:t>
            </w:r>
          </w:p>
        </w:tc>
        <w:tc>
          <w:tcPr>
            <w:tcW w:w="979" w:type="pct"/>
            <w:tcBorders>
              <w:tl2br w:val="nil"/>
              <w:tr2bl w:val="nil"/>
            </w:tcBorders>
            <w:vAlign w:val="center"/>
          </w:tcPr>
          <w:p w14:paraId="56607D08">
            <w:pPr>
              <w:pStyle w:val="267"/>
              <w:rPr>
                <w:rFonts w:hint="eastAsia" w:ascii="宋体" w:eastAsia="宋体"/>
                <w:sz w:val="18"/>
                <w:szCs w:val="18"/>
                <w:lang w:val="zh-CN"/>
              </w:rPr>
            </w:pPr>
            <w:r>
              <w:rPr>
                <w:rFonts w:hint="eastAsia" w:ascii="宋体" w:eastAsia="宋体"/>
                <w:sz w:val="18"/>
                <w:szCs w:val="18"/>
                <w:lang w:val="zh-CN"/>
              </w:rPr>
              <w:t>台站式连续观测型</w:t>
            </w:r>
          </w:p>
        </w:tc>
      </w:tr>
      <w:tr w14:paraId="3D6A1C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vMerge w:val="continue"/>
            <w:tcBorders>
              <w:tl2br w:val="nil"/>
              <w:tr2bl w:val="nil"/>
            </w:tcBorders>
            <w:vAlign w:val="center"/>
          </w:tcPr>
          <w:p w14:paraId="5747A459">
            <w:pPr>
              <w:pStyle w:val="267"/>
              <w:jc w:val="center"/>
              <w:rPr>
                <w:rFonts w:hint="eastAsia" w:ascii="宋体" w:eastAsia="宋体"/>
                <w:sz w:val="18"/>
                <w:szCs w:val="18"/>
                <w:lang w:val="zh-CN"/>
              </w:rPr>
            </w:pPr>
          </w:p>
        </w:tc>
        <w:tc>
          <w:tcPr>
            <w:tcW w:w="608" w:type="pct"/>
            <w:vMerge w:val="continue"/>
            <w:tcBorders>
              <w:tl2br w:val="nil"/>
              <w:tr2bl w:val="nil"/>
            </w:tcBorders>
            <w:vAlign w:val="center"/>
          </w:tcPr>
          <w:p w14:paraId="7278DB3F">
            <w:pPr>
              <w:pStyle w:val="267"/>
              <w:jc w:val="center"/>
              <w:rPr>
                <w:rFonts w:hint="eastAsia" w:ascii="宋体" w:eastAsia="宋体"/>
                <w:sz w:val="18"/>
                <w:szCs w:val="18"/>
                <w:lang w:val="zh-CN"/>
              </w:rPr>
            </w:pPr>
          </w:p>
        </w:tc>
        <w:tc>
          <w:tcPr>
            <w:tcW w:w="3041" w:type="pct"/>
            <w:tcBorders>
              <w:tl2br w:val="nil"/>
              <w:tr2bl w:val="nil"/>
            </w:tcBorders>
            <w:vAlign w:val="center"/>
          </w:tcPr>
          <w:p w14:paraId="217FF5D3">
            <w:pPr>
              <w:pStyle w:val="267"/>
              <w:rPr>
                <w:rFonts w:hint="eastAsia" w:ascii="宋体" w:eastAsia="宋体"/>
                <w:sz w:val="18"/>
                <w:szCs w:val="18"/>
                <w:lang w:val="zh-CN"/>
              </w:rPr>
            </w:pPr>
            <w:r>
              <w:rPr>
                <w:rFonts w:ascii="宋体" w:eastAsia="宋体"/>
                <w:sz w:val="18"/>
                <w:szCs w:val="18"/>
                <w:lang w:val="zh-CN"/>
              </w:rPr>
              <w:t>温度：</w:t>
            </w:r>
            <w:r>
              <w:rPr>
                <w:rFonts w:hint="eastAsia" w:ascii="宋体" w:eastAsia="宋体"/>
                <w:sz w:val="18"/>
                <w:szCs w:val="18"/>
                <w:lang w:val="zh-CN"/>
              </w:rPr>
              <w:t>-10</w:t>
            </w:r>
            <w:r>
              <w:rPr>
                <w:rFonts w:hint="eastAsia" w:ascii="宋体" w:eastAsia="宋体" w:cs="宋体"/>
                <w:sz w:val="18"/>
                <w:szCs w:val="18"/>
              </w:rPr>
              <w:t>℃</w:t>
            </w:r>
          </w:p>
          <w:p w14:paraId="450675E5">
            <w:pPr>
              <w:pStyle w:val="267"/>
              <w:rPr>
                <w:rFonts w:hint="eastAsia" w:ascii="宋体" w:eastAsia="宋体"/>
                <w:sz w:val="18"/>
                <w:szCs w:val="18"/>
                <w:lang w:val="zh-CN"/>
              </w:rPr>
            </w:pPr>
            <w:r>
              <w:rPr>
                <w:rFonts w:hint="eastAsia" w:ascii="宋体" w:eastAsia="宋体"/>
                <w:kern w:val="2"/>
                <w:sz w:val="18"/>
                <w:szCs w:val="18"/>
              </w:rPr>
              <w:t>符合</w:t>
            </w:r>
            <w:r>
              <w:rPr>
                <w:rFonts w:ascii="宋体" w:eastAsia="宋体"/>
                <w:kern w:val="2"/>
                <w:sz w:val="18"/>
                <w:szCs w:val="18"/>
              </w:rPr>
              <w:t>GB/T 6587-2012</w:t>
            </w:r>
            <w:r>
              <w:rPr>
                <w:rFonts w:hint="eastAsia" w:ascii="宋体" w:eastAsia="宋体"/>
                <w:kern w:val="2"/>
                <w:sz w:val="18"/>
                <w:szCs w:val="18"/>
              </w:rPr>
              <w:t xml:space="preserve"> 中4.7.1条关于环境组别II组要求并考虑低温野外环境。</w:t>
            </w:r>
          </w:p>
        </w:tc>
        <w:tc>
          <w:tcPr>
            <w:tcW w:w="979" w:type="pct"/>
            <w:tcBorders>
              <w:tl2br w:val="nil"/>
              <w:tr2bl w:val="nil"/>
            </w:tcBorders>
            <w:vAlign w:val="center"/>
          </w:tcPr>
          <w:p w14:paraId="23E5AEA8">
            <w:pPr>
              <w:pStyle w:val="267"/>
              <w:rPr>
                <w:rFonts w:hint="eastAsia" w:ascii="宋体" w:eastAsia="宋体"/>
                <w:sz w:val="18"/>
                <w:szCs w:val="18"/>
                <w:lang w:val="zh-CN"/>
              </w:rPr>
            </w:pPr>
            <w:r>
              <w:rPr>
                <w:rFonts w:hint="eastAsia" w:ascii="宋体" w:eastAsia="宋体"/>
                <w:sz w:val="18"/>
                <w:szCs w:val="18"/>
                <w:lang w:val="zh-CN"/>
              </w:rPr>
              <w:t>流动观测型</w:t>
            </w:r>
          </w:p>
        </w:tc>
      </w:tr>
      <w:tr w14:paraId="3B0266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tcBorders>
              <w:tl2br w:val="nil"/>
              <w:tr2bl w:val="nil"/>
            </w:tcBorders>
            <w:vAlign w:val="center"/>
          </w:tcPr>
          <w:p w14:paraId="2AC30154">
            <w:pPr>
              <w:pStyle w:val="267"/>
              <w:jc w:val="center"/>
              <w:rPr>
                <w:rFonts w:hint="eastAsia" w:ascii="宋体" w:eastAsia="宋体"/>
                <w:sz w:val="18"/>
                <w:szCs w:val="18"/>
                <w:lang w:val="zh-CN"/>
              </w:rPr>
            </w:pPr>
            <w:r>
              <w:rPr>
                <w:rFonts w:ascii="宋体" w:eastAsia="宋体"/>
                <w:sz w:val="18"/>
                <w:szCs w:val="18"/>
                <w:lang w:val="zh-CN"/>
              </w:rPr>
              <w:t>2</w:t>
            </w:r>
          </w:p>
        </w:tc>
        <w:tc>
          <w:tcPr>
            <w:tcW w:w="608" w:type="pct"/>
            <w:tcBorders>
              <w:tl2br w:val="nil"/>
              <w:tr2bl w:val="nil"/>
            </w:tcBorders>
            <w:vAlign w:val="center"/>
          </w:tcPr>
          <w:p w14:paraId="1616CEDB">
            <w:pPr>
              <w:pStyle w:val="267"/>
              <w:jc w:val="center"/>
              <w:rPr>
                <w:rFonts w:hint="eastAsia" w:ascii="宋体" w:eastAsia="宋体"/>
                <w:sz w:val="18"/>
                <w:szCs w:val="18"/>
                <w:lang w:val="zh-CN"/>
              </w:rPr>
            </w:pPr>
            <w:r>
              <w:rPr>
                <w:rFonts w:ascii="宋体" w:eastAsia="宋体"/>
                <w:sz w:val="18"/>
                <w:szCs w:val="18"/>
                <w:lang w:val="zh-CN"/>
              </w:rPr>
              <w:t>低温贮存</w:t>
            </w:r>
          </w:p>
        </w:tc>
        <w:tc>
          <w:tcPr>
            <w:tcW w:w="3041" w:type="pct"/>
            <w:tcBorders>
              <w:tl2br w:val="nil"/>
              <w:tr2bl w:val="nil"/>
            </w:tcBorders>
            <w:vAlign w:val="center"/>
          </w:tcPr>
          <w:p w14:paraId="040A6B26">
            <w:pPr>
              <w:pStyle w:val="267"/>
              <w:rPr>
                <w:rFonts w:hint="eastAsia" w:ascii="宋体" w:eastAsia="宋体"/>
                <w:sz w:val="18"/>
                <w:szCs w:val="18"/>
                <w:lang w:val="zh-CN"/>
              </w:rPr>
            </w:pPr>
            <w:r>
              <w:rPr>
                <w:rFonts w:ascii="宋体" w:eastAsia="宋体"/>
                <w:sz w:val="18"/>
                <w:szCs w:val="18"/>
                <w:lang w:val="zh-CN"/>
              </w:rPr>
              <w:t>温度：</w:t>
            </w:r>
            <w:r>
              <w:rPr>
                <w:rFonts w:hint="eastAsia" w:ascii="宋体" w:eastAsia="宋体"/>
                <w:sz w:val="18"/>
                <w:szCs w:val="18"/>
                <w:lang w:val="zh-CN"/>
              </w:rPr>
              <w:t>-4</w:t>
            </w:r>
            <w:r>
              <w:rPr>
                <w:rFonts w:ascii="宋体" w:eastAsia="宋体"/>
                <w:sz w:val="18"/>
                <w:szCs w:val="18"/>
                <w:lang w:val="zh-CN"/>
              </w:rPr>
              <w:t>0</w:t>
            </w:r>
            <w:r>
              <w:rPr>
                <w:rFonts w:hint="eastAsia" w:ascii="宋体" w:eastAsia="宋体" w:cs="宋体"/>
                <w:sz w:val="18"/>
                <w:szCs w:val="18"/>
              </w:rPr>
              <w:t>℃</w:t>
            </w:r>
          </w:p>
          <w:p w14:paraId="1EBD3E23">
            <w:pPr>
              <w:pStyle w:val="267"/>
              <w:rPr>
                <w:rFonts w:hint="eastAsia" w:ascii="宋体" w:eastAsia="宋体"/>
                <w:sz w:val="18"/>
                <w:szCs w:val="18"/>
                <w:lang w:val="zh-CN"/>
              </w:rPr>
            </w:pPr>
            <w:r>
              <w:rPr>
                <w:rFonts w:hint="eastAsia" w:ascii="宋体" w:eastAsia="宋体"/>
                <w:kern w:val="2"/>
                <w:sz w:val="18"/>
                <w:szCs w:val="18"/>
              </w:rPr>
              <w:t>符合</w:t>
            </w:r>
            <w:r>
              <w:rPr>
                <w:rFonts w:ascii="宋体" w:eastAsia="宋体"/>
                <w:kern w:val="2"/>
                <w:sz w:val="18"/>
                <w:szCs w:val="18"/>
              </w:rPr>
              <w:t>GB/T 6587-2012</w:t>
            </w:r>
            <w:r>
              <w:rPr>
                <w:rFonts w:hint="eastAsia" w:ascii="宋体" w:eastAsia="宋体"/>
                <w:kern w:val="2"/>
                <w:sz w:val="18"/>
                <w:szCs w:val="18"/>
              </w:rPr>
              <w:t xml:space="preserve"> 中4.7.1条关于环境组别I、II组要求</w:t>
            </w:r>
            <w:r>
              <w:rPr>
                <w:rFonts w:ascii="宋体" w:eastAsia="宋体"/>
                <w:sz w:val="18"/>
                <w:szCs w:val="18"/>
                <w:lang w:val="zh-CN"/>
              </w:rPr>
              <w:t>。</w:t>
            </w:r>
          </w:p>
        </w:tc>
        <w:tc>
          <w:tcPr>
            <w:tcW w:w="979" w:type="pct"/>
            <w:tcBorders>
              <w:tl2br w:val="nil"/>
              <w:tr2bl w:val="nil"/>
            </w:tcBorders>
            <w:vAlign w:val="center"/>
          </w:tcPr>
          <w:p w14:paraId="5D059A6E">
            <w:pPr>
              <w:pStyle w:val="267"/>
              <w:rPr>
                <w:rFonts w:hint="eastAsia" w:ascii="宋体" w:eastAsia="宋体"/>
                <w:sz w:val="18"/>
                <w:szCs w:val="18"/>
                <w:lang w:val="zh-CN"/>
              </w:rPr>
            </w:pPr>
            <w:r>
              <w:rPr>
                <w:rFonts w:hint="eastAsia" w:ascii="宋体" w:eastAsia="宋体"/>
                <w:sz w:val="18"/>
                <w:szCs w:val="18"/>
                <w:lang w:val="zh-CN"/>
              </w:rPr>
              <w:t>/</w:t>
            </w:r>
          </w:p>
        </w:tc>
      </w:tr>
      <w:tr w14:paraId="1BF5DA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vMerge w:val="restart"/>
            <w:tcBorders>
              <w:tl2br w:val="nil"/>
              <w:tr2bl w:val="nil"/>
            </w:tcBorders>
            <w:vAlign w:val="center"/>
          </w:tcPr>
          <w:p w14:paraId="661E2061">
            <w:pPr>
              <w:pStyle w:val="267"/>
              <w:jc w:val="center"/>
              <w:rPr>
                <w:rFonts w:hint="eastAsia" w:ascii="宋体" w:eastAsia="宋体"/>
                <w:sz w:val="18"/>
                <w:szCs w:val="18"/>
                <w:lang w:val="zh-CN"/>
              </w:rPr>
            </w:pPr>
            <w:r>
              <w:rPr>
                <w:rFonts w:ascii="宋体" w:eastAsia="宋体"/>
                <w:sz w:val="18"/>
                <w:szCs w:val="18"/>
                <w:lang w:val="zh-CN"/>
              </w:rPr>
              <w:t>3</w:t>
            </w:r>
          </w:p>
        </w:tc>
        <w:tc>
          <w:tcPr>
            <w:tcW w:w="608" w:type="pct"/>
            <w:vMerge w:val="restart"/>
            <w:tcBorders>
              <w:tl2br w:val="nil"/>
              <w:tr2bl w:val="nil"/>
            </w:tcBorders>
            <w:vAlign w:val="center"/>
          </w:tcPr>
          <w:p w14:paraId="2CCD0939">
            <w:pPr>
              <w:pStyle w:val="267"/>
              <w:jc w:val="center"/>
              <w:rPr>
                <w:rFonts w:hint="eastAsia" w:ascii="宋体" w:eastAsia="宋体"/>
                <w:sz w:val="18"/>
                <w:szCs w:val="18"/>
                <w:lang w:val="zh-CN"/>
              </w:rPr>
            </w:pPr>
            <w:r>
              <w:rPr>
                <w:rFonts w:hint="eastAsia" w:ascii="宋体" w:eastAsia="宋体"/>
                <w:sz w:val="18"/>
                <w:szCs w:val="18"/>
                <w:lang w:val="zh-CN"/>
              </w:rPr>
              <w:t>高温</w:t>
            </w:r>
            <w:r>
              <w:rPr>
                <w:rFonts w:ascii="宋体" w:eastAsia="宋体"/>
                <w:sz w:val="18"/>
                <w:szCs w:val="18"/>
                <w:lang w:val="zh-CN"/>
              </w:rPr>
              <w:t>工作</w:t>
            </w:r>
          </w:p>
        </w:tc>
        <w:tc>
          <w:tcPr>
            <w:tcW w:w="3041" w:type="pct"/>
            <w:tcBorders>
              <w:tl2br w:val="nil"/>
              <w:tr2bl w:val="nil"/>
            </w:tcBorders>
            <w:vAlign w:val="center"/>
          </w:tcPr>
          <w:p w14:paraId="50E79D55">
            <w:pPr>
              <w:pStyle w:val="267"/>
              <w:rPr>
                <w:rFonts w:hint="eastAsia" w:ascii="宋体" w:eastAsia="宋体"/>
                <w:sz w:val="18"/>
                <w:szCs w:val="18"/>
                <w:lang w:val="zh-CN"/>
              </w:rPr>
            </w:pPr>
            <w:r>
              <w:rPr>
                <w:rFonts w:ascii="宋体" w:eastAsia="宋体"/>
                <w:sz w:val="18"/>
                <w:szCs w:val="18"/>
                <w:lang w:val="zh-CN"/>
              </w:rPr>
              <w:t>温度：</w:t>
            </w:r>
            <w:r>
              <w:rPr>
                <w:rFonts w:hint="eastAsia" w:ascii="宋体" w:eastAsia="宋体"/>
                <w:sz w:val="18"/>
                <w:szCs w:val="18"/>
                <w:lang w:val="zh-CN"/>
              </w:rPr>
              <w:t>3</w:t>
            </w:r>
            <w:r>
              <w:rPr>
                <w:rFonts w:ascii="宋体" w:eastAsia="宋体"/>
                <w:sz w:val="18"/>
                <w:szCs w:val="18"/>
                <w:lang w:val="zh-CN"/>
              </w:rPr>
              <w:t>0</w:t>
            </w:r>
            <w:r>
              <w:rPr>
                <w:rFonts w:hint="eastAsia" w:ascii="宋体" w:eastAsia="宋体" w:cs="宋体"/>
                <w:sz w:val="18"/>
                <w:szCs w:val="18"/>
              </w:rPr>
              <w:t>℃</w:t>
            </w:r>
          </w:p>
          <w:p w14:paraId="608BA69C">
            <w:pPr>
              <w:pStyle w:val="267"/>
              <w:rPr>
                <w:rFonts w:hint="eastAsia" w:ascii="宋体" w:eastAsia="宋体"/>
                <w:sz w:val="18"/>
                <w:szCs w:val="18"/>
                <w:lang w:val="zh-CN"/>
              </w:rPr>
            </w:pPr>
            <w:r>
              <w:rPr>
                <w:rFonts w:hint="eastAsia" w:ascii="宋体" w:eastAsia="宋体"/>
                <w:kern w:val="2"/>
                <w:sz w:val="18"/>
                <w:szCs w:val="18"/>
              </w:rPr>
              <w:t>符合</w:t>
            </w:r>
            <w:r>
              <w:rPr>
                <w:rFonts w:ascii="宋体" w:eastAsia="宋体"/>
                <w:kern w:val="2"/>
                <w:sz w:val="18"/>
                <w:szCs w:val="18"/>
              </w:rPr>
              <w:t>GB/T 6587-2012</w:t>
            </w:r>
            <w:r>
              <w:rPr>
                <w:rFonts w:hint="eastAsia" w:ascii="宋体" w:eastAsia="宋体"/>
                <w:kern w:val="2"/>
                <w:sz w:val="18"/>
                <w:szCs w:val="18"/>
              </w:rPr>
              <w:t xml:space="preserve"> 中4.7.1条关于环境组别I组要求</w:t>
            </w:r>
            <w:r>
              <w:rPr>
                <w:rFonts w:ascii="宋体" w:eastAsia="宋体"/>
                <w:sz w:val="18"/>
                <w:szCs w:val="18"/>
                <w:lang w:val="zh-CN"/>
              </w:rPr>
              <w:t>。</w:t>
            </w:r>
          </w:p>
        </w:tc>
        <w:tc>
          <w:tcPr>
            <w:tcW w:w="979" w:type="pct"/>
            <w:tcBorders>
              <w:tl2br w:val="nil"/>
              <w:tr2bl w:val="nil"/>
            </w:tcBorders>
            <w:vAlign w:val="center"/>
          </w:tcPr>
          <w:p w14:paraId="68839B9E">
            <w:pPr>
              <w:pStyle w:val="267"/>
              <w:rPr>
                <w:rFonts w:hint="eastAsia" w:ascii="宋体" w:eastAsia="宋体"/>
                <w:sz w:val="18"/>
                <w:szCs w:val="18"/>
                <w:lang w:val="zh-CN"/>
              </w:rPr>
            </w:pPr>
            <w:r>
              <w:rPr>
                <w:rFonts w:hint="eastAsia" w:ascii="宋体" w:eastAsia="宋体"/>
                <w:sz w:val="18"/>
                <w:szCs w:val="18"/>
                <w:lang w:val="zh-CN"/>
              </w:rPr>
              <w:t>台站式连续观测型</w:t>
            </w:r>
          </w:p>
        </w:tc>
      </w:tr>
      <w:tr w14:paraId="04F80C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vMerge w:val="continue"/>
            <w:tcBorders>
              <w:tl2br w:val="nil"/>
              <w:tr2bl w:val="nil"/>
            </w:tcBorders>
            <w:vAlign w:val="center"/>
          </w:tcPr>
          <w:p w14:paraId="41C3ECD9">
            <w:pPr>
              <w:pStyle w:val="267"/>
              <w:jc w:val="center"/>
              <w:rPr>
                <w:rFonts w:hint="eastAsia" w:ascii="宋体" w:eastAsia="宋体"/>
                <w:sz w:val="18"/>
                <w:szCs w:val="18"/>
                <w:lang w:val="zh-CN"/>
              </w:rPr>
            </w:pPr>
          </w:p>
        </w:tc>
        <w:tc>
          <w:tcPr>
            <w:tcW w:w="608" w:type="pct"/>
            <w:vMerge w:val="continue"/>
            <w:tcBorders>
              <w:tl2br w:val="nil"/>
              <w:tr2bl w:val="nil"/>
            </w:tcBorders>
            <w:vAlign w:val="center"/>
          </w:tcPr>
          <w:p w14:paraId="146221DE">
            <w:pPr>
              <w:pStyle w:val="267"/>
              <w:jc w:val="center"/>
              <w:rPr>
                <w:rFonts w:hint="eastAsia" w:ascii="宋体" w:eastAsia="宋体"/>
                <w:sz w:val="18"/>
                <w:szCs w:val="18"/>
                <w:lang w:val="zh-CN"/>
              </w:rPr>
            </w:pPr>
          </w:p>
        </w:tc>
        <w:tc>
          <w:tcPr>
            <w:tcW w:w="3041" w:type="pct"/>
            <w:tcBorders>
              <w:tl2br w:val="nil"/>
              <w:tr2bl w:val="nil"/>
            </w:tcBorders>
            <w:vAlign w:val="center"/>
          </w:tcPr>
          <w:p w14:paraId="13B9FDBE">
            <w:pPr>
              <w:pStyle w:val="267"/>
              <w:rPr>
                <w:rFonts w:hint="eastAsia" w:ascii="宋体" w:eastAsia="宋体"/>
                <w:sz w:val="18"/>
                <w:szCs w:val="18"/>
                <w:lang w:val="zh-CN"/>
              </w:rPr>
            </w:pPr>
            <w:r>
              <w:rPr>
                <w:rFonts w:ascii="宋体" w:eastAsia="宋体"/>
                <w:sz w:val="18"/>
                <w:szCs w:val="18"/>
                <w:lang w:val="zh-CN"/>
              </w:rPr>
              <w:t>温度：</w:t>
            </w:r>
            <w:r>
              <w:rPr>
                <w:rFonts w:hint="eastAsia" w:ascii="宋体" w:eastAsia="宋体"/>
                <w:sz w:val="18"/>
                <w:szCs w:val="18"/>
                <w:lang w:val="zh-CN"/>
              </w:rPr>
              <w:t>4</w:t>
            </w:r>
            <w:r>
              <w:rPr>
                <w:rFonts w:ascii="宋体" w:eastAsia="宋体"/>
                <w:sz w:val="18"/>
                <w:szCs w:val="18"/>
                <w:lang w:val="zh-CN"/>
              </w:rPr>
              <w:t>0</w:t>
            </w:r>
            <w:r>
              <w:rPr>
                <w:rFonts w:hint="eastAsia" w:ascii="宋体" w:eastAsia="宋体" w:cs="宋体"/>
                <w:sz w:val="18"/>
                <w:szCs w:val="18"/>
              </w:rPr>
              <w:t>℃</w:t>
            </w:r>
          </w:p>
          <w:p w14:paraId="61482F6C">
            <w:pPr>
              <w:pStyle w:val="267"/>
              <w:rPr>
                <w:rFonts w:hint="eastAsia" w:ascii="宋体" w:eastAsia="宋体"/>
                <w:sz w:val="18"/>
                <w:szCs w:val="18"/>
                <w:lang w:val="zh-CN"/>
              </w:rPr>
            </w:pPr>
            <w:r>
              <w:rPr>
                <w:rFonts w:hint="eastAsia" w:ascii="宋体" w:eastAsia="宋体"/>
                <w:kern w:val="2"/>
                <w:sz w:val="18"/>
                <w:szCs w:val="18"/>
              </w:rPr>
              <w:t>符合</w:t>
            </w:r>
            <w:r>
              <w:rPr>
                <w:rFonts w:ascii="宋体" w:eastAsia="宋体"/>
                <w:kern w:val="2"/>
                <w:sz w:val="18"/>
                <w:szCs w:val="18"/>
              </w:rPr>
              <w:t>GB/T 6587-2012</w:t>
            </w:r>
            <w:r>
              <w:rPr>
                <w:rFonts w:hint="eastAsia" w:ascii="宋体" w:eastAsia="宋体"/>
                <w:kern w:val="2"/>
                <w:sz w:val="18"/>
                <w:szCs w:val="18"/>
              </w:rPr>
              <w:t xml:space="preserve"> 中4.7.1条关于环境组别II组要求</w:t>
            </w:r>
            <w:r>
              <w:rPr>
                <w:rFonts w:ascii="宋体" w:eastAsia="宋体"/>
                <w:sz w:val="18"/>
                <w:szCs w:val="18"/>
                <w:lang w:val="zh-CN"/>
              </w:rPr>
              <w:t>。</w:t>
            </w:r>
          </w:p>
        </w:tc>
        <w:tc>
          <w:tcPr>
            <w:tcW w:w="979" w:type="pct"/>
            <w:tcBorders>
              <w:tl2br w:val="nil"/>
              <w:tr2bl w:val="nil"/>
            </w:tcBorders>
            <w:vAlign w:val="center"/>
          </w:tcPr>
          <w:p w14:paraId="2950346D">
            <w:pPr>
              <w:pStyle w:val="267"/>
              <w:rPr>
                <w:rFonts w:hint="eastAsia" w:ascii="宋体" w:eastAsia="宋体"/>
                <w:sz w:val="18"/>
                <w:szCs w:val="18"/>
                <w:lang w:val="zh-CN"/>
              </w:rPr>
            </w:pPr>
            <w:r>
              <w:rPr>
                <w:rFonts w:hint="eastAsia" w:ascii="宋体" w:eastAsia="宋体"/>
                <w:sz w:val="18"/>
                <w:szCs w:val="18"/>
                <w:lang w:val="zh-CN"/>
              </w:rPr>
              <w:t>流动观测型</w:t>
            </w:r>
          </w:p>
        </w:tc>
      </w:tr>
      <w:tr w14:paraId="5592DF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tcBorders>
              <w:tl2br w:val="nil"/>
              <w:tr2bl w:val="nil"/>
            </w:tcBorders>
            <w:vAlign w:val="center"/>
          </w:tcPr>
          <w:p w14:paraId="3B060D42">
            <w:pPr>
              <w:pStyle w:val="267"/>
              <w:jc w:val="center"/>
              <w:rPr>
                <w:rFonts w:hint="eastAsia" w:ascii="宋体" w:eastAsia="宋体"/>
                <w:sz w:val="18"/>
                <w:szCs w:val="18"/>
                <w:lang w:val="zh-CN"/>
              </w:rPr>
            </w:pPr>
            <w:r>
              <w:rPr>
                <w:rFonts w:hint="eastAsia" w:ascii="宋体" w:eastAsia="宋体"/>
                <w:sz w:val="18"/>
                <w:szCs w:val="18"/>
                <w:lang w:val="zh-CN"/>
              </w:rPr>
              <w:t>4</w:t>
            </w:r>
          </w:p>
        </w:tc>
        <w:tc>
          <w:tcPr>
            <w:tcW w:w="608" w:type="pct"/>
            <w:tcBorders>
              <w:tl2br w:val="nil"/>
              <w:tr2bl w:val="nil"/>
            </w:tcBorders>
            <w:vAlign w:val="center"/>
          </w:tcPr>
          <w:p w14:paraId="723771DE">
            <w:pPr>
              <w:pStyle w:val="267"/>
              <w:jc w:val="center"/>
              <w:rPr>
                <w:rFonts w:hint="eastAsia" w:ascii="宋体" w:eastAsia="宋体"/>
                <w:sz w:val="18"/>
                <w:szCs w:val="18"/>
                <w:lang w:val="zh-CN"/>
              </w:rPr>
            </w:pPr>
            <w:r>
              <w:rPr>
                <w:rFonts w:ascii="宋体" w:eastAsia="宋体"/>
                <w:sz w:val="18"/>
                <w:szCs w:val="18"/>
                <w:lang w:val="zh-CN"/>
              </w:rPr>
              <w:t>高温贮存</w:t>
            </w:r>
          </w:p>
        </w:tc>
        <w:tc>
          <w:tcPr>
            <w:tcW w:w="3041" w:type="pct"/>
            <w:tcBorders>
              <w:tl2br w:val="nil"/>
              <w:tr2bl w:val="nil"/>
            </w:tcBorders>
            <w:vAlign w:val="center"/>
          </w:tcPr>
          <w:p w14:paraId="54184A22">
            <w:pPr>
              <w:pStyle w:val="267"/>
              <w:rPr>
                <w:rFonts w:hint="eastAsia" w:ascii="宋体" w:eastAsia="宋体"/>
                <w:sz w:val="18"/>
                <w:szCs w:val="18"/>
                <w:lang w:val="zh-CN"/>
              </w:rPr>
            </w:pPr>
            <w:r>
              <w:rPr>
                <w:rFonts w:ascii="宋体" w:eastAsia="宋体"/>
                <w:sz w:val="18"/>
                <w:szCs w:val="18"/>
                <w:lang w:val="zh-CN"/>
              </w:rPr>
              <w:t>温度：</w:t>
            </w:r>
            <w:r>
              <w:rPr>
                <w:rFonts w:hint="eastAsia" w:ascii="宋体" w:eastAsia="宋体"/>
                <w:sz w:val="18"/>
                <w:szCs w:val="18"/>
                <w:lang w:val="zh-CN"/>
              </w:rPr>
              <w:t>6</w:t>
            </w:r>
            <w:r>
              <w:rPr>
                <w:rFonts w:ascii="宋体" w:eastAsia="宋体"/>
                <w:sz w:val="18"/>
                <w:szCs w:val="18"/>
                <w:lang w:val="zh-CN"/>
              </w:rPr>
              <w:t>0</w:t>
            </w:r>
            <w:r>
              <w:rPr>
                <w:rFonts w:hint="eastAsia" w:ascii="宋体" w:eastAsia="宋体" w:cs="宋体"/>
                <w:sz w:val="18"/>
                <w:szCs w:val="18"/>
              </w:rPr>
              <w:t>℃</w:t>
            </w:r>
          </w:p>
          <w:p w14:paraId="42E0D730">
            <w:pPr>
              <w:pStyle w:val="267"/>
              <w:rPr>
                <w:rFonts w:hint="eastAsia" w:ascii="宋体" w:eastAsia="宋体"/>
                <w:sz w:val="18"/>
                <w:szCs w:val="18"/>
                <w:lang w:val="zh-CN"/>
              </w:rPr>
            </w:pPr>
            <w:r>
              <w:rPr>
                <w:rFonts w:hint="eastAsia" w:ascii="宋体" w:eastAsia="宋体"/>
                <w:kern w:val="2"/>
                <w:sz w:val="18"/>
                <w:szCs w:val="18"/>
              </w:rPr>
              <w:t>符合</w:t>
            </w:r>
            <w:r>
              <w:rPr>
                <w:rFonts w:ascii="宋体" w:eastAsia="宋体"/>
                <w:kern w:val="2"/>
                <w:sz w:val="18"/>
                <w:szCs w:val="18"/>
              </w:rPr>
              <w:t>GB/T 6587-2012</w:t>
            </w:r>
            <w:r>
              <w:rPr>
                <w:rFonts w:hint="eastAsia" w:ascii="宋体" w:eastAsia="宋体"/>
                <w:kern w:val="2"/>
                <w:sz w:val="18"/>
                <w:szCs w:val="18"/>
              </w:rPr>
              <w:t xml:space="preserve"> 中4.7.1条关于环境组别I、II组要求</w:t>
            </w:r>
            <w:r>
              <w:rPr>
                <w:rFonts w:ascii="宋体" w:eastAsia="宋体"/>
                <w:sz w:val="18"/>
                <w:szCs w:val="18"/>
                <w:lang w:val="zh-CN"/>
              </w:rPr>
              <w:t>。</w:t>
            </w:r>
          </w:p>
        </w:tc>
        <w:tc>
          <w:tcPr>
            <w:tcW w:w="979" w:type="pct"/>
            <w:tcBorders>
              <w:tl2br w:val="nil"/>
              <w:tr2bl w:val="nil"/>
            </w:tcBorders>
            <w:vAlign w:val="center"/>
          </w:tcPr>
          <w:p w14:paraId="46AC284D">
            <w:pPr>
              <w:pStyle w:val="267"/>
              <w:ind w:firstLine="428"/>
              <w:jc w:val="center"/>
              <w:rPr>
                <w:rFonts w:hint="eastAsia" w:ascii="宋体" w:eastAsia="宋体"/>
                <w:sz w:val="18"/>
                <w:szCs w:val="18"/>
                <w:lang w:val="zh-CN"/>
              </w:rPr>
            </w:pPr>
            <w:r>
              <w:rPr>
                <w:rFonts w:hint="eastAsia" w:ascii="宋体" w:eastAsia="宋体"/>
                <w:sz w:val="18"/>
                <w:szCs w:val="18"/>
                <w:lang w:val="zh-CN"/>
              </w:rPr>
              <w:t>/</w:t>
            </w:r>
          </w:p>
        </w:tc>
      </w:tr>
      <w:tr w14:paraId="240323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vMerge w:val="restart"/>
            <w:tcBorders>
              <w:tl2br w:val="nil"/>
              <w:tr2bl w:val="nil"/>
            </w:tcBorders>
            <w:vAlign w:val="center"/>
          </w:tcPr>
          <w:p w14:paraId="7EA730AA">
            <w:pPr>
              <w:pStyle w:val="267"/>
              <w:jc w:val="center"/>
              <w:rPr>
                <w:rFonts w:hint="eastAsia" w:ascii="宋体" w:eastAsia="宋体"/>
                <w:sz w:val="18"/>
                <w:szCs w:val="18"/>
                <w:lang w:val="zh-CN"/>
              </w:rPr>
            </w:pPr>
            <w:r>
              <w:rPr>
                <w:rFonts w:hint="eastAsia" w:ascii="宋体" w:eastAsia="宋体"/>
                <w:sz w:val="18"/>
                <w:szCs w:val="18"/>
                <w:lang w:val="zh-CN"/>
              </w:rPr>
              <w:t>5</w:t>
            </w:r>
          </w:p>
        </w:tc>
        <w:tc>
          <w:tcPr>
            <w:tcW w:w="608" w:type="pct"/>
            <w:vMerge w:val="restart"/>
            <w:tcBorders>
              <w:tl2br w:val="nil"/>
              <w:tr2bl w:val="nil"/>
            </w:tcBorders>
            <w:vAlign w:val="center"/>
          </w:tcPr>
          <w:p w14:paraId="6F02E876">
            <w:pPr>
              <w:pStyle w:val="267"/>
              <w:jc w:val="center"/>
              <w:rPr>
                <w:rFonts w:hint="eastAsia" w:ascii="宋体" w:eastAsia="宋体"/>
                <w:sz w:val="18"/>
                <w:szCs w:val="18"/>
                <w:lang w:val="zh-CN"/>
              </w:rPr>
            </w:pPr>
            <w:r>
              <w:rPr>
                <w:rFonts w:ascii="宋体" w:eastAsia="宋体"/>
                <w:sz w:val="18"/>
                <w:szCs w:val="18"/>
                <w:lang w:val="zh-CN"/>
              </w:rPr>
              <w:t>湿热</w:t>
            </w:r>
          </w:p>
        </w:tc>
        <w:tc>
          <w:tcPr>
            <w:tcW w:w="3041" w:type="pct"/>
            <w:tcBorders>
              <w:tl2br w:val="nil"/>
              <w:tr2bl w:val="nil"/>
            </w:tcBorders>
            <w:vAlign w:val="center"/>
          </w:tcPr>
          <w:p w14:paraId="5D9CD6B3">
            <w:pPr>
              <w:pStyle w:val="267"/>
              <w:rPr>
                <w:rFonts w:hint="eastAsia" w:ascii="宋体" w:eastAsia="宋体"/>
                <w:sz w:val="18"/>
                <w:szCs w:val="18"/>
                <w:lang w:val="zh-CN"/>
              </w:rPr>
            </w:pPr>
            <w:r>
              <w:rPr>
                <w:rFonts w:ascii="宋体" w:eastAsia="宋体"/>
                <w:sz w:val="18"/>
                <w:szCs w:val="18"/>
                <w:lang w:val="zh-CN"/>
              </w:rPr>
              <w:t>相对湿度：</w:t>
            </w:r>
            <w:r>
              <w:rPr>
                <w:rFonts w:hint="eastAsia" w:ascii="宋体" w:eastAsia="宋体"/>
                <w:sz w:val="18"/>
                <w:szCs w:val="18"/>
                <w:lang w:val="zh-CN"/>
              </w:rPr>
              <w:t>20</w:t>
            </w:r>
            <w:r>
              <w:rPr>
                <w:rFonts w:ascii="宋体" w:eastAsia="宋体"/>
                <w:sz w:val="18"/>
                <w:szCs w:val="18"/>
                <w:lang w:val="zh-CN"/>
              </w:rPr>
              <w:t>%</w:t>
            </w:r>
            <w:r>
              <w:rPr>
                <w:rFonts w:hint="eastAsia" w:ascii="宋体" w:eastAsia="宋体"/>
                <w:sz w:val="18"/>
                <w:szCs w:val="18"/>
              </w:rPr>
              <w:t>～</w:t>
            </w:r>
            <w:r>
              <w:rPr>
                <w:rFonts w:hint="eastAsia" w:ascii="宋体" w:eastAsia="宋体"/>
                <w:sz w:val="18"/>
                <w:szCs w:val="18"/>
                <w:lang w:val="zh-CN"/>
              </w:rPr>
              <w:t>90</w:t>
            </w:r>
            <w:r>
              <w:rPr>
                <w:rFonts w:ascii="宋体" w:eastAsia="宋体"/>
                <w:sz w:val="18"/>
                <w:szCs w:val="18"/>
                <w:lang w:val="zh-CN"/>
              </w:rPr>
              <w:t>%</w:t>
            </w:r>
          </w:p>
          <w:p w14:paraId="64E57727">
            <w:pPr>
              <w:pStyle w:val="267"/>
              <w:rPr>
                <w:rFonts w:hint="eastAsia" w:ascii="宋体" w:eastAsia="宋体"/>
                <w:sz w:val="18"/>
                <w:szCs w:val="18"/>
                <w:lang w:val="zh-CN"/>
              </w:rPr>
            </w:pPr>
            <w:r>
              <w:rPr>
                <w:rFonts w:ascii="宋体" w:eastAsia="宋体"/>
                <w:sz w:val="18"/>
                <w:szCs w:val="18"/>
                <w:lang w:val="zh-CN"/>
              </w:rPr>
              <w:t>温度：30</w:t>
            </w:r>
            <w:r>
              <w:rPr>
                <w:rFonts w:hint="eastAsia" w:ascii="宋体" w:eastAsia="宋体" w:cs="宋体"/>
                <w:sz w:val="18"/>
                <w:szCs w:val="18"/>
              </w:rPr>
              <w:t>℃</w:t>
            </w:r>
          </w:p>
          <w:p w14:paraId="5219031C">
            <w:pPr>
              <w:pStyle w:val="267"/>
              <w:rPr>
                <w:rFonts w:hint="eastAsia" w:ascii="宋体" w:eastAsia="宋体"/>
                <w:sz w:val="18"/>
                <w:szCs w:val="18"/>
                <w:lang w:val="zh-CN"/>
              </w:rPr>
            </w:pPr>
            <w:r>
              <w:rPr>
                <w:rFonts w:hint="eastAsia" w:ascii="宋体" w:eastAsia="宋体"/>
                <w:kern w:val="2"/>
                <w:sz w:val="18"/>
                <w:szCs w:val="18"/>
              </w:rPr>
              <w:t>符合</w:t>
            </w:r>
            <w:r>
              <w:rPr>
                <w:rFonts w:ascii="宋体" w:eastAsia="宋体"/>
                <w:kern w:val="2"/>
                <w:sz w:val="18"/>
                <w:szCs w:val="18"/>
              </w:rPr>
              <w:t>GB/T 6587-2012</w:t>
            </w:r>
            <w:r>
              <w:rPr>
                <w:rFonts w:hint="eastAsia" w:ascii="宋体" w:eastAsia="宋体"/>
                <w:kern w:val="2"/>
                <w:sz w:val="18"/>
                <w:szCs w:val="18"/>
              </w:rPr>
              <w:t xml:space="preserve"> 中4.7.1条关于环境组别I组要求并考虑高湿度台站环境</w:t>
            </w:r>
            <w:r>
              <w:rPr>
                <w:rFonts w:ascii="宋体" w:eastAsia="宋体"/>
                <w:sz w:val="18"/>
                <w:szCs w:val="18"/>
                <w:lang w:val="zh-CN"/>
              </w:rPr>
              <w:t>。</w:t>
            </w:r>
          </w:p>
        </w:tc>
        <w:tc>
          <w:tcPr>
            <w:tcW w:w="979" w:type="pct"/>
            <w:tcBorders>
              <w:tl2br w:val="nil"/>
              <w:tr2bl w:val="nil"/>
            </w:tcBorders>
            <w:vAlign w:val="center"/>
          </w:tcPr>
          <w:p w14:paraId="24993140">
            <w:pPr>
              <w:pStyle w:val="267"/>
              <w:rPr>
                <w:rFonts w:hint="eastAsia" w:ascii="宋体" w:eastAsia="宋体"/>
                <w:sz w:val="18"/>
                <w:szCs w:val="18"/>
                <w:lang w:val="zh-CN"/>
              </w:rPr>
            </w:pPr>
            <w:r>
              <w:rPr>
                <w:rFonts w:hint="eastAsia" w:ascii="宋体" w:eastAsia="宋体"/>
                <w:sz w:val="18"/>
                <w:szCs w:val="18"/>
                <w:lang w:val="zh-CN"/>
              </w:rPr>
              <w:t>台站式连续观测型</w:t>
            </w:r>
          </w:p>
        </w:tc>
      </w:tr>
      <w:tr w14:paraId="45E4B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vMerge w:val="continue"/>
            <w:tcBorders>
              <w:tl2br w:val="nil"/>
              <w:tr2bl w:val="nil"/>
            </w:tcBorders>
            <w:vAlign w:val="center"/>
          </w:tcPr>
          <w:p w14:paraId="2769D875">
            <w:pPr>
              <w:pStyle w:val="267"/>
              <w:jc w:val="center"/>
              <w:rPr>
                <w:rFonts w:hint="eastAsia" w:ascii="宋体" w:eastAsia="宋体"/>
                <w:sz w:val="18"/>
                <w:szCs w:val="18"/>
                <w:lang w:val="zh-CN"/>
              </w:rPr>
            </w:pPr>
          </w:p>
        </w:tc>
        <w:tc>
          <w:tcPr>
            <w:tcW w:w="608" w:type="pct"/>
            <w:vMerge w:val="continue"/>
            <w:tcBorders>
              <w:tl2br w:val="nil"/>
              <w:tr2bl w:val="nil"/>
            </w:tcBorders>
            <w:vAlign w:val="center"/>
          </w:tcPr>
          <w:p w14:paraId="22A1C930">
            <w:pPr>
              <w:pStyle w:val="267"/>
              <w:jc w:val="center"/>
              <w:rPr>
                <w:rFonts w:hint="eastAsia" w:ascii="宋体" w:eastAsia="宋体"/>
                <w:sz w:val="18"/>
                <w:szCs w:val="18"/>
                <w:lang w:val="zh-CN"/>
              </w:rPr>
            </w:pPr>
          </w:p>
        </w:tc>
        <w:tc>
          <w:tcPr>
            <w:tcW w:w="3041" w:type="pct"/>
            <w:tcBorders>
              <w:tl2br w:val="nil"/>
              <w:tr2bl w:val="nil"/>
            </w:tcBorders>
            <w:vAlign w:val="center"/>
          </w:tcPr>
          <w:p w14:paraId="33AFF142">
            <w:pPr>
              <w:pStyle w:val="267"/>
              <w:rPr>
                <w:rFonts w:hint="eastAsia" w:ascii="宋体" w:eastAsia="宋体"/>
                <w:sz w:val="18"/>
                <w:szCs w:val="18"/>
                <w:lang w:val="zh-CN"/>
              </w:rPr>
            </w:pPr>
            <w:r>
              <w:rPr>
                <w:rFonts w:ascii="宋体" w:eastAsia="宋体"/>
                <w:sz w:val="18"/>
                <w:szCs w:val="18"/>
                <w:lang w:val="zh-CN"/>
              </w:rPr>
              <w:t>相对湿度：</w:t>
            </w:r>
            <w:r>
              <w:rPr>
                <w:rFonts w:hint="eastAsia" w:ascii="宋体" w:eastAsia="宋体"/>
                <w:sz w:val="18"/>
                <w:szCs w:val="18"/>
                <w:lang w:val="zh-CN"/>
              </w:rPr>
              <w:t>20</w:t>
            </w:r>
            <w:r>
              <w:rPr>
                <w:rFonts w:ascii="宋体" w:eastAsia="宋体"/>
                <w:sz w:val="18"/>
                <w:szCs w:val="18"/>
                <w:lang w:val="zh-CN"/>
              </w:rPr>
              <w:t>%</w:t>
            </w:r>
            <w:r>
              <w:rPr>
                <w:rFonts w:hint="eastAsia" w:ascii="宋体" w:eastAsia="宋体"/>
                <w:sz w:val="18"/>
                <w:szCs w:val="18"/>
              </w:rPr>
              <w:t>～</w:t>
            </w:r>
            <w:r>
              <w:rPr>
                <w:rFonts w:hint="eastAsia" w:ascii="宋体" w:eastAsia="宋体"/>
                <w:sz w:val="18"/>
                <w:szCs w:val="18"/>
                <w:lang w:val="zh-CN"/>
              </w:rPr>
              <w:t>90</w:t>
            </w:r>
            <w:r>
              <w:rPr>
                <w:rFonts w:ascii="宋体" w:eastAsia="宋体"/>
                <w:sz w:val="18"/>
                <w:szCs w:val="18"/>
                <w:lang w:val="zh-CN"/>
              </w:rPr>
              <w:t>%</w:t>
            </w:r>
          </w:p>
          <w:p w14:paraId="7FC73B01">
            <w:pPr>
              <w:pStyle w:val="267"/>
              <w:rPr>
                <w:rFonts w:hint="eastAsia" w:ascii="宋体" w:eastAsia="宋体"/>
                <w:sz w:val="18"/>
                <w:szCs w:val="18"/>
                <w:lang w:val="zh-CN"/>
              </w:rPr>
            </w:pPr>
            <w:r>
              <w:rPr>
                <w:rFonts w:ascii="宋体" w:eastAsia="宋体"/>
                <w:sz w:val="18"/>
                <w:szCs w:val="18"/>
                <w:lang w:val="zh-CN"/>
              </w:rPr>
              <w:t>温度：</w:t>
            </w:r>
            <w:r>
              <w:rPr>
                <w:rFonts w:hint="eastAsia" w:ascii="宋体" w:eastAsia="宋体"/>
                <w:sz w:val="18"/>
                <w:szCs w:val="18"/>
                <w:lang w:val="zh-CN"/>
              </w:rPr>
              <w:t>4</w:t>
            </w:r>
            <w:r>
              <w:rPr>
                <w:rFonts w:ascii="宋体" w:eastAsia="宋体"/>
                <w:sz w:val="18"/>
                <w:szCs w:val="18"/>
                <w:lang w:val="zh-CN"/>
              </w:rPr>
              <w:t>0</w:t>
            </w:r>
            <w:r>
              <w:rPr>
                <w:rFonts w:hint="eastAsia" w:ascii="宋体" w:eastAsia="宋体" w:cs="宋体"/>
                <w:sz w:val="18"/>
                <w:szCs w:val="18"/>
              </w:rPr>
              <w:t>℃</w:t>
            </w:r>
          </w:p>
          <w:p w14:paraId="192F80E3">
            <w:pPr>
              <w:pStyle w:val="267"/>
              <w:rPr>
                <w:rFonts w:hint="eastAsia" w:ascii="宋体" w:eastAsia="宋体"/>
                <w:sz w:val="18"/>
                <w:szCs w:val="18"/>
                <w:lang w:val="zh-CN"/>
              </w:rPr>
            </w:pPr>
            <w:r>
              <w:rPr>
                <w:rFonts w:hint="eastAsia" w:ascii="宋体" w:eastAsia="宋体"/>
                <w:kern w:val="2"/>
                <w:sz w:val="18"/>
                <w:szCs w:val="18"/>
              </w:rPr>
              <w:t>符合</w:t>
            </w:r>
            <w:r>
              <w:rPr>
                <w:rFonts w:ascii="宋体" w:eastAsia="宋体"/>
                <w:kern w:val="2"/>
                <w:sz w:val="18"/>
                <w:szCs w:val="18"/>
              </w:rPr>
              <w:t>GB/T 6587-2012</w:t>
            </w:r>
            <w:r>
              <w:rPr>
                <w:rFonts w:hint="eastAsia" w:ascii="宋体" w:eastAsia="宋体"/>
                <w:kern w:val="2"/>
                <w:sz w:val="18"/>
                <w:szCs w:val="18"/>
              </w:rPr>
              <w:t xml:space="preserve"> 中4.7.1条关于环境组别II组要求</w:t>
            </w:r>
            <w:r>
              <w:rPr>
                <w:rFonts w:ascii="宋体" w:eastAsia="宋体"/>
                <w:sz w:val="18"/>
                <w:szCs w:val="18"/>
                <w:lang w:val="zh-CN"/>
              </w:rPr>
              <w:t>。</w:t>
            </w:r>
          </w:p>
        </w:tc>
        <w:tc>
          <w:tcPr>
            <w:tcW w:w="979" w:type="pct"/>
            <w:tcBorders>
              <w:tl2br w:val="nil"/>
              <w:tr2bl w:val="nil"/>
            </w:tcBorders>
            <w:vAlign w:val="center"/>
          </w:tcPr>
          <w:p w14:paraId="4E70511E">
            <w:pPr>
              <w:pStyle w:val="267"/>
              <w:rPr>
                <w:rFonts w:hint="eastAsia" w:ascii="宋体" w:eastAsia="宋体"/>
                <w:sz w:val="18"/>
                <w:szCs w:val="18"/>
                <w:lang w:val="zh-CN"/>
              </w:rPr>
            </w:pPr>
            <w:r>
              <w:rPr>
                <w:rFonts w:hint="eastAsia" w:ascii="宋体" w:eastAsia="宋体"/>
                <w:sz w:val="18"/>
                <w:szCs w:val="18"/>
                <w:lang w:val="zh-CN"/>
              </w:rPr>
              <w:t>流动观测型</w:t>
            </w:r>
          </w:p>
        </w:tc>
      </w:tr>
      <w:tr w14:paraId="007B19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tcBorders>
              <w:tl2br w:val="nil"/>
              <w:tr2bl w:val="nil"/>
            </w:tcBorders>
            <w:vAlign w:val="center"/>
          </w:tcPr>
          <w:p w14:paraId="7377615B">
            <w:pPr>
              <w:pStyle w:val="267"/>
              <w:jc w:val="center"/>
              <w:rPr>
                <w:rFonts w:hint="eastAsia" w:ascii="宋体" w:eastAsia="宋体"/>
                <w:sz w:val="18"/>
                <w:szCs w:val="18"/>
                <w:lang w:val="zh-CN"/>
              </w:rPr>
            </w:pPr>
            <w:r>
              <w:rPr>
                <w:rFonts w:ascii="宋体" w:eastAsia="宋体"/>
                <w:sz w:val="18"/>
                <w:szCs w:val="18"/>
                <w:lang w:val="zh-CN"/>
              </w:rPr>
              <w:t>6</w:t>
            </w:r>
          </w:p>
        </w:tc>
        <w:tc>
          <w:tcPr>
            <w:tcW w:w="608" w:type="pct"/>
            <w:tcBorders>
              <w:tl2br w:val="nil"/>
              <w:tr2bl w:val="nil"/>
            </w:tcBorders>
            <w:vAlign w:val="center"/>
          </w:tcPr>
          <w:p w14:paraId="45DEDF70">
            <w:pPr>
              <w:pStyle w:val="267"/>
              <w:jc w:val="center"/>
              <w:rPr>
                <w:rFonts w:hint="eastAsia" w:ascii="宋体" w:eastAsia="宋体"/>
                <w:sz w:val="18"/>
                <w:szCs w:val="18"/>
                <w:lang w:val="zh-CN"/>
              </w:rPr>
            </w:pPr>
            <w:r>
              <w:rPr>
                <w:rFonts w:ascii="宋体" w:eastAsia="宋体"/>
                <w:sz w:val="18"/>
                <w:szCs w:val="18"/>
                <w:lang w:val="zh-CN"/>
              </w:rPr>
              <w:t>低气压</w:t>
            </w:r>
          </w:p>
        </w:tc>
        <w:tc>
          <w:tcPr>
            <w:tcW w:w="3041" w:type="pct"/>
            <w:tcBorders>
              <w:tl2br w:val="nil"/>
              <w:tr2bl w:val="nil"/>
            </w:tcBorders>
            <w:vAlign w:val="center"/>
          </w:tcPr>
          <w:p w14:paraId="122E9D70">
            <w:pPr>
              <w:pStyle w:val="267"/>
              <w:rPr>
                <w:rFonts w:hint="eastAsia" w:ascii="宋体" w:eastAsia="宋体"/>
                <w:sz w:val="18"/>
                <w:szCs w:val="18"/>
                <w:lang w:val="zh-CN"/>
              </w:rPr>
            </w:pPr>
            <w:r>
              <w:rPr>
                <w:rFonts w:hint="eastAsia" w:ascii="宋体" w:eastAsia="宋体"/>
                <w:sz w:val="18"/>
                <w:szCs w:val="18"/>
                <w:lang w:val="zh-CN"/>
              </w:rPr>
              <w:t>气压：54kPa</w:t>
            </w:r>
          </w:p>
          <w:p w14:paraId="215A8BAF">
            <w:pPr>
              <w:pStyle w:val="267"/>
              <w:rPr>
                <w:rFonts w:hint="eastAsia" w:ascii="宋体" w:eastAsia="宋体"/>
                <w:sz w:val="18"/>
                <w:szCs w:val="18"/>
                <w:lang w:val="zh-CN"/>
              </w:rPr>
            </w:pPr>
            <w:r>
              <w:rPr>
                <w:rFonts w:ascii="宋体" w:eastAsia="宋体"/>
                <w:sz w:val="18"/>
                <w:szCs w:val="18"/>
                <w:lang w:val="zh-CN"/>
              </w:rPr>
              <w:t>符合</w:t>
            </w:r>
            <w:r>
              <w:rPr>
                <w:rFonts w:ascii="宋体" w:eastAsia="宋体"/>
                <w:kern w:val="2"/>
                <w:sz w:val="18"/>
                <w:szCs w:val="18"/>
              </w:rPr>
              <w:t>GB/T 2423.21-2025</w:t>
            </w:r>
            <w:r>
              <w:rPr>
                <w:rFonts w:hint="eastAsia" w:ascii="宋体" w:eastAsia="宋体"/>
                <w:kern w:val="2"/>
                <w:sz w:val="18"/>
                <w:szCs w:val="18"/>
              </w:rPr>
              <w:t>中5.1.2条5000m海拔高度</w:t>
            </w:r>
            <w:r>
              <w:rPr>
                <w:rFonts w:ascii="宋体" w:eastAsia="宋体"/>
                <w:kern w:val="2"/>
                <w:sz w:val="18"/>
                <w:szCs w:val="18"/>
              </w:rPr>
              <w:t>的</w:t>
            </w:r>
            <w:r>
              <w:rPr>
                <w:rFonts w:ascii="宋体" w:eastAsia="宋体"/>
                <w:sz w:val="18"/>
                <w:szCs w:val="18"/>
                <w:lang w:val="zh-CN"/>
              </w:rPr>
              <w:t>要求。</w:t>
            </w:r>
          </w:p>
        </w:tc>
        <w:tc>
          <w:tcPr>
            <w:tcW w:w="979" w:type="pct"/>
            <w:tcBorders>
              <w:tl2br w:val="nil"/>
              <w:tr2bl w:val="nil"/>
            </w:tcBorders>
            <w:vAlign w:val="center"/>
          </w:tcPr>
          <w:p w14:paraId="29AD82AE">
            <w:pPr>
              <w:pStyle w:val="267"/>
              <w:jc w:val="center"/>
              <w:rPr>
                <w:rFonts w:hint="eastAsia" w:ascii="宋体" w:eastAsia="宋体"/>
                <w:sz w:val="18"/>
                <w:szCs w:val="18"/>
                <w:lang w:val="zh-CN"/>
              </w:rPr>
            </w:pPr>
            <w:r>
              <w:rPr>
                <w:rFonts w:hint="eastAsia" w:ascii="宋体" w:eastAsia="宋体"/>
                <w:sz w:val="18"/>
                <w:szCs w:val="18"/>
                <w:lang w:val="zh-CN"/>
              </w:rPr>
              <w:t>/</w:t>
            </w:r>
          </w:p>
        </w:tc>
      </w:tr>
      <w:tr w14:paraId="760152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0" w:type="dxa"/>
            <w:bottom w:w="57" w:type="dxa"/>
            <w:right w:w="0" w:type="dxa"/>
          </w:tblCellMar>
        </w:tblPrEx>
        <w:trPr>
          <w:trHeight w:val="23" w:hRule="atLeast"/>
          <w:jc w:val="center"/>
        </w:trPr>
        <w:tc>
          <w:tcPr>
            <w:tcW w:w="372" w:type="pct"/>
            <w:tcBorders>
              <w:tl2br w:val="nil"/>
              <w:tr2bl w:val="nil"/>
            </w:tcBorders>
            <w:vAlign w:val="center"/>
          </w:tcPr>
          <w:p w14:paraId="0D87E711">
            <w:pPr>
              <w:pStyle w:val="267"/>
              <w:jc w:val="center"/>
              <w:rPr>
                <w:rFonts w:hint="eastAsia" w:ascii="宋体" w:eastAsia="宋体"/>
                <w:sz w:val="18"/>
                <w:szCs w:val="18"/>
                <w:lang w:val="zh-CN"/>
              </w:rPr>
            </w:pPr>
            <w:r>
              <w:rPr>
                <w:rFonts w:ascii="宋体" w:eastAsia="宋体"/>
                <w:sz w:val="18"/>
                <w:szCs w:val="18"/>
                <w:lang w:val="zh-CN"/>
              </w:rPr>
              <w:t>7</w:t>
            </w:r>
          </w:p>
        </w:tc>
        <w:tc>
          <w:tcPr>
            <w:tcW w:w="608" w:type="pct"/>
            <w:tcBorders>
              <w:tl2br w:val="nil"/>
              <w:tr2bl w:val="nil"/>
            </w:tcBorders>
            <w:vAlign w:val="center"/>
          </w:tcPr>
          <w:p w14:paraId="31B81D18">
            <w:pPr>
              <w:pStyle w:val="267"/>
              <w:jc w:val="center"/>
              <w:rPr>
                <w:rFonts w:hint="eastAsia" w:ascii="宋体" w:eastAsia="宋体"/>
                <w:sz w:val="18"/>
                <w:szCs w:val="18"/>
                <w:lang w:val="zh-CN"/>
              </w:rPr>
            </w:pPr>
            <w:r>
              <w:rPr>
                <w:rFonts w:ascii="宋体" w:eastAsia="宋体"/>
                <w:sz w:val="18"/>
                <w:szCs w:val="18"/>
                <w:lang w:val="zh-CN"/>
              </w:rPr>
              <w:t>振动</w:t>
            </w:r>
          </w:p>
        </w:tc>
        <w:tc>
          <w:tcPr>
            <w:tcW w:w="3041" w:type="pct"/>
            <w:tcBorders>
              <w:tl2br w:val="nil"/>
              <w:tr2bl w:val="nil"/>
            </w:tcBorders>
            <w:vAlign w:val="center"/>
          </w:tcPr>
          <w:p w14:paraId="7F40DD3F">
            <w:pPr>
              <w:pStyle w:val="267"/>
              <w:rPr>
                <w:rFonts w:hint="eastAsia" w:ascii="宋体" w:eastAsia="宋体"/>
                <w:sz w:val="18"/>
                <w:szCs w:val="18"/>
                <w:lang w:val="zh-CN"/>
              </w:rPr>
            </w:pPr>
            <w:r>
              <w:rPr>
                <w:rFonts w:ascii="宋体" w:eastAsia="宋体"/>
                <w:kern w:val="2"/>
                <w:sz w:val="18"/>
                <w:szCs w:val="18"/>
              </w:rPr>
              <w:t>符合GB∕T 4857.23-2021中</w:t>
            </w:r>
            <w:r>
              <w:rPr>
                <w:rFonts w:hint="eastAsia" w:ascii="宋体" w:eastAsia="宋体"/>
                <w:kern w:val="2"/>
                <w:sz w:val="18"/>
                <w:szCs w:val="18"/>
              </w:rPr>
              <w:t>D</w:t>
            </w:r>
            <w:r>
              <w:rPr>
                <w:rFonts w:ascii="宋体" w:eastAsia="宋体"/>
                <w:kern w:val="2"/>
                <w:sz w:val="18"/>
                <w:szCs w:val="18"/>
              </w:rPr>
              <w:t>.</w:t>
            </w:r>
            <w:r>
              <w:rPr>
                <w:rFonts w:hint="eastAsia" w:ascii="宋体" w:eastAsia="宋体"/>
                <w:kern w:val="2"/>
                <w:sz w:val="18"/>
                <w:szCs w:val="18"/>
              </w:rPr>
              <w:t>1</w:t>
            </w:r>
            <w:r>
              <w:rPr>
                <w:rFonts w:ascii="宋体" w:eastAsia="宋体"/>
                <w:kern w:val="2"/>
                <w:sz w:val="18"/>
                <w:szCs w:val="18"/>
              </w:rPr>
              <w:t>中关于</w:t>
            </w:r>
            <w:r>
              <w:rPr>
                <w:rFonts w:hint="eastAsia" w:ascii="宋体" w:eastAsia="宋体"/>
                <w:kern w:val="2"/>
                <w:sz w:val="18"/>
                <w:szCs w:val="18"/>
              </w:rPr>
              <w:t>2级公路</w:t>
            </w:r>
            <w:r>
              <w:rPr>
                <w:rFonts w:ascii="宋体" w:eastAsia="宋体"/>
                <w:kern w:val="2"/>
                <w:sz w:val="18"/>
                <w:szCs w:val="18"/>
              </w:rPr>
              <w:t>运输的要求。</w:t>
            </w:r>
          </w:p>
        </w:tc>
        <w:tc>
          <w:tcPr>
            <w:tcW w:w="979" w:type="pct"/>
            <w:tcBorders>
              <w:tl2br w:val="nil"/>
              <w:tr2bl w:val="nil"/>
            </w:tcBorders>
            <w:vAlign w:val="center"/>
          </w:tcPr>
          <w:p w14:paraId="7674B2EE">
            <w:pPr>
              <w:pStyle w:val="267"/>
              <w:jc w:val="center"/>
              <w:rPr>
                <w:rFonts w:hint="eastAsia" w:ascii="宋体" w:eastAsia="宋体"/>
                <w:sz w:val="18"/>
                <w:szCs w:val="18"/>
                <w:lang w:val="zh-CN"/>
              </w:rPr>
            </w:pPr>
            <w:r>
              <w:rPr>
                <w:rFonts w:ascii="宋体" w:eastAsia="宋体"/>
                <w:sz w:val="18"/>
                <w:szCs w:val="18"/>
                <w:lang w:val="zh-CN"/>
              </w:rPr>
              <w:t>/</w:t>
            </w:r>
          </w:p>
        </w:tc>
      </w:tr>
    </w:tbl>
    <w:p w14:paraId="2BC39363">
      <w:pPr>
        <w:pStyle w:val="110"/>
        <w:spacing w:before="120" w:after="120"/>
        <w:rPr>
          <w:szCs w:val="21"/>
        </w:rPr>
      </w:pPr>
      <w:bookmarkStart w:id="101" w:name="_Toc3943"/>
      <w:r>
        <w:rPr>
          <w:rFonts w:hint="eastAsia"/>
          <w:szCs w:val="21"/>
        </w:rPr>
        <w:t>低温工作</w:t>
      </w:r>
      <w:bookmarkEnd w:id="101"/>
    </w:p>
    <w:p w14:paraId="08F9FF94">
      <w:pPr>
        <w:pStyle w:val="70"/>
        <w:spacing w:before="120" w:after="120"/>
        <w:rPr>
          <w:szCs w:val="21"/>
        </w:rPr>
      </w:pPr>
      <w:r>
        <w:rPr>
          <w:rFonts w:hint="eastAsia"/>
          <w:szCs w:val="21"/>
        </w:rPr>
        <w:t>测试目的</w:t>
      </w:r>
    </w:p>
    <w:p w14:paraId="79CE9698">
      <w:pPr>
        <w:pStyle w:val="61"/>
        <w:ind w:firstLine="420"/>
      </w:pPr>
      <w:r>
        <w:rPr>
          <w:rFonts w:hint="eastAsia"/>
        </w:rPr>
        <w:t>考核</w:t>
      </w:r>
      <w:r>
        <w:t>被试</w:t>
      </w:r>
      <w:r>
        <w:rPr>
          <w:rFonts w:hint="eastAsia"/>
        </w:rPr>
        <w:t>设备</w:t>
      </w:r>
      <w:r>
        <w:t>在</w:t>
      </w:r>
      <w:r>
        <w:rPr>
          <w:rFonts w:hint="eastAsia"/>
        </w:rPr>
        <w:t>低温</w:t>
      </w:r>
      <w:r>
        <w:t>环境条件下的</w:t>
      </w:r>
      <w:r>
        <w:rPr>
          <w:rFonts w:hint="eastAsia"/>
        </w:rPr>
        <w:t>工作</w:t>
      </w:r>
      <w:r>
        <w:t>适应性</w:t>
      </w:r>
      <w:r>
        <w:rPr>
          <w:rFonts w:hint="eastAsia"/>
        </w:rPr>
        <w:t>。</w:t>
      </w:r>
    </w:p>
    <w:p w14:paraId="05745084">
      <w:pPr>
        <w:pStyle w:val="70"/>
        <w:tabs>
          <w:tab w:val="left" w:pos="721"/>
        </w:tabs>
        <w:spacing w:before="120" w:after="120"/>
        <w:rPr>
          <w:szCs w:val="21"/>
        </w:rPr>
      </w:pPr>
      <w:r>
        <w:rPr>
          <w:rFonts w:hint="eastAsia"/>
          <w:szCs w:val="21"/>
        </w:rPr>
        <w:t>测试条件</w:t>
      </w:r>
    </w:p>
    <w:p w14:paraId="5A417ED7">
      <w:pPr>
        <w:pStyle w:val="61"/>
        <w:ind w:firstLine="420"/>
      </w:pPr>
      <w:r>
        <w:rPr>
          <w:rFonts w:hint="eastAsia"/>
        </w:rPr>
        <w:t>试验箱测试允差：温度±2℃</w:t>
      </w:r>
    </w:p>
    <w:p w14:paraId="1DABE25D">
      <w:pPr>
        <w:pStyle w:val="61"/>
        <w:ind w:firstLine="420"/>
      </w:pPr>
      <w:r>
        <w:rPr>
          <w:rFonts w:hint="eastAsia"/>
        </w:rPr>
        <w:t>根据仪器使用工况分为：</w:t>
      </w:r>
    </w:p>
    <w:p w14:paraId="6617BE9C">
      <w:pPr>
        <w:pStyle w:val="179"/>
        <w:numPr>
          <w:ilvl w:val="0"/>
          <w:numId w:val="46"/>
        </w:numPr>
      </w:pPr>
      <w:r>
        <w:rPr>
          <w:rFonts w:hint="eastAsia"/>
        </w:rPr>
        <w:t>台站式连续观测型：温度10℃；</w:t>
      </w:r>
    </w:p>
    <w:p w14:paraId="37F842AF">
      <w:pPr>
        <w:pStyle w:val="179"/>
        <w:numPr>
          <w:ilvl w:val="0"/>
          <w:numId w:val="46"/>
        </w:numPr>
      </w:pPr>
      <w:r>
        <w:rPr>
          <w:rFonts w:hint="eastAsia"/>
        </w:rPr>
        <w:t>流动观测型：温度-10℃。</w:t>
      </w:r>
    </w:p>
    <w:p w14:paraId="4A230F83">
      <w:pPr>
        <w:pStyle w:val="70"/>
        <w:tabs>
          <w:tab w:val="left" w:pos="721"/>
        </w:tabs>
        <w:spacing w:before="120" w:after="120"/>
        <w:rPr>
          <w:szCs w:val="21"/>
        </w:rPr>
      </w:pPr>
      <w:r>
        <w:rPr>
          <w:rFonts w:hint="eastAsia"/>
          <w:szCs w:val="21"/>
        </w:rPr>
        <w:t>测试方法</w:t>
      </w:r>
    </w:p>
    <w:p w14:paraId="3E16E98F">
      <w:pPr>
        <w:pStyle w:val="179"/>
        <w:numPr>
          <w:ilvl w:val="0"/>
          <w:numId w:val="47"/>
        </w:numPr>
      </w:pPr>
      <w:r>
        <w:rPr>
          <w:rFonts w:hint="eastAsia"/>
        </w:rPr>
        <w:t>将被试设备安放在试验箱内，上电预热；</w:t>
      </w:r>
    </w:p>
    <w:p w14:paraId="100AEC0B">
      <w:pPr>
        <w:pStyle w:val="179"/>
        <w:numPr>
          <w:ilvl w:val="0"/>
          <w:numId w:val="47"/>
        </w:numPr>
      </w:pPr>
      <w:r>
        <w:t>被试</w:t>
      </w:r>
      <w:r>
        <w:rPr>
          <w:rFonts w:hint="eastAsia"/>
        </w:rPr>
        <w:t>设备</w:t>
      </w:r>
      <w:r>
        <w:t>达到温度稳定</w:t>
      </w:r>
      <w:r>
        <w:rPr>
          <w:rFonts w:hint="eastAsia"/>
        </w:rPr>
        <w:t>后，</w:t>
      </w:r>
      <w:r>
        <w:t>按</w:t>
      </w:r>
      <w:r>
        <w:rPr>
          <w:rFonts w:hint="eastAsia"/>
        </w:rPr>
        <w:t>8.</w:t>
      </w:r>
      <w:r>
        <w:t>2</w:t>
      </w:r>
      <w:r>
        <w:rPr>
          <w:rFonts w:hint="eastAsia"/>
        </w:rPr>
        <w:t>的要求进行试验前的功能测试，记录检测结果</w:t>
      </w:r>
      <w:r>
        <w:t>；</w:t>
      </w:r>
    </w:p>
    <w:p w14:paraId="0E0E145A">
      <w:pPr>
        <w:pStyle w:val="179"/>
        <w:numPr>
          <w:ilvl w:val="0"/>
          <w:numId w:val="47"/>
        </w:numPr>
      </w:pPr>
      <w:r>
        <w:t>以不大于3</w:t>
      </w:r>
      <w:r>
        <w:rPr>
          <w:rFonts w:hint="eastAsia"/>
        </w:rPr>
        <w:t>℃</w:t>
      </w:r>
      <w:r>
        <w:t>/min的降温速率将温箱温度调节至</w:t>
      </w:r>
      <w:r>
        <w:rPr>
          <w:rFonts w:hint="eastAsia"/>
        </w:rPr>
        <w:t>10℃（-10℃，0℃）</w:t>
      </w:r>
      <w:r>
        <w:t>，保持4h；</w:t>
      </w:r>
    </w:p>
    <w:p w14:paraId="4D2F7691">
      <w:pPr>
        <w:pStyle w:val="179"/>
        <w:numPr>
          <w:ilvl w:val="0"/>
          <w:numId w:val="47"/>
        </w:numPr>
      </w:pPr>
      <w:r>
        <w:rPr>
          <w:rFonts w:hint="eastAsia"/>
        </w:rPr>
        <w:t>保持4</w:t>
      </w:r>
      <w:r>
        <w:t>h后，</w:t>
      </w:r>
      <w:r>
        <w:rPr>
          <w:rFonts w:hint="eastAsia"/>
        </w:rPr>
        <w:t>按8.3的</w:t>
      </w:r>
      <w:r>
        <w:t>要求</w:t>
      </w:r>
      <w:r>
        <w:rPr>
          <w:rFonts w:hint="eastAsia"/>
        </w:rPr>
        <w:t>对</w:t>
      </w:r>
      <w:r>
        <w:t>被试</w:t>
      </w:r>
      <w:r>
        <w:rPr>
          <w:rFonts w:hint="eastAsia"/>
        </w:rPr>
        <w:t>设备</w:t>
      </w:r>
      <w:r>
        <w:t>进行试验</w:t>
      </w:r>
      <w:r>
        <w:rPr>
          <w:rFonts w:hint="eastAsia"/>
        </w:rPr>
        <w:t>中的功能测试，记录检测结果；</w:t>
      </w:r>
    </w:p>
    <w:p w14:paraId="30E48985">
      <w:pPr>
        <w:pStyle w:val="179"/>
        <w:numPr>
          <w:ilvl w:val="0"/>
          <w:numId w:val="47"/>
        </w:numPr>
      </w:pPr>
      <w:r>
        <w:t>以不大于3</w:t>
      </w:r>
      <w:r>
        <w:rPr>
          <w:rFonts w:hint="eastAsia"/>
        </w:rPr>
        <w:t>℃</w:t>
      </w:r>
      <w:r>
        <w:t>/min的</w:t>
      </w:r>
      <w:r>
        <w:rPr>
          <w:rFonts w:hint="eastAsia"/>
        </w:rPr>
        <w:t>升</w:t>
      </w:r>
      <w:r>
        <w:t>温速率将温箱温度调节至</w:t>
      </w:r>
      <w:r>
        <w:rPr>
          <w:rFonts w:hint="eastAsia"/>
        </w:rPr>
        <w:t>室温</w:t>
      </w:r>
      <w:r>
        <w:t>，保持4h；</w:t>
      </w:r>
    </w:p>
    <w:p w14:paraId="4A7C7BEC">
      <w:pPr>
        <w:pStyle w:val="179"/>
        <w:numPr>
          <w:ilvl w:val="0"/>
          <w:numId w:val="47"/>
        </w:numPr>
      </w:pPr>
      <w:r>
        <w:rPr>
          <w:rFonts w:hint="eastAsia"/>
        </w:rPr>
        <w:t>按8.</w:t>
      </w:r>
      <w:r>
        <w:t>4</w:t>
      </w:r>
      <w:r>
        <w:rPr>
          <w:rFonts w:hint="eastAsia"/>
        </w:rPr>
        <w:t>的</w:t>
      </w:r>
      <w:r>
        <w:t>要求</w:t>
      </w:r>
      <w:r>
        <w:rPr>
          <w:rFonts w:hint="eastAsia"/>
        </w:rPr>
        <w:t>对</w:t>
      </w:r>
      <w:r>
        <w:t>被试</w:t>
      </w:r>
      <w:r>
        <w:rPr>
          <w:rFonts w:hint="eastAsia"/>
        </w:rPr>
        <w:t>设备</w:t>
      </w:r>
      <w:r>
        <w:t>进行试验后检测</w:t>
      </w:r>
      <w:r>
        <w:rPr>
          <w:rFonts w:hint="eastAsia"/>
        </w:rPr>
        <w:t>，记录检测结果。</w:t>
      </w:r>
    </w:p>
    <w:p w14:paraId="24AAE6F3">
      <w:pPr>
        <w:pStyle w:val="110"/>
        <w:spacing w:before="120" w:after="120"/>
        <w:rPr>
          <w:szCs w:val="21"/>
        </w:rPr>
      </w:pPr>
      <w:bookmarkStart w:id="102" w:name="_Toc32447"/>
      <w:r>
        <w:rPr>
          <w:rFonts w:hint="eastAsia"/>
          <w:szCs w:val="21"/>
        </w:rPr>
        <w:t>低温存储</w:t>
      </w:r>
      <w:bookmarkEnd w:id="102"/>
    </w:p>
    <w:p w14:paraId="4B6AC66D">
      <w:pPr>
        <w:pStyle w:val="70"/>
        <w:spacing w:before="120" w:after="120"/>
        <w:rPr>
          <w:szCs w:val="21"/>
        </w:rPr>
      </w:pPr>
      <w:r>
        <w:rPr>
          <w:rFonts w:hint="eastAsia"/>
          <w:szCs w:val="21"/>
        </w:rPr>
        <w:t>测试目的</w:t>
      </w:r>
    </w:p>
    <w:p w14:paraId="5A4B2EBE">
      <w:pPr>
        <w:pStyle w:val="61"/>
        <w:ind w:firstLine="420"/>
      </w:pPr>
      <w:r>
        <w:rPr>
          <w:rFonts w:hint="eastAsia"/>
        </w:rPr>
        <w:t>考核</w:t>
      </w:r>
      <w:r>
        <w:t>被试</w:t>
      </w:r>
      <w:r>
        <w:rPr>
          <w:rFonts w:hint="eastAsia"/>
        </w:rPr>
        <w:t>设备</w:t>
      </w:r>
      <w:r>
        <w:t>在</w:t>
      </w:r>
      <w:r>
        <w:rPr>
          <w:rFonts w:hint="eastAsia"/>
        </w:rPr>
        <w:t>低温环境条件下贮存的适应性。</w:t>
      </w:r>
    </w:p>
    <w:p w14:paraId="114D257D">
      <w:pPr>
        <w:pStyle w:val="70"/>
        <w:tabs>
          <w:tab w:val="left" w:pos="721"/>
        </w:tabs>
        <w:spacing w:before="120" w:after="120"/>
        <w:rPr>
          <w:szCs w:val="21"/>
        </w:rPr>
      </w:pPr>
      <w:r>
        <w:rPr>
          <w:rFonts w:hint="eastAsia"/>
          <w:szCs w:val="21"/>
        </w:rPr>
        <w:t>测试条件</w:t>
      </w:r>
    </w:p>
    <w:p w14:paraId="57A3E68E">
      <w:pPr>
        <w:pStyle w:val="61"/>
        <w:ind w:firstLine="420"/>
      </w:pPr>
      <w:r>
        <w:rPr>
          <w:rFonts w:hint="eastAsia"/>
        </w:rPr>
        <w:t>试验箱测试允差：温度±2℃</w:t>
      </w:r>
    </w:p>
    <w:p w14:paraId="45D0ADA0">
      <w:pPr>
        <w:pStyle w:val="61"/>
        <w:ind w:firstLine="420"/>
      </w:pPr>
      <w:r>
        <w:rPr>
          <w:rFonts w:hint="eastAsia"/>
        </w:rPr>
        <w:t>温度-40℃，带外包装</w:t>
      </w:r>
    </w:p>
    <w:p w14:paraId="71A1BD5F">
      <w:pPr>
        <w:pStyle w:val="70"/>
        <w:tabs>
          <w:tab w:val="left" w:pos="721"/>
        </w:tabs>
        <w:spacing w:before="120" w:after="120"/>
        <w:rPr>
          <w:szCs w:val="21"/>
        </w:rPr>
      </w:pPr>
      <w:r>
        <w:rPr>
          <w:rFonts w:hint="eastAsia"/>
          <w:szCs w:val="21"/>
        </w:rPr>
        <w:t>测试方法</w:t>
      </w:r>
    </w:p>
    <w:p w14:paraId="64EAD514">
      <w:pPr>
        <w:pStyle w:val="179"/>
        <w:numPr>
          <w:ilvl w:val="0"/>
          <w:numId w:val="48"/>
        </w:numPr>
      </w:pPr>
      <w:r>
        <w:rPr>
          <w:rFonts w:hint="eastAsia"/>
        </w:rPr>
        <w:t>将</w:t>
      </w:r>
      <w:r>
        <w:t>被试</w:t>
      </w:r>
      <w:r>
        <w:rPr>
          <w:rFonts w:hint="eastAsia"/>
        </w:rPr>
        <w:t>设备</w:t>
      </w:r>
      <w:r>
        <w:t>按</w:t>
      </w:r>
      <w:r>
        <w:rPr>
          <w:rFonts w:hint="eastAsia"/>
        </w:rPr>
        <w:t>8.</w:t>
      </w:r>
      <w:r>
        <w:t>2</w:t>
      </w:r>
      <w:r>
        <w:rPr>
          <w:rFonts w:hint="eastAsia"/>
        </w:rPr>
        <w:t>的要求进行试验前的功能测试，记录检测结果；</w:t>
      </w:r>
    </w:p>
    <w:p w14:paraId="1FFD4BF1">
      <w:pPr>
        <w:pStyle w:val="179"/>
        <w:numPr>
          <w:ilvl w:val="0"/>
          <w:numId w:val="48"/>
        </w:numPr>
      </w:pPr>
      <w:r>
        <w:rPr>
          <w:rFonts w:hint="eastAsia"/>
        </w:rPr>
        <w:t>将被试设备断电自然冷却后装箱，放置于试验箱内；</w:t>
      </w:r>
    </w:p>
    <w:p w14:paraId="535710B3">
      <w:pPr>
        <w:pStyle w:val="179"/>
        <w:numPr>
          <w:ilvl w:val="0"/>
          <w:numId w:val="48"/>
        </w:numPr>
      </w:pPr>
      <w:r>
        <w:t>以不大于3</w:t>
      </w:r>
      <w:r>
        <w:rPr>
          <w:rFonts w:hint="eastAsia" w:hAnsi="宋体" w:cs="宋体"/>
        </w:rPr>
        <w:t>℃</w:t>
      </w:r>
      <w:r>
        <w:t>/min的降温速率将温箱温度调节至</w:t>
      </w:r>
      <w:r>
        <w:rPr>
          <w:rFonts w:hint="eastAsia"/>
        </w:rPr>
        <w:t>-4</w:t>
      </w:r>
      <w:r>
        <w:t>0</w:t>
      </w:r>
      <w:r>
        <w:rPr>
          <w:rFonts w:hint="eastAsia" w:hAnsi="宋体" w:cs="宋体"/>
        </w:rPr>
        <w:t>℃</w:t>
      </w:r>
      <w:r>
        <w:t>，保持4h；</w:t>
      </w:r>
    </w:p>
    <w:p w14:paraId="4E288D0D">
      <w:pPr>
        <w:pStyle w:val="179"/>
        <w:numPr>
          <w:ilvl w:val="0"/>
          <w:numId w:val="48"/>
        </w:numPr>
      </w:pPr>
      <w:r>
        <w:rPr>
          <w:rFonts w:hint="eastAsia"/>
        </w:rPr>
        <w:t>保持结束</w:t>
      </w:r>
      <w:r>
        <w:t>后，以不大于3</w:t>
      </w:r>
      <w:r>
        <w:rPr>
          <w:rFonts w:hint="eastAsia" w:hAnsi="宋体" w:cs="宋体"/>
        </w:rPr>
        <w:t>℃</w:t>
      </w:r>
      <w:r>
        <w:t>/min的</w:t>
      </w:r>
      <w:r>
        <w:rPr>
          <w:rFonts w:hint="eastAsia"/>
        </w:rPr>
        <w:t>升</w:t>
      </w:r>
      <w:r>
        <w:t>温速率将温箱温度调节至</w:t>
      </w:r>
      <w:r>
        <w:rPr>
          <w:rFonts w:hint="eastAsia"/>
        </w:rPr>
        <w:t>室温</w:t>
      </w:r>
      <w:r>
        <w:t>，保持4h；</w:t>
      </w:r>
    </w:p>
    <w:p w14:paraId="04B80664">
      <w:pPr>
        <w:pStyle w:val="179"/>
        <w:numPr>
          <w:ilvl w:val="0"/>
          <w:numId w:val="48"/>
        </w:numPr>
      </w:pPr>
      <w:r>
        <w:rPr>
          <w:rFonts w:hint="eastAsia"/>
        </w:rPr>
        <w:t>按8.</w:t>
      </w:r>
      <w:r>
        <w:t>4</w:t>
      </w:r>
      <w:r>
        <w:rPr>
          <w:rFonts w:hint="eastAsia"/>
        </w:rPr>
        <w:t>的</w:t>
      </w:r>
      <w:r>
        <w:t>要求</w:t>
      </w:r>
      <w:r>
        <w:rPr>
          <w:rFonts w:hint="eastAsia"/>
        </w:rPr>
        <w:t>对</w:t>
      </w:r>
      <w:r>
        <w:t>被试</w:t>
      </w:r>
      <w:r>
        <w:rPr>
          <w:rFonts w:hint="eastAsia"/>
        </w:rPr>
        <w:t>设备</w:t>
      </w:r>
      <w:r>
        <w:t>进行试验后检测</w:t>
      </w:r>
      <w:r>
        <w:rPr>
          <w:rFonts w:hint="eastAsia"/>
        </w:rPr>
        <w:t>，记录检测结果。</w:t>
      </w:r>
    </w:p>
    <w:p w14:paraId="22D9D590">
      <w:pPr>
        <w:pStyle w:val="110"/>
        <w:spacing w:before="120" w:after="120"/>
        <w:rPr>
          <w:szCs w:val="21"/>
        </w:rPr>
      </w:pPr>
      <w:bookmarkStart w:id="103" w:name="_Toc9470"/>
      <w:r>
        <w:rPr>
          <w:rFonts w:hint="eastAsia"/>
          <w:szCs w:val="21"/>
        </w:rPr>
        <w:t>高温工作</w:t>
      </w:r>
      <w:bookmarkEnd w:id="103"/>
    </w:p>
    <w:p w14:paraId="19E2C7BC">
      <w:pPr>
        <w:pStyle w:val="70"/>
        <w:spacing w:before="120" w:after="120"/>
        <w:rPr>
          <w:szCs w:val="21"/>
        </w:rPr>
      </w:pPr>
      <w:r>
        <w:rPr>
          <w:rFonts w:hint="eastAsia"/>
          <w:szCs w:val="21"/>
        </w:rPr>
        <w:t>测试目的</w:t>
      </w:r>
    </w:p>
    <w:p w14:paraId="2C1549A5">
      <w:pPr>
        <w:pStyle w:val="61"/>
        <w:ind w:firstLine="420"/>
      </w:pPr>
      <w:r>
        <w:rPr>
          <w:rFonts w:hint="eastAsia"/>
        </w:rPr>
        <w:t>考核</w:t>
      </w:r>
      <w:r>
        <w:t>被试</w:t>
      </w:r>
      <w:r>
        <w:rPr>
          <w:rFonts w:hint="eastAsia"/>
        </w:rPr>
        <w:t>设备</w:t>
      </w:r>
      <w:r>
        <w:t>在</w:t>
      </w:r>
      <w:r>
        <w:rPr>
          <w:rFonts w:hint="eastAsia"/>
        </w:rPr>
        <w:t>高温</w:t>
      </w:r>
      <w:r>
        <w:t>环境条件下的</w:t>
      </w:r>
      <w:r>
        <w:rPr>
          <w:rFonts w:hint="eastAsia"/>
        </w:rPr>
        <w:t>工作</w:t>
      </w:r>
      <w:r>
        <w:t>适应性</w:t>
      </w:r>
      <w:r>
        <w:rPr>
          <w:rFonts w:hint="eastAsia"/>
        </w:rPr>
        <w:t>。</w:t>
      </w:r>
    </w:p>
    <w:p w14:paraId="47B70A52">
      <w:pPr>
        <w:pStyle w:val="70"/>
        <w:tabs>
          <w:tab w:val="left" w:pos="721"/>
        </w:tabs>
        <w:spacing w:before="120" w:after="120"/>
        <w:rPr>
          <w:szCs w:val="21"/>
        </w:rPr>
      </w:pPr>
      <w:r>
        <w:rPr>
          <w:rFonts w:hint="eastAsia"/>
          <w:szCs w:val="21"/>
        </w:rPr>
        <w:t>测试条件</w:t>
      </w:r>
    </w:p>
    <w:p w14:paraId="5413BB49">
      <w:pPr>
        <w:pStyle w:val="179"/>
        <w:numPr>
          <w:ilvl w:val="0"/>
          <w:numId w:val="49"/>
        </w:numPr>
      </w:pPr>
      <w:r>
        <w:rPr>
          <w:rFonts w:hint="eastAsia"/>
        </w:rPr>
        <w:t>试验箱测试允差：温度±2℃</w:t>
      </w:r>
    </w:p>
    <w:p w14:paraId="1404D503">
      <w:pPr>
        <w:pStyle w:val="179"/>
        <w:numPr>
          <w:ilvl w:val="0"/>
          <w:numId w:val="49"/>
        </w:numPr>
      </w:pPr>
      <w:r>
        <w:rPr>
          <w:rFonts w:hint="eastAsia"/>
        </w:rPr>
        <w:t>根据仪器使用工况分为：</w:t>
      </w:r>
    </w:p>
    <w:p w14:paraId="186C8060">
      <w:pPr>
        <w:pStyle w:val="114"/>
      </w:pPr>
      <w:r>
        <w:rPr>
          <w:rFonts w:hint="eastAsia"/>
        </w:rPr>
        <w:t>台站式连续观测型：30℃；</w:t>
      </w:r>
    </w:p>
    <w:p w14:paraId="1585A3C4">
      <w:pPr>
        <w:pStyle w:val="114"/>
      </w:pPr>
      <w:r>
        <w:rPr>
          <w:rFonts w:hint="eastAsia"/>
        </w:rPr>
        <w:t>流动观测型：40℃。</w:t>
      </w:r>
    </w:p>
    <w:p w14:paraId="42E85538">
      <w:pPr>
        <w:pStyle w:val="70"/>
        <w:tabs>
          <w:tab w:val="left" w:pos="721"/>
        </w:tabs>
        <w:spacing w:before="120" w:after="120"/>
        <w:rPr>
          <w:szCs w:val="21"/>
        </w:rPr>
      </w:pPr>
      <w:r>
        <w:rPr>
          <w:rFonts w:hint="eastAsia"/>
          <w:szCs w:val="21"/>
        </w:rPr>
        <w:t>测试方法</w:t>
      </w:r>
    </w:p>
    <w:p w14:paraId="661A15F7">
      <w:pPr>
        <w:pStyle w:val="179"/>
        <w:numPr>
          <w:ilvl w:val="0"/>
          <w:numId w:val="50"/>
        </w:numPr>
      </w:pPr>
      <w:r>
        <w:rPr>
          <w:rFonts w:hint="eastAsia"/>
        </w:rPr>
        <w:t>将被试设备安放在试验箱内，上电预热；</w:t>
      </w:r>
    </w:p>
    <w:p w14:paraId="11C98FA8">
      <w:pPr>
        <w:pStyle w:val="179"/>
        <w:numPr>
          <w:ilvl w:val="0"/>
          <w:numId w:val="50"/>
        </w:numPr>
      </w:pPr>
      <w:r>
        <w:rPr>
          <w:rFonts w:hint="eastAsia"/>
        </w:rPr>
        <w:t>被试设备达到温度稳定后，按8.2的要求进行试验前的功能测试，记录检测结果；</w:t>
      </w:r>
    </w:p>
    <w:p w14:paraId="7C98DB39">
      <w:pPr>
        <w:pStyle w:val="179"/>
        <w:numPr>
          <w:ilvl w:val="0"/>
          <w:numId w:val="50"/>
        </w:numPr>
      </w:pPr>
      <w:r>
        <w:t>以不大于3</w:t>
      </w:r>
      <w:r>
        <w:rPr>
          <w:rFonts w:hint="eastAsia"/>
        </w:rPr>
        <w:t>℃</w:t>
      </w:r>
      <w:r>
        <w:t>/min的</w:t>
      </w:r>
      <w:r>
        <w:rPr>
          <w:rFonts w:hint="eastAsia"/>
        </w:rPr>
        <w:t>升温</w:t>
      </w:r>
      <w:r>
        <w:t>速率将温箱温度调节至</w:t>
      </w:r>
      <w:r>
        <w:rPr>
          <w:rFonts w:hint="eastAsia"/>
        </w:rPr>
        <w:t>30℃（40℃）</w:t>
      </w:r>
      <w:r>
        <w:t>，保持4h；</w:t>
      </w:r>
    </w:p>
    <w:p w14:paraId="0F1F0695">
      <w:pPr>
        <w:pStyle w:val="179"/>
        <w:numPr>
          <w:ilvl w:val="0"/>
          <w:numId w:val="50"/>
        </w:numPr>
      </w:pPr>
      <w:r>
        <w:rPr>
          <w:rFonts w:hint="eastAsia"/>
        </w:rPr>
        <w:t>保持4</w:t>
      </w:r>
      <w:r>
        <w:t>h后，</w:t>
      </w:r>
      <w:r>
        <w:rPr>
          <w:rFonts w:hint="eastAsia"/>
        </w:rPr>
        <w:t>按8.3的</w:t>
      </w:r>
      <w:r>
        <w:t>要求</w:t>
      </w:r>
      <w:r>
        <w:rPr>
          <w:rFonts w:hint="eastAsia"/>
        </w:rPr>
        <w:t>对</w:t>
      </w:r>
      <w:r>
        <w:t>被试</w:t>
      </w:r>
      <w:r>
        <w:rPr>
          <w:rFonts w:hint="eastAsia"/>
        </w:rPr>
        <w:t>设备</w:t>
      </w:r>
      <w:r>
        <w:t>进行试验</w:t>
      </w:r>
      <w:r>
        <w:rPr>
          <w:rFonts w:hint="eastAsia"/>
        </w:rPr>
        <w:t>中的功能测试，记录检测结果；</w:t>
      </w:r>
    </w:p>
    <w:p w14:paraId="344C32C2">
      <w:pPr>
        <w:pStyle w:val="179"/>
        <w:numPr>
          <w:ilvl w:val="0"/>
          <w:numId w:val="50"/>
        </w:numPr>
      </w:pPr>
      <w:r>
        <w:t>以不大于3</w:t>
      </w:r>
      <w:r>
        <w:rPr>
          <w:rFonts w:hint="eastAsia"/>
        </w:rPr>
        <w:t>℃</w:t>
      </w:r>
      <w:r>
        <w:t>/min的</w:t>
      </w:r>
      <w:r>
        <w:rPr>
          <w:rFonts w:hint="eastAsia"/>
        </w:rPr>
        <w:t>降温</w:t>
      </w:r>
      <w:r>
        <w:t>速率将温箱温度调节至</w:t>
      </w:r>
      <w:r>
        <w:rPr>
          <w:rFonts w:hint="eastAsia"/>
        </w:rPr>
        <w:t>室温</w:t>
      </w:r>
      <w:r>
        <w:t>，保持4h；</w:t>
      </w:r>
    </w:p>
    <w:p w14:paraId="6A4411E4">
      <w:pPr>
        <w:pStyle w:val="179"/>
        <w:numPr>
          <w:ilvl w:val="0"/>
          <w:numId w:val="50"/>
        </w:numPr>
      </w:pPr>
      <w:r>
        <w:rPr>
          <w:rFonts w:hint="eastAsia"/>
        </w:rPr>
        <w:t>按8.</w:t>
      </w:r>
      <w:r>
        <w:t>4</w:t>
      </w:r>
      <w:r>
        <w:rPr>
          <w:rFonts w:hint="eastAsia"/>
        </w:rPr>
        <w:t>的</w:t>
      </w:r>
      <w:r>
        <w:t>要求</w:t>
      </w:r>
      <w:r>
        <w:rPr>
          <w:rFonts w:hint="eastAsia"/>
        </w:rPr>
        <w:t>对</w:t>
      </w:r>
      <w:r>
        <w:t>被试</w:t>
      </w:r>
      <w:r>
        <w:rPr>
          <w:rFonts w:hint="eastAsia"/>
        </w:rPr>
        <w:t>设备</w:t>
      </w:r>
      <w:r>
        <w:t>进行试验后检测</w:t>
      </w:r>
      <w:r>
        <w:rPr>
          <w:rFonts w:hint="eastAsia"/>
        </w:rPr>
        <w:t>，记录检测结果。</w:t>
      </w:r>
    </w:p>
    <w:p w14:paraId="506F5ABA">
      <w:pPr>
        <w:pStyle w:val="110"/>
        <w:spacing w:before="120" w:after="120"/>
        <w:rPr>
          <w:szCs w:val="21"/>
        </w:rPr>
      </w:pPr>
      <w:bookmarkStart w:id="104" w:name="_Toc23384"/>
      <w:r>
        <w:rPr>
          <w:rFonts w:hint="eastAsia"/>
          <w:szCs w:val="21"/>
        </w:rPr>
        <w:t>高温存储</w:t>
      </w:r>
      <w:bookmarkEnd w:id="104"/>
    </w:p>
    <w:p w14:paraId="5AF877EC">
      <w:pPr>
        <w:pStyle w:val="70"/>
        <w:spacing w:before="120" w:after="120"/>
        <w:rPr>
          <w:szCs w:val="21"/>
        </w:rPr>
      </w:pPr>
      <w:r>
        <w:rPr>
          <w:rFonts w:hint="eastAsia"/>
          <w:szCs w:val="21"/>
        </w:rPr>
        <w:t>测试目的</w:t>
      </w:r>
    </w:p>
    <w:p w14:paraId="091D7739">
      <w:pPr>
        <w:pStyle w:val="61"/>
        <w:ind w:firstLine="420"/>
      </w:pPr>
      <w:r>
        <w:rPr>
          <w:rFonts w:hint="eastAsia"/>
        </w:rPr>
        <w:t>考核</w:t>
      </w:r>
      <w:r>
        <w:t>被试</w:t>
      </w:r>
      <w:r>
        <w:rPr>
          <w:rFonts w:hint="eastAsia"/>
        </w:rPr>
        <w:t>设备</w:t>
      </w:r>
      <w:r>
        <w:t>在</w:t>
      </w:r>
      <w:r>
        <w:rPr>
          <w:rFonts w:hint="eastAsia"/>
        </w:rPr>
        <w:t>高温环境条件下贮存的适应性。</w:t>
      </w:r>
    </w:p>
    <w:p w14:paraId="4A737B0E">
      <w:pPr>
        <w:pStyle w:val="70"/>
        <w:tabs>
          <w:tab w:val="left" w:pos="721"/>
        </w:tabs>
        <w:spacing w:before="120" w:after="120"/>
        <w:rPr>
          <w:szCs w:val="21"/>
        </w:rPr>
      </w:pPr>
      <w:r>
        <w:rPr>
          <w:rFonts w:hint="eastAsia"/>
          <w:szCs w:val="21"/>
        </w:rPr>
        <w:t>测试条件</w:t>
      </w:r>
    </w:p>
    <w:p w14:paraId="4B44AE83">
      <w:pPr>
        <w:pStyle w:val="61"/>
        <w:ind w:firstLine="420"/>
      </w:pPr>
      <w:r>
        <w:rPr>
          <w:rFonts w:hint="eastAsia"/>
        </w:rPr>
        <w:t>试验箱测试允差：温度±2℃。</w:t>
      </w:r>
    </w:p>
    <w:p w14:paraId="24E7BD0B">
      <w:pPr>
        <w:pStyle w:val="61"/>
        <w:ind w:firstLine="420"/>
      </w:pPr>
      <w:r>
        <w:rPr>
          <w:rFonts w:hint="eastAsia"/>
        </w:rPr>
        <w:t>温度60℃，带外包装。</w:t>
      </w:r>
    </w:p>
    <w:p w14:paraId="694C2696">
      <w:pPr>
        <w:pStyle w:val="70"/>
        <w:tabs>
          <w:tab w:val="left" w:pos="721"/>
        </w:tabs>
        <w:spacing w:before="120" w:after="120"/>
        <w:rPr>
          <w:szCs w:val="21"/>
        </w:rPr>
      </w:pPr>
      <w:r>
        <w:rPr>
          <w:rFonts w:hint="eastAsia"/>
          <w:szCs w:val="21"/>
        </w:rPr>
        <w:t>测试方法</w:t>
      </w:r>
    </w:p>
    <w:p w14:paraId="29712F4C">
      <w:pPr>
        <w:pStyle w:val="179"/>
        <w:numPr>
          <w:ilvl w:val="0"/>
          <w:numId w:val="51"/>
        </w:numPr>
      </w:pPr>
      <w:r>
        <w:rPr>
          <w:rFonts w:hint="eastAsia"/>
        </w:rPr>
        <w:t>将</w:t>
      </w:r>
      <w:r>
        <w:t>被试</w:t>
      </w:r>
      <w:r>
        <w:rPr>
          <w:rFonts w:hint="eastAsia"/>
        </w:rPr>
        <w:t>设备</w:t>
      </w:r>
      <w:r>
        <w:t>按</w:t>
      </w:r>
      <w:r>
        <w:rPr>
          <w:rFonts w:hint="eastAsia"/>
        </w:rPr>
        <w:t>8.</w:t>
      </w:r>
      <w:r>
        <w:t>2</w:t>
      </w:r>
      <w:r>
        <w:rPr>
          <w:rFonts w:hint="eastAsia"/>
        </w:rPr>
        <w:t>的要求进行试验前的功能测试，记录检测结果；</w:t>
      </w:r>
    </w:p>
    <w:p w14:paraId="7630322D">
      <w:pPr>
        <w:pStyle w:val="179"/>
        <w:numPr>
          <w:ilvl w:val="0"/>
          <w:numId w:val="51"/>
        </w:numPr>
      </w:pPr>
      <w:r>
        <w:rPr>
          <w:rFonts w:hint="eastAsia"/>
        </w:rPr>
        <w:t>将被试设备断电自然冷却后装箱，放置于试验箱内；</w:t>
      </w:r>
    </w:p>
    <w:p w14:paraId="3201D1B3">
      <w:pPr>
        <w:pStyle w:val="179"/>
        <w:numPr>
          <w:ilvl w:val="0"/>
          <w:numId w:val="51"/>
        </w:numPr>
      </w:pPr>
      <w:r>
        <w:t>以不大于3</w:t>
      </w:r>
      <w:r>
        <w:rPr>
          <w:rFonts w:hint="eastAsia" w:hAnsi="宋体" w:cs="宋体"/>
        </w:rPr>
        <w:t>℃</w:t>
      </w:r>
      <w:r>
        <w:t>/min的</w:t>
      </w:r>
      <w:r>
        <w:rPr>
          <w:rFonts w:hint="eastAsia"/>
        </w:rPr>
        <w:t>升温</w:t>
      </w:r>
      <w:r>
        <w:t>速率将温箱温度调节至</w:t>
      </w:r>
      <w:r>
        <w:rPr>
          <w:rFonts w:hint="eastAsia"/>
        </w:rPr>
        <w:t>6</w:t>
      </w:r>
      <w:r>
        <w:t>0</w:t>
      </w:r>
      <w:r>
        <w:rPr>
          <w:rFonts w:hint="eastAsia" w:hAnsi="宋体" w:cs="宋体"/>
        </w:rPr>
        <w:t>℃</w:t>
      </w:r>
      <w:r>
        <w:t>，保持4h；</w:t>
      </w:r>
    </w:p>
    <w:p w14:paraId="0AD6827E">
      <w:pPr>
        <w:pStyle w:val="179"/>
        <w:numPr>
          <w:ilvl w:val="0"/>
          <w:numId w:val="51"/>
        </w:numPr>
      </w:pPr>
      <w:r>
        <w:rPr>
          <w:rFonts w:hint="eastAsia"/>
        </w:rPr>
        <w:t>保持结束</w:t>
      </w:r>
      <w:r>
        <w:t>后，以不大于3</w:t>
      </w:r>
      <w:r>
        <w:rPr>
          <w:rFonts w:hint="eastAsia" w:hAnsi="宋体" w:cs="宋体"/>
        </w:rPr>
        <w:t>℃</w:t>
      </w:r>
      <w:r>
        <w:t>/min的</w:t>
      </w:r>
      <w:r>
        <w:rPr>
          <w:rFonts w:hint="eastAsia"/>
        </w:rPr>
        <w:t>降温</w:t>
      </w:r>
      <w:r>
        <w:t>速率将温箱温度调节至</w:t>
      </w:r>
      <w:r>
        <w:rPr>
          <w:rFonts w:hint="eastAsia"/>
        </w:rPr>
        <w:t>室温</w:t>
      </w:r>
      <w:r>
        <w:t>，保持4h；</w:t>
      </w:r>
    </w:p>
    <w:p w14:paraId="6258D3AB">
      <w:pPr>
        <w:pStyle w:val="179"/>
        <w:numPr>
          <w:ilvl w:val="0"/>
          <w:numId w:val="51"/>
        </w:numPr>
      </w:pPr>
      <w:r>
        <w:rPr>
          <w:rFonts w:hint="eastAsia"/>
        </w:rPr>
        <w:t>按8.</w:t>
      </w:r>
      <w:r>
        <w:t>4</w:t>
      </w:r>
      <w:r>
        <w:rPr>
          <w:rFonts w:hint="eastAsia"/>
        </w:rPr>
        <w:t>的</w:t>
      </w:r>
      <w:r>
        <w:t>要求</w:t>
      </w:r>
      <w:r>
        <w:rPr>
          <w:rFonts w:hint="eastAsia"/>
        </w:rPr>
        <w:t>对</w:t>
      </w:r>
      <w:r>
        <w:t>被试</w:t>
      </w:r>
      <w:r>
        <w:rPr>
          <w:rFonts w:hint="eastAsia"/>
        </w:rPr>
        <w:t>设备</w:t>
      </w:r>
      <w:r>
        <w:t>进行试验后检测</w:t>
      </w:r>
      <w:r>
        <w:rPr>
          <w:rFonts w:hint="eastAsia"/>
        </w:rPr>
        <w:t>，记录检测结果。</w:t>
      </w:r>
    </w:p>
    <w:p w14:paraId="04BD344C">
      <w:pPr>
        <w:pStyle w:val="110"/>
        <w:spacing w:before="120" w:after="120"/>
        <w:rPr>
          <w:szCs w:val="21"/>
        </w:rPr>
      </w:pPr>
      <w:bookmarkStart w:id="105" w:name="_Toc27450"/>
      <w:r>
        <w:rPr>
          <w:rFonts w:hint="eastAsia"/>
          <w:szCs w:val="21"/>
        </w:rPr>
        <w:t>湿热试验</w:t>
      </w:r>
      <w:bookmarkEnd w:id="105"/>
    </w:p>
    <w:p w14:paraId="698BEDAC">
      <w:pPr>
        <w:pStyle w:val="70"/>
        <w:spacing w:before="120" w:after="120"/>
        <w:rPr>
          <w:szCs w:val="21"/>
        </w:rPr>
      </w:pPr>
      <w:r>
        <w:rPr>
          <w:rFonts w:hint="eastAsia"/>
          <w:szCs w:val="21"/>
        </w:rPr>
        <w:t>测试目的</w:t>
      </w:r>
    </w:p>
    <w:p w14:paraId="3829C3D0">
      <w:pPr>
        <w:pStyle w:val="61"/>
        <w:ind w:firstLine="420"/>
      </w:pPr>
      <w:r>
        <w:rPr>
          <w:rFonts w:hint="eastAsia"/>
        </w:rPr>
        <w:t>考核</w:t>
      </w:r>
      <w:r>
        <w:t>被试</w:t>
      </w:r>
      <w:r>
        <w:rPr>
          <w:rFonts w:hint="eastAsia"/>
        </w:rPr>
        <w:t>设备</w:t>
      </w:r>
      <w:r>
        <w:t>在</w:t>
      </w:r>
      <w:r>
        <w:rPr>
          <w:rFonts w:hint="eastAsia"/>
        </w:rPr>
        <w:t>湿热环境条件下的适应性。</w:t>
      </w:r>
    </w:p>
    <w:p w14:paraId="3549E4B8">
      <w:pPr>
        <w:pStyle w:val="70"/>
        <w:tabs>
          <w:tab w:val="left" w:pos="721"/>
        </w:tabs>
        <w:spacing w:before="120" w:after="120"/>
        <w:rPr>
          <w:szCs w:val="21"/>
        </w:rPr>
      </w:pPr>
      <w:r>
        <w:rPr>
          <w:rFonts w:hint="eastAsia"/>
          <w:szCs w:val="21"/>
        </w:rPr>
        <w:t>测试条件</w:t>
      </w:r>
    </w:p>
    <w:p w14:paraId="6ED83EBB">
      <w:pPr>
        <w:pStyle w:val="179"/>
        <w:numPr>
          <w:ilvl w:val="0"/>
          <w:numId w:val="52"/>
        </w:numPr>
      </w:pPr>
      <w:r>
        <w:rPr>
          <w:rFonts w:hint="eastAsia"/>
        </w:rPr>
        <w:t>试验箱测试允差：温度±2℃</w:t>
      </w:r>
    </w:p>
    <w:p w14:paraId="78EB8E9B">
      <w:pPr>
        <w:pStyle w:val="179"/>
        <w:numPr>
          <w:ilvl w:val="0"/>
          <w:numId w:val="52"/>
        </w:numPr>
      </w:pPr>
      <w:r>
        <w:rPr>
          <w:rFonts w:hint="eastAsia"/>
        </w:rPr>
        <w:t>根据仪器使用工况分为：</w:t>
      </w:r>
    </w:p>
    <w:p w14:paraId="7FCAC81E">
      <w:pPr>
        <w:pStyle w:val="114"/>
      </w:pPr>
      <w:r>
        <w:rPr>
          <w:rFonts w:hint="eastAsia"/>
        </w:rPr>
        <w:t>台站式连续观测型：20%RH～90%RH，30℃；</w:t>
      </w:r>
    </w:p>
    <w:p w14:paraId="216C11D3">
      <w:pPr>
        <w:pStyle w:val="114"/>
      </w:pPr>
      <w:r>
        <w:rPr>
          <w:rFonts w:hint="eastAsia"/>
        </w:rPr>
        <w:t>流动观测型：20%RH～90%RH，40℃。</w:t>
      </w:r>
    </w:p>
    <w:p w14:paraId="49F486EC">
      <w:pPr>
        <w:pStyle w:val="70"/>
        <w:tabs>
          <w:tab w:val="left" w:pos="721"/>
        </w:tabs>
        <w:spacing w:before="120" w:after="120"/>
        <w:rPr>
          <w:szCs w:val="21"/>
        </w:rPr>
      </w:pPr>
      <w:r>
        <w:rPr>
          <w:rFonts w:hint="eastAsia"/>
          <w:szCs w:val="21"/>
        </w:rPr>
        <w:t>测试方法</w:t>
      </w:r>
    </w:p>
    <w:p w14:paraId="44E8D936">
      <w:pPr>
        <w:pStyle w:val="179"/>
        <w:numPr>
          <w:ilvl w:val="0"/>
          <w:numId w:val="53"/>
        </w:numPr>
      </w:pPr>
      <w:r>
        <w:rPr>
          <w:rFonts w:hint="eastAsia"/>
        </w:rPr>
        <w:t>将被试设备安放在试验箱内，上电预热；</w:t>
      </w:r>
    </w:p>
    <w:p w14:paraId="33E1BF6A">
      <w:pPr>
        <w:pStyle w:val="179"/>
        <w:numPr>
          <w:ilvl w:val="0"/>
          <w:numId w:val="53"/>
        </w:numPr>
      </w:pPr>
      <w:r>
        <w:t>被试</w:t>
      </w:r>
      <w:r>
        <w:rPr>
          <w:rFonts w:hint="eastAsia"/>
        </w:rPr>
        <w:t>设备</w:t>
      </w:r>
      <w:r>
        <w:t>达到温度稳定</w:t>
      </w:r>
      <w:r>
        <w:rPr>
          <w:rFonts w:hint="eastAsia"/>
        </w:rPr>
        <w:t>后，</w:t>
      </w:r>
      <w:r>
        <w:t>按</w:t>
      </w:r>
      <w:r>
        <w:rPr>
          <w:rFonts w:hint="eastAsia"/>
        </w:rPr>
        <w:t>8.</w:t>
      </w:r>
      <w:r>
        <w:t>2</w:t>
      </w:r>
      <w:r>
        <w:rPr>
          <w:rFonts w:hint="eastAsia"/>
        </w:rPr>
        <w:t>的要求进行试验前的功能测试，记录检测结果</w:t>
      </w:r>
      <w:r>
        <w:t>；</w:t>
      </w:r>
    </w:p>
    <w:p w14:paraId="76791454">
      <w:pPr>
        <w:pStyle w:val="179"/>
        <w:numPr>
          <w:ilvl w:val="0"/>
          <w:numId w:val="53"/>
        </w:numPr>
      </w:pPr>
      <w:r>
        <w:t>将试验箱内的温度调节为30</w:t>
      </w:r>
      <w:r>
        <w:rPr>
          <w:rFonts w:hint="eastAsia" w:hAnsi="宋体" w:cs="宋体"/>
        </w:rPr>
        <w:t>℃（</w:t>
      </w:r>
      <w:r>
        <w:rPr>
          <w:rFonts w:hint="eastAsia"/>
        </w:rPr>
        <w:t>4</w:t>
      </w:r>
      <w:r>
        <w:t>0</w:t>
      </w:r>
      <w:r>
        <w:rPr>
          <w:rFonts w:hint="eastAsia" w:hAnsi="宋体" w:cs="宋体"/>
        </w:rPr>
        <w:t>℃）</w:t>
      </w:r>
      <w:r>
        <w:t>，相对湿度调整至</w:t>
      </w:r>
      <w:r>
        <w:rPr>
          <w:rFonts w:hint="eastAsia"/>
        </w:rPr>
        <w:t>70</w:t>
      </w:r>
      <w:r>
        <w:t>%；</w:t>
      </w:r>
    </w:p>
    <w:p w14:paraId="1E0DDE04">
      <w:pPr>
        <w:pStyle w:val="179"/>
        <w:numPr>
          <w:ilvl w:val="0"/>
          <w:numId w:val="53"/>
        </w:numPr>
      </w:pPr>
      <w:r>
        <w:t>在</w:t>
      </w:r>
      <w:r>
        <w:rPr>
          <w:rFonts w:hint="eastAsia"/>
        </w:rPr>
        <w:t>30</w:t>
      </w:r>
      <w:r>
        <w:rPr>
          <w:rFonts w:hint="eastAsia" w:hAnsi="宋体" w:cs="宋体"/>
        </w:rPr>
        <w:t>℃（</w:t>
      </w:r>
      <w:r>
        <w:rPr>
          <w:rFonts w:hint="eastAsia"/>
        </w:rPr>
        <w:t>4</w:t>
      </w:r>
      <w:r>
        <w:t>0</w:t>
      </w:r>
      <w:r>
        <w:rPr>
          <w:rFonts w:hint="eastAsia" w:hAnsi="宋体" w:cs="宋体"/>
        </w:rPr>
        <w:t>℃）</w:t>
      </w:r>
      <w:r>
        <w:t>、</w:t>
      </w:r>
      <w:r>
        <w:rPr>
          <w:rFonts w:hint="eastAsia"/>
        </w:rPr>
        <w:t>70</w:t>
      </w:r>
      <w:r>
        <w:t>%RH温湿度下保持12h</w:t>
      </w:r>
      <w:r>
        <w:rPr>
          <w:rFonts w:hint="eastAsia"/>
        </w:rPr>
        <w:t>；</w:t>
      </w:r>
    </w:p>
    <w:p w14:paraId="150B10E7">
      <w:pPr>
        <w:pStyle w:val="179"/>
        <w:numPr>
          <w:ilvl w:val="0"/>
          <w:numId w:val="53"/>
        </w:numPr>
      </w:pPr>
      <w:r>
        <w:rPr>
          <w:rFonts w:hint="eastAsia"/>
        </w:rPr>
        <w:t>在1</w:t>
      </w:r>
      <w:r>
        <w:t>h内将试验箱内的相对湿度调整至9</w:t>
      </w:r>
      <w:r>
        <w:rPr>
          <w:rFonts w:hint="eastAsia"/>
        </w:rPr>
        <w:t>0</w:t>
      </w:r>
      <w:r>
        <w:t>%，温度保持30</w:t>
      </w:r>
      <w:r>
        <w:rPr>
          <w:rFonts w:hint="eastAsia" w:hAnsi="宋体" w:cs="宋体"/>
        </w:rPr>
        <w:t>℃（</w:t>
      </w:r>
      <w:r>
        <w:rPr>
          <w:rFonts w:hint="eastAsia"/>
        </w:rPr>
        <w:t>4</w:t>
      </w:r>
      <w:r>
        <w:t>0</w:t>
      </w:r>
      <w:r>
        <w:rPr>
          <w:rFonts w:hint="eastAsia" w:hAnsi="宋体" w:cs="宋体"/>
        </w:rPr>
        <w:t>℃）</w:t>
      </w:r>
      <w:r>
        <w:t>；</w:t>
      </w:r>
    </w:p>
    <w:p w14:paraId="64943267">
      <w:pPr>
        <w:pStyle w:val="179"/>
        <w:numPr>
          <w:ilvl w:val="0"/>
          <w:numId w:val="53"/>
        </w:numPr>
      </w:pPr>
      <w:r>
        <w:t>在</w:t>
      </w:r>
      <w:r>
        <w:rPr>
          <w:rFonts w:hint="eastAsia"/>
        </w:rPr>
        <w:t>30</w:t>
      </w:r>
      <w:r>
        <w:rPr>
          <w:rFonts w:hint="eastAsia" w:hAnsi="宋体" w:cs="宋体"/>
        </w:rPr>
        <w:t>℃（</w:t>
      </w:r>
      <w:r>
        <w:rPr>
          <w:rFonts w:hint="eastAsia"/>
        </w:rPr>
        <w:t>4</w:t>
      </w:r>
      <w:r>
        <w:t>0</w:t>
      </w:r>
      <w:r>
        <w:rPr>
          <w:rFonts w:hint="eastAsia" w:hAnsi="宋体" w:cs="宋体"/>
        </w:rPr>
        <w:t>℃）</w:t>
      </w:r>
      <w:r>
        <w:t>、9</w:t>
      </w:r>
      <w:r>
        <w:rPr>
          <w:rFonts w:hint="eastAsia"/>
        </w:rPr>
        <w:t>0</w:t>
      </w:r>
      <w:r>
        <w:t>%RH温湿度下保持10h</w:t>
      </w:r>
      <w:r>
        <w:rPr>
          <w:rFonts w:hint="eastAsia"/>
        </w:rPr>
        <w:t>。</w:t>
      </w:r>
    </w:p>
    <w:p w14:paraId="245E7402">
      <w:pPr>
        <w:pStyle w:val="179"/>
        <w:numPr>
          <w:ilvl w:val="0"/>
          <w:numId w:val="53"/>
        </w:numPr>
      </w:pPr>
      <w:r>
        <w:rPr>
          <w:rFonts w:hint="eastAsia"/>
        </w:rPr>
        <w:t>在1</w:t>
      </w:r>
      <w:r>
        <w:t>h内将试验箱内的相对湿度调整至</w:t>
      </w:r>
      <w:r>
        <w:rPr>
          <w:rFonts w:hint="eastAsia"/>
        </w:rPr>
        <w:t>70</w:t>
      </w:r>
      <w:r>
        <w:t>%</w:t>
      </w:r>
      <w:r>
        <w:rPr>
          <w:rFonts w:hint="eastAsia"/>
        </w:rPr>
        <w:t>；</w:t>
      </w:r>
    </w:p>
    <w:p w14:paraId="56953B5B">
      <w:pPr>
        <w:pStyle w:val="179"/>
        <w:numPr>
          <w:ilvl w:val="0"/>
          <w:numId w:val="53"/>
        </w:numPr>
      </w:pPr>
      <w:r>
        <w:t>步骤</w:t>
      </w:r>
      <w:r>
        <w:rPr>
          <w:rFonts w:hint="eastAsia"/>
        </w:rPr>
        <w:t>c</w:t>
      </w:r>
      <w:r>
        <w:t>）</w:t>
      </w:r>
      <w:r>
        <w:rPr>
          <w:rFonts w:hint="eastAsia"/>
        </w:rPr>
        <w:t>～g</w:t>
      </w:r>
      <w:r>
        <w:t>）为</w:t>
      </w:r>
      <w:r>
        <w:rPr>
          <w:rFonts w:hint="eastAsia"/>
        </w:rPr>
        <w:t>1</w:t>
      </w:r>
      <w:r>
        <w:t>次循环，重复该循环</w:t>
      </w:r>
      <w:r>
        <w:rPr>
          <w:rFonts w:hint="eastAsia"/>
        </w:rPr>
        <w:t>5</w:t>
      </w:r>
      <w:r>
        <w:t>次；</w:t>
      </w:r>
    </w:p>
    <w:p w14:paraId="3612E89A">
      <w:pPr>
        <w:pStyle w:val="179"/>
        <w:numPr>
          <w:ilvl w:val="0"/>
          <w:numId w:val="53"/>
        </w:numPr>
      </w:pPr>
      <w:r>
        <w:rPr>
          <w:rFonts w:hint="eastAsia"/>
        </w:rPr>
        <w:t>在</w:t>
      </w:r>
      <w:r>
        <w:t>第</w:t>
      </w:r>
      <w:r>
        <w:rPr>
          <w:rFonts w:hint="eastAsia"/>
        </w:rPr>
        <w:t>3循环</w:t>
      </w:r>
      <w:r>
        <w:t>和第</w:t>
      </w:r>
      <w:r>
        <w:rPr>
          <w:rFonts w:hint="eastAsia"/>
        </w:rPr>
        <w:t>5循环</w:t>
      </w:r>
      <w:r>
        <w:t>的</w:t>
      </w:r>
      <w:r>
        <w:rPr>
          <w:rFonts w:hint="eastAsia"/>
        </w:rPr>
        <w:t>温度</w:t>
      </w:r>
      <w:r>
        <w:t>湿度稳定期间</w:t>
      </w:r>
      <w:r>
        <w:rPr>
          <w:rFonts w:hint="eastAsia"/>
        </w:rPr>
        <w:t>，按8.3的</w:t>
      </w:r>
      <w:r>
        <w:t>要求</w:t>
      </w:r>
      <w:r>
        <w:rPr>
          <w:rFonts w:hint="eastAsia"/>
        </w:rPr>
        <w:t>对</w:t>
      </w:r>
      <w:r>
        <w:t>被试</w:t>
      </w:r>
      <w:r>
        <w:rPr>
          <w:rFonts w:hint="eastAsia"/>
        </w:rPr>
        <w:t>设备</w:t>
      </w:r>
      <w:r>
        <w:t>进行试验</w:t>
      </w:r>
      <w:r>
        <w:rPr>
          <w:rFonts w:hint="eastAsia"/>
        </w:rPr>
        <w:t>中的功能测试，记录检测结果</w:t>
      </w:r>
      <w:r>
        <w:t>；</w:t>
      </w:r>
    </w:p>
    <w:p w14:paraId="0E722DEC">
      <w:pPr>
        <w:pStyle w:val="179"/>
        <w:numPr>
          <w:ilvl w:val="0"/>
          <w:numId w:val="53"/>
        </w:numPr>
      </w:pPr>
      <w:r>
        <w:t>循环结束后，调节温度湿度条件使其恢复到标准大气条件下；</w:t>
      </w:r>
    </w:p>
    <w:p w14:paraId="4D585F45">
      <w:pPr>
        <w:pStyle w:val="179"/>
        <w:numPr>
          <w:ilvl w:val="0"/>
          <w:numId w:val="53"/>
        </w:numPr>
      </w:pPr>
      <w:r>
        <w:rPr>
          <w:rFonts w:hint="eastAsia"/>
        </w:rPr>
        <w:t>按8.</w:t>
      </w:r>
      <w:r>
        <w:t>4</w:t>
      </w:r>
      <w:r>
        <w:rPr>
          <w:rFonts w:hint="eastAsia"/>
        </w:rPr>
        <w:t>的</w:t>
      </w:r>
      <w:r>
        <w:t>要求</w:t>
      </w:r>
      <w:r>
        <w:rPr>
          <w:rFonts w:hint="eastAsia"/>
        </w:rPr>
        <w:t>对</w:t>
      </w:r>
      <w:r>
        <w:t>被试</w:t>
      </w:r>
      <w:r>
        <w:rPr>
          <w:rFonts w:hint="eastAsia"/>
        </w:rPr>
        <w:t>设备</w:t>
      </w:r>
      <w:r>
        <w:t>进行试验后检测</w:t>
      </w:r>
      <w:r>
        <w:rPr>
          <w:rFonts w:hint="eastAsia"/>
        </w:rPr>
        <w:t>，记录检测结果。</w:t>
      </w:r>
    </w:p>
    <w:p w14:paraId="524BBE2B">
      <w:pPr>
        <w:pStyle w:val="61"/>
        <w:ind w:firstLine="420"/>
      </w:pPr>
    </w:p>
    <w:p w14:paraId="3ECB6B3C">
      <w:pPr>
        <w:pStyle w:val="110"/>
        <w:spacing w:before="120" w:after="120"/>
        <w:rPr>
          <w:szCs w:val="21"/>
        </w:rPr>
      </w:pPr>
      <w:bookmarkStart w:id="106" w:name="_Toc22582"/>
      <w:r>
        <w:rPr>
          <w:rFonts w:hint="eastAsia"/>
          <w:szCs w:val="21"/>
        </w:rPr>
        <w:t>低气压试验</w:t>
      </w:r>
      <w:bookmarkEnd w:id="106"/>
    </w:p>
    <w:p w14:paraId="1CDDC10E">
      <w:pPr>
        <w:pStyle w:val="70"/>
        <w:spacing w:before="120" w:after="120"/>
        <w:rPr>
          <w:szCs w:val="21"/>
        </w:rPr>
      </w:pPr>
      <w:r>
        <w:rPr>
          <w:rFonts w:hint="eastAsia"/>
          <w:szCs w:val="21"/>
        </w:rPr>
        <w:t>测试目的</w:t>
      </w:r>
    </w:p>
    <w:p w14:paraId="0243EAEA">
      <w:pPr>
        <w:pStyle w:val="61"/>
        <w:ind w:firstLine="420"/>
      </w:pPr>
      <w:r>
        <w:rPr>
          <w:rFonts w:hint="eastAsia"/>
        </w:rPr>
        <w:t>考核</w:t>
      </w:r>
      <w:r>
        <w:t>被试</w:t>
      </w:r>
      <w:r>
        <w:rPr>
          <w:rFonts w:hint="eastAsia"/>
        </w:rPr>
        <w:t>设备</w:t>
      </w:r>
      <w:r>
        <w:t>在</w:t>
      </w:r>
      <w:r>
        <w:rPr>
          <w:rFonts w:hint="eastAsia"/>
        </w:rPr>
        <w:t>低气压环境条件下的适应性。</w:t>
      </w:r>
    </w:p>
    <w:p w14:paraId="0297C8A9">
      <w:pPr>
        <w:pStyle w:val="70"/>
        <w:tabs>
          <w:tab w:val="left" w:pos="721"/>
        </w:tabs>
        <w:spacing w:before="120" w:after="120"/>
        <w:rPr>
          <w:szCs w:val="21"/>
        </w:rPr>
      </w:pPr>
      <w:r>
        <w:rPr>
          <w:rFonts w:hint="eastAsia"/>
          <w:szCs w:val="21"/>
        </w:rPr>
        <w:t>测试条件</w:t>
      </w:r>
    </w:p>
    <w:p w14:paraId="13F9B0F9">
      <w:pPr>
        <w:pStyle w:val="61"/>
        <w:ind w:firstLine="420"/>
      </w:pPr>
      <w:r>
        <w:rPr>
          <w:rFonts w:hint="eastAsia"/>
        </w:rPr>
        <w:t>低气压条件为54kPa，对应海拔高度5000m。</w:t>
      </w:r>
    </w:p>
    <w:p w14:paraId="6D07060F">
      <w:pPr>
        <w:pStyle w:val="70"/>
        <w:tabs>
          <w:tab w:val="left" w:pos="721"/>
        </w:tabs>
        <w:spacing w:before="120" w:after="120"/>
        <w:rPr>
          <w:szCs w:val="21"/>
        </w:rPr>
      </w:pPr>
      <w:r>
        <w:rPr>
          <w:rFonts w:hint="eastAsia"/>
          <w:szCs w:val="21"/>
        </w:rPr>
        <w:t>测试方法</w:t>
      </w:r>
    </w:p>
    <w:p w14:paraId="41805C36">
      <w:pPr>
        <w:pStyle w:val="179"/>
        <w:numPr>
          <w:ilvl w:val="0"/>
          <w:numId w:val="54"/>
        </w:numPr>
      </w:pPr>
      <w:r>
        <w:rPr>
          <w:rFonts w:hint="eastAsia"/>
        </w:rPr>
        <w:t>将被试设备安放在试验箱内，上电预热；</w:t>
      </w:r>
    </w:p>
    <w:p w14:paraId="745E677E">
      <w:pPr>
        <w:pStyle w:val="179"/>
        <w:numPr>
          <w:ilvl w:val="0"/>
          <w:numId w:val="54"/>
        </w:numPr>
      </w:pPr>
      <w:r>
        <w:t>被试</w:t>
      </w:r>
      <w:r>
        <w:rPr>
          <w:rFonts w:hint="eastAsia"/>
        </w:rPr>
        <w:t>设备</w:t>
      </w:r>
      <w:r>
        <w:t>达到温度稳定</w:t>
      </w:r>
      <w:r>
        <w:rPr>
          <w:rFonts w:hint="eastAsia"/>
        </w:rPr>
        <w:t>后，</w:t>
      </w:r>
      <w:r>
        <w:t>按</w:t>
      </w:r>
      <w:r>
        <w:rPr>
          <w:rFonts w:hint="eastAsia"/>
        </w:rPr>
        <w:t>8.</w:t>
      </w:r>
      <w:r>
        <w:t>2</w:t>
      </w:r>
      <w:r>
        <w:rPr>
          <w:rFonts w:hint="eastAsia"/>
        </w:rPr>
        <w:t>的要求进行试验前的功能测试，记录检测结果</w:t>
      </w:r>
      <w:r>
        <w:t>；</w:t>
      </w:r>
    </w:p>
    <w:p w14:paraId="64B551D8">
      <w:pPr>
        <w:pStyle w:val="179"/>
        <w:numPr>
          <w:ilvl w:val="0"/>
          <w:numId w:val="54"/>
        </w:numPr>
      </w:pPr>
      <w:r>
        <w:t>将试验箱内的气压以不超过600m/min的速度调节至海拔</w:t>
      </w:r>
      <w:r>
        <w:rPr>
          <w:rFonts w:hint="eastAsia"/>
        </w:rPr>
        <w:t>50</w:t>
      </w:r>
      <w:r>
        <w:t>00m（5</w:t>
      </w:r>
      <w:r>
        <w:rPr>
          <w:rFonts w:hint="eastAsia"/>
        </w:rPr>
        <w:t>4</w:t>
      </w:r>
      <w:r>
        <w:t>kPa），保持1h，</w:t>
      </w:r>
      <w:r>
        <w:rPr>
          <w:rFonts w:hint="eastAsia"/>
        </w:rPr>
        <w:t>并按8.3的</w:t>
      </w:r>
      <w:r>
        <w:t>要求对被试</w:t>
      </w:r>
      <w:r>
        <w:rPr>
          <w:rFonts w:hint="eastAsia"/>
        </w:rPr>
        <w:t>设备</w:t>
      </w:r>
      <w:r>
        <w:t>进行一次</w:t>
      </w:r>
      <w:r>
        <w:rPr>
          <w:rFonts w:hint="eastAsia"/>
        </w:rPr>
        <w:t>试验中</w:t>
      </w:r>
      <w:r>
        <w:t>检测；</w:t>
      </w:r>
    </w:p>
    <w:p w14:paraId="1B11BC17">
      <w:pPr>
        <w:pStyle w:val="179"/>
        <w:numPr>
          <w:ilvl w:val="0"/>
          <w:numId w:val="54"/>
        </w:numPr>
      </w:pPr>
      <w:r>
        <w:t>保持1h后，以不超过600m/min的速度调节气压条件使其恢复到标准大气条件下</w:t>
      </w:r>
      <w:r>
        <w:rPr>
          <w:rFonts w:hint="eastAsia"/>
        </w:rPr>
        <w:t>；</w:t>
      </w:r>
    </w:p>
    <w:p w14:paraId="1269720F">
      <w:pPr>
        <w:pStyle w:val="179"/>
        <w:numPr>
          <w:ilvl w:val="0"/>
          <w:numId w:val="54"/>
        </w:numPr>
      </w:pPr>
      <w:r>
        <w:rPr>
          <w:rFonts w:hint="eastAsia"/>
        </w:rPr>
        <w:t>按8.</w:t>
      </w:r>
      <w:r>
        <w:t>4</w:t>
      </w:r>
      <w:r>
        <w:rPr>
          <w:rFonts w:hint="eastAsia"/>
        </w:rPr>
        <w:t>的</w:t>
      </w:r>
      <w:r>
        <w:t>要求</w:t>
      </w:r>
      <w:r>
        <w:rPr>
          <w:rFonts w:hint="eastAsia"/>
        </w:rPr>
        <w:t>对</w:t>
      </w:r>
      <w:r>
        <w:t>被试</w:t>
      </w:r>
      <w:r>
        <w:rPr>
          <w:rFonts w:hint="eastAsia"/>
        </w:rPr>
        <w:t>设备</w:t>
      </w:r>
      <w:r>
        <w:t>进行试验后检测</w:t>
      </w:r>
      <w:r>
        <w:rPr>
          <w:rFonts w:hint="eastAsia"/>
        </w:rPr>
        <w:t>，记录检测结果。</w:t>
      </w:r>
    </w:p>
    <w:p w14:paraId="724969A9">
      <w:pPr>
        <w:pStyle w:val="61"/>
        <w:ind w:firstLine="420"/>
      </w:pPr>
    </w:p>
    <w:p w14:paraId="05676BCA">
      <w:pPr>
        <w:pStyle w:val="110"/>
        <w:spacing w:before="120" w:after="120"/>
        <w:rPr>
          <w:szCs w:val="21"/>
        </w:rPr>
      </w:pPr>
      <w:bookmarkStart w:id="107" w:name="_Toc15638"/>
      <w:bookmarkStart w:id="108" w:name="_Toc23301"/>
      <w:r>
        <w:rPr>
          <w:rFonts w:hint="eastAsia"/>
          <w:szCs w:val="21"/>
        </w:rPr>
        <w:t>振动测试</w:t>
      </w:r>
      <w:bookmarkEnd w:id="107"/>
      <w:bookmarkEnd w:id="108"/>
    </w:p>
    <w:p w14:paraId="6B9ECD5E">
      <w:pPr>
        <w:pStyle w:val="70"/>
        <w:spacing w:before="120" w:after="120"/>
        <w:rPr>
          <w:szCs w:val="21"/>
        </w:rPr>
      </w:pPr>
      <w:r>
        <w:rPr>
          <w:rFonts w:hint="eastAsia"/>
          <w:szCs w:val="21"/>
        </w:rPr>
        <w:t>测试目的</w:t>
      </w:r>
    </w:p>
    <w:p w14:paraId="463976B3">
      <w:pPr>
        <w:pStyle w:val="61"/>
        <w:ind w:firstLine="420"/>
      </w:pPr>
      <w:r>
        <w:rPr>
          <w:rFonts w:hint="eastAsia"/>
        </w:rPr>
        <w:t>考核</w:t>
      </w:r>
      <w:r>
        <w:t>被试品是否能承受预期的振动应力以及保证在实际</w:t>
      </w:r>
      <w:r>
        <w:rPr>
          <w:rFonts w:hint="eastAsia"/>
        </w:rPr>
        <w:t>公路</w:t>
      </w:r>
      <w:r>
        <w:t>运输振动环境下</w:t>
      </w:r>
      <w:r>
        <w:rPr>
          <w:rFonts w:hint="eastAsia"/>
        </w:rPr>
        <w:t>保持原有功能性能的能力。</w:t>
      </w:r>
    </w:p>
    <w:p w14:paraId="258B8C11">
      <w:pPr>
        <w:pStyle w:val="70"/>
        <w:spacing w:before="120" w:after="120"/>
        <w:rPr>
          <w:szCs w:val="21"/>
        </w:rPr>
      </w:pPr>
      <w:r>
        <w:rPr>
          <w:rFonts w:hint="eastAsia"/>
          <w:szCs w:val="21"/>
        </w:rPr>
        <w:t>测试条件</w:t>
      </w:r>
    </w:p>
    <w:p w14:paraId="75893640">
      <w:pPr>
        <w:pStyle w:val="61"/>
        <w:ind w:firstLine="420"/>
      </w:pPr>
      <w:r>
        <w:rPr>
          <w:rFonts w:hint="eastAsia"/>
        </w:rPr>
        <w:t>依据</w:t>
      </w:r>
      <w:r>
        <w:t>GB∕T 4857.23-2021</w:t>
      </w:r>
      <w:r>
        <w:rPr>
          <w:rFonts w:hAnsi="宋体"/>
        </w:rPr>
        <w:t>中</w:t>
      </w:r>
      <w:r>
        <w:rPr>
          <w:rFonts w:hint="eastAsia"/>
        </w:rPr>
        <w:t>D</w:t>
      </w:r>
      <w:r>
        <w:rPr>
          <w:rFonts w:hAnsi="宋体"/>
        </w:rPr>
        <w:t>.</w:t>
      </w:r>
      <w:r>
        <w:rPr>
          <w:rFonts w:hint="eastAsia"/>
        </w:rPr>
        <w:t>1</w:t>
      </w:r>
      <w:r>
        <w:rPr>
          <w:rFonts w:hAnsi="宋体"/>
        </w:rPr>
        <w:t>中关于</w:t>
      </w:r>
      <w:r>
        <w:rPr>
          <w:rFonts w:hint="eastAsia"/>
        </w:rPr>
        <w:t>2级公路</w:t>
      </w:r>
      <w:r>
        <w:rPr>
          <w:rFonts w:hAnsi="宋体"/>
        </w:rPr>
        <w:t>运输</w:t>
      </w:r>
      <w:r>
        <w:t>的要求</w:t>
      </w:r>
      <w:r>
        <w:rPr>
          <w:rFonts w:hint="eastAsia"/>
        </w:rPr>
        <w:t>进行试验。</w:t>
      </w:r>
      <w:r>
        <w:t>带</w:t>
      </w:r>
      <w:r>
        <w:rPr>
          <w:rFonts w:hint="eastAsia"/>
        </w:rPr>
        <w:t>外</w:t>
      </w:r>
      <w:r>
        <w:t>包装</w:t>
      </w:r>
      <w:r>
        <w:rPr>
          <w:rFonts w:hint="eastAsia"/>
        </w:rPr>
        <w:t>。</w:t>
      </w:r>
    </w:p>
    <w:p w14:paraId="2BF3196E">
      <w:pPr>
        <w:pStyle w:val="70"/>
        <w:spacing w:before="120" w:after="120"/>
        <w:rPr>
          <w:szCs w:val="21"/>
        </w:rPr>
      </w:pPr>
      <w:r>
        <w:rPr>
          <w:rFonts w:hint="eastAsia"/>
          <w:szCs w:val="21"/>
        </w:rPr>
        <w:t>测试步骤</w:t>
      </w:r>
    </w:p>
    <w:p w14:paraId="28236542">
      <w:pPr>
        <w:pStyle w:val="179"/>
        <w:numPr>
          <w:ilvl w:val="0"/>
          <w:numId w:val="55"/>
        </w:numPr>
      </w:pPr>
      <w:r>
        <w:rPr>
          <w:rFonts w:hint="eastAsia"/>
        </w:rPr>
        <w:t>将</w:t>
      </w:r>
      <w:r>
        <w:t>被试</w:t>
      </w:r>
      <w:r>
        <w:rPr>
          <w:rFonts w:hint="eastAsia"/>
        </w:rPr>
        <w:t>设备</w:t>
      </w:r>
      <w:r>
        <w:t>按</w:t>
      </w:r>
      <w:r>
        <w:rPr>
          <w:rFonts w:hint="eastAsia"/>
        </w:rPr>
        <w:t>8.</w:t>
      </w:r>
      <w:r>
        <w:t>2</w:t>
      </w:r>
      <w:r>
        <w:rPr>
          <w:rFonts w:hint="eastAsia"/>
        </w:rPr>
        <w:t>的要求进行试验前的功能测试，记录检测结果；</w:t>
      </w:r>
    </w:p>
    <w:p w14:paraId="70F055B6">
      <w:pPr>
        <w:pStyle w:val="179"/>
        <w:numPr>
          <w:ilvl w:val="0"/>
          <w:numId w:val="55"/>
        </w:numPr>
      </w:pPr>
      <w:r>
        <w:t>将被试</w:t>
      </w:r>
      <w:r>
        <w:rPr>
          <w:rFonts w:hint="eastAsia"/>
        </w:rPr>
        <w:t>设备</w:t>
      </w:r>
      <w:r>
        <w:t>放置于包装箱中，再安装在振动台上，按正常的安装方式借助夹具紧固于试验设备台面上</w:t>
      </w:r>
      <w:r>
        <w:rPr>
          <w:rFonts w:hint="eastAsia"/>
        </w:rPr>
        <w:t>；</w:t>
      </w:r>
    </w:p>
    <w:p w14:paraId="4F1524EC">
      <w:pPr>
        <w:pStyle w:val="179"/>
        <w:numPr>
          <w:ilvl w:val="0"/>
          <w:numId w:val="55"/>
        </w:numPr>
      </w:pPr>
      <w:r>
        <w:rPr>
          <w:rFonts w:hint="eastAsia"/>
          <w:kern w:val="2"/>
        </w:rPr>
        <w:t>根据</w:t>
      </w:r>
      <w:r>
        <w:rPr>
          <w:kern w:val="2"/>
        </w:rPr>
        <w:t>GB∕T 4857.23-2021</w:t>
      </w:r>
      <w:r>
        <w:rPr>
          <w:rFonts w:hAnsi="宋体"/>
          <w:kern w:val="2"/>
        </w:rPr>
        <w:t>中</w:t>
      </w:r>
      <w:r>
        <w:rPr>
          <w:rFonts w:hint="eastAsia"/>
          <w:kern w:val="2"/>
        </w:rPr>
        <w:t>D</w:t>
      </w:r>
      <w:r>
        <w:rPr>
          <w:rFonts w:hAnsi="宋体"/>
          <w:kern w:val="2"/>
        </w:rPr>
        <w:t>.</w:t>
      </w:r>
      <w:r>
        <w:rPr>
          <w:rFonts w:hint="eastAsia"/>
          <w:kern w:val="2"/>
        </w:rPr>
        <w:t>1</w:t>
      </w:r>
      <w:r>
        <w:rPr>
          <w:rFonts w:hAnsi="宋体"/>
          <w:kern w:val="2"/>
        </w:rPr>
        <w:t>中关于</w:t>
      </w:r>
      <w:r>
        <w:rPr>
          <w:rFonts w:hint="eastAsia"/>
          <w:kern w:val="2"/>
        </w:rPr>
        <w:t>2级公路</w:t>
      </w:r>
      <w:r>
        <w:rPr>
          <w:rFonts w:hAnsi="宋体"/>
          <w:kern w:val="2"/>
        </w:rPr>
        <w:t>运输</w:t>
      </w:r>
      <w:r>
        <w:t>的要求，在垂直轴向进行振动试验，试验时间60min，</w:t>
      </w:r>
      <w:r>
        <w:rPr>
          <w:rFonts w:hint="eastAsia"/>
        </w:rPr>
        <w:t>被试设备可按照分系统（如控制系统、探测系统）分别进行振动试验</w:t>
      </w:r>
      <w:r>
        <w:t>；</w:t>
      </w:r>
    </w:p>
    <w:p w14:paraId="79364AAC">
      <w:pPr>
        <w:pStyle w:val="179"/>
        <w:numPr>
          <w:ilvl w:val="0"/>
          <w:numId w:val="55"/>
        </w:numPr>
      </w:pPr>
      <w:r>
        <w:t>试验结束后，在标准大气条件下</w:t>
      </w:r>
      <w:r>
        <w:rPr>
          <w:rFonts w:hint="eastAsia"/>
        </w:rPr>
        <w:t>按8.</w:t>
      </w:r>
      <w:r>
        <w:t>4</w:t>
      </w:r>
      <w:r>
        <w:rPr>
          <w:rFonts w:hint="eastAsia"/>
        </w:rPr>
        <w:t>的</w:t>
      </w:r>
      <w:r>
        <w:t>要求</w:t>
      </w:r>
      <w:r>
        <w:rPr>
          <w:rFonts w:hint="eastAsia"/>
        </w:rPr>
        <w:t>对</w:t>
      </w:r>
      <w:r>
        <w:t>被试</w:t>
      </w:r>
      <w:r>
        <w:rPr>
          <w:rFonts w:hint="eastAsia"/>
        </w:rPr>
        <w:t>设备</w:t>
      </w:r>
      <w:r>
        <w:t>进行试验后检测</w:t>
      </w:r>
      <w:r>
        <w:rPr>
          <w:rFonts w:hint="eastAsia"/>
        </w:rPr>
        <w:t>，记录检测结果</w:t>
      </w:r>
      <w:r>
        <w:t>。</w:t>
      </w:r>
    </w:p>
    <w:p w14:paraId="32DB99A1">
      <w:pPr>
        <w:pStyle w:val="109"/>
        <w:spacing w:before="240" w:after="240"/>
        <w:rPr>
          <w:szCs w:val="21"/>
        </w:rPr>
      </w:pPr>
      <w:bookmarkStart w:id="109" w:name="_Toc22079"/>
      <w:r>
        <w:rPr>
          <w:rFonts w:hint="eastAsia"/>
          <w:szCs w:val="21"/>
        </w:rPr>
        <w:t>测试要求</w:t>
      </w:r>
      <w:bookmarkEnd w:id="109"/>
    </w:p>
    <w:p w14:paraId="2DA173C1">
      <w:pPr>
        <w:pStyle w:val="110"/>
        <w:numPr>
          <w:ilvl w:val="2"/>
          <w:numId w:val="56"/>
        </w:numPr>
        <w:spacing w:before="120" w:after="120"/>
        <w:rPr>
          <w:szCs w:val="21"/>
        </w:rPr>
      </w:pPr>
      <w:bookmarkStart w:id="110" w:name="_Toc103086146"/>
      <w:bookmarkStart w:id="111" w:name="_Toc16777732"/>
      <w:bookmarkStart w:id="112" w:name="_Toc103088940"/>
      <w:bookmarkStart w:id="113" w:name="_Toc206938352"/>
      <w:bookmarkStart w:id="114" w:name="_Toc61968244"/>
      <w:bookmarkStart w:id="115" w:name="_Toc30418"/>
      <w:bookmarkStart w:id="116" w:name="_Ref61371833"/>
      <w:r>
        <w:rPr>
          <w:szCs w:val="21"/>
        </w:rPr>
        <w:t>检测项目</w:t>
      </w:r>
      <w:bookmarkEnd w:id="110"/>
      <w:bookmarkEnd w:id="111"/>
      <w:bookmarkEnd w:id="112"/>
      <w:bookmarkEnd w:id="113"/>
      <w:bookmarkEnd w:id="114"/>
      <w:bookmarkEnd w:id="115"/>
      <w:bookmarkEnd w:id="116"/>
    </w:p>
    <w:p w14:paraId="25E28AC8">
      <w:pPr>
        <w:pStyle w:val="61"/>
        <w:ind w:firstLine="420"/>
      </w:pPr>
      <w:r>
        <w:rPr>
          <w:rFonts w:hint="eastAsia"/>
        </w:rPr>
        <w:t>根据环境适应性试验的不同阶段，检测项目存在差异。</w:t>
      </w:r>
      <w:r>
        <w:t>按</w:t>
      </w:r>
      <w:r>
        <w:rPr>
          <w:rFonts w:hint="eastAsia"/>
        </w:rPr>
        <w:t>环境适应性试验前</w:t>
      </w:r>
      <w:r>
        <w:t>检测、试验中检测</w:t>
      </w:r>
      <w:r>
        <w:rPr>
          <w:rFonts w:hint="eastAsia"/>
        </w:rPr>
        <w:t>、试验后检测</w:t>
      </w:r>
      <w:r>
        <w:t>项目</w:t>
      </w:r>
      <w:r>
        <w:rPr>
          <w:rFonts w:hint="eastAsia"/>
        </w:rPr>
        <w:t>分别</w:t>
      </w:r>
      <w:r>
        <w:t>描述。</w:t>
      </w:r>
    </w:p>
    <w:p w14:paraId="7EF2E20F">
      <w:pPr>
        <w:pStyle w:val="110"/>
        <w:numPr>
          <w:ilvl w:val="2"/>
          <w:numId w:val="56"/>
        </w:numPr>
        <w:spacing w:before="120" w:after="120"/>
        <w:rPr>
          <w:szCs w:val="21"/>
        </w:rPr>
      </w:pPr>
      <w:bookmarkStart w:id="117" w:name="_Toc18122"/>
      <w:r>
        <w:rPr>
          <w:rFonts w:hint="eastAsia"/>
          <w:szCs w:val="21"/>
        </w:rPr>
        <w:t>环境适应性试验前检测</w:t>
      </w:r>
      <w:bookmarkEnd w:id="117"/>
    </w:p>
    <w:p w14:paraId="46D75D9F">
      <w:pPr>
        <w:pStyle w:val="61"/>
        <w:ind w:firstLine="420"/>
      </w:pPr>
      <w:r>
        <w:t>在进行</w:t>
      </w:r>
      <w:r>
        <w:rPr>
          <w:rFonts w:hint="eastAsia"/>
        </w:rPr>
        <w:t>环境适应性</w:t>
      </w:r>
      <w:r>
        <w:t>试验前，在实验室</w:t>
      </w:r>
      <w:r>
        <w:rPr>
          <w:rFonts w:hint="eastAsia"/>
        </w:rPr>
        <w:t>安静</w:t>
      </w:r>
      <w:r>
        <w:t>环境下，</w:t>
      </w:r>
      <w:r>
        <w:rPr>
          <w:highlight w:val="none"/>
        </w:rPr>
        <w:t>对</w:t>
      </w:r>
      <w:r>
        <w:rPr>
          <w:rFonts w:hint="eastAsia"/>
          <w:highlight w:val="none"/>
        </w:rPr>
        <w:t>被试品所有所有相关可靠性指标</w:t>
      </w:r>
      <w:r>
        <w:rPr>
          <w:rFonts w:hint="eastAsia"/>
          <w:highlight w:val="none"/>
          <w:lang w:val="en-US" w:eastAsia="zh-CN"/>
        </w:rPr>
        <w:t>[</w:t>
      </w:r>
      <w:r>
        <w:rPr>
          <w:rFonts w:hint="eastAsia"/>
          <w:highlight w:val="none"/>
        </w:rPr>
        <w:t>如台站式</w:t>
      </w:r>
      <w:r>
        <w:rPr>
          <w:rFonts w:hint="eastAsia"/>
          <w:highlight w:val="none"/>
          <w:lang w:eastAsia="zh-CN"/>
        </w:rPr>
        <w:t>：</w:t>
      </w:r>
      <w:r>
        <w:rPr>
          <w:rFonts w:hint="eastAsia"/>
          <w:highlight w:val="none"/>
        </w:rPr>
        <w:t>连续运行率</w:t>
      </w:r>
      <w:r>
        <w:rPr>
          <w:rFonts w:hint="eastAsia"/>
          <w:highlight w:val="none"/>
          <w:lang w:eastAsia="zh-CN"/>
        </w:rPr>
        <w:t>（</w:t>
      </w:r>
      <w:r>
        <w:rPr>
          <w:rFonts w:hint="eastAsia"/>
          <w:highlight w:val="none"/>
        </w:rPr>
        <w:t>7天</w:t>
      </w:r>
      <w:r>
        <w:rPr>
          <w:rFonts w:hint="eastAsia"/>
          <w:highlight w:val="none"/>
          <w:lang w:eastAsia="zh-CN"/>
        </w:rPr>
        <w:t>）</w:t>
      </w:r>
      <w:r>
        <w:rPr>
          <w:rFonts w:hint="eastAsia"/>
          <w:highlight w:val="none"/>
        </w:rPr>
        <w:t>、连续运行稳定性、断电复现性</w:t>
      </w:r>
      <w:r>
        <w:rPr>
          <w:rFonts w:hint="eastAsia"/>
          <w:highlight w:val="none"/>
          <w:lang w:eastAsia="zh-CN"/>
        </w:rPr>
        <w:t>；</w:t>
      </w:r>
      <w:r>
        <w:rPr>
          <w:rFonts w:hint="eastAsia"/>
          <w:highlight w:val="none"/>
        </w:rPr>
        <w:t>流动式</w:t>
      </w:r>
      <w:r>
        <w:rPr>
          <w:rFonts w:hint="eastAsia"/>
          <w:highlight w:val="none"/>
          <w:lang w:eastAsia="zh-CN"/>
        </w:rPr>
        <w:t>：</w:t>
      </w:r>
      <w:r>
        <w:rPr>
          <w:rFonts w:hint="eastAsia"/>
          <w:highlight w:val="none"/>
        </w:rPr>
        <w:t>运输转运复现性、部署时间</w:t>
      </w:r>
      <w:r>
        <w:rPr>
          <w:rFonts w:hint="eastAsia"/>
          <w:highlight w:val="none"/>
          <w:lang w:val="en-US" w:eastAsia="zh-CN"/>
        </w:rPr>
        <w:t>]</w:t>
      </w:r>
      <w:r>
        <w:rPr>
          <w:rFonts w:hint="eastAsia"/>
          <w:highlight w:val="none"/>
        </w:rPr>
        <w:t>进行检测</w:t>
      </w:r>
      <w:r>
        <w:rPr>
          <w:rStyle w:val="36"/>
          <w:rFonts w:ascii="Calibri" w:hAnsi="Calibri"/>
          <w:kern w:val="2"/>
          <w:highlight w:val="none"/>
        </w:rPr>
        <w:commentReference w:id="0"/>
      </w:r>
      <w:r>
        <w:rPr>
          <w:highlight w:val="none"/>
        </w:rPr>
        <w:t>，</w:t>
      </w:r>
      <w:r>
        <w:t>并记录检测数据，作为</w:t>
      </w:r>
      <w:r>
        <w:rPr>
          <w:rFonts w:hint="eastAsia"/>
        </w:rPr>
        <w:t>环境适应性</w:t>
      </w:r>
      <w:r>
        <w:t>试验</w:t>
      </w:r>
      <w:r>
        <w:rPr>
          <w:rFonts w:hint="eastAsia"/>
        </w:rPr>
        <w:t>开始前性能指标正常的判据</w:t>
      </w:r>
      <w:r>
        <w:t>。</w:t>
      </w:r>
    </w:p>
    <w:p w14:paraId="6D472833">
      <w:pPr>
        <w:pStyle w:val="110"/>
        <w:numPr>
          <w:ilvl w:val="2"/>
          <w:numId w:val="56"/>
        </w:numPr>
        <w:spacing w:before="120" w:after="120"/>
        <w:rPr>
          <w:szCs w:val="21"/>
        </w:rPr>
      </w:pPr>
      <w:bookmarkStart w:id="118" w:name="_Toc18554"/>
      <w:r>
        <w:rPr>
          <w:rFonts w:hint="eastAsia"/>
          <w:szCs w:val="21"/>
        </w:rPr>
        <w:t>环境适应性试验中检测</w:t>
      </w:r>
      <w:bookmarkEnd w:id="118"/>
    </w:p>
    <w:p w14:paraId="5DDE0E9B">
      <w:pPr>
        <w:pStyle w:val="61"/>
        <w:ind w:firstLine="420"/>
      </w:pPr>
      <w:r>
        <w:rPr>
          <w:rFonts w:hint="eastAsia"/>
        </w:rPr>
        <w:t>试验中检测为在环境应力下的检测。环境适应性试验进行时不允许将被试设备从试验箱或振动台中取出，导致被试设备无法开展性能检测。为了表征被试设备在环境适应性试验期间的状态，使用功能检测替代性能检测。功能指标可以根据被试设备具体情况选择合适的参数来评判，如激光是否失锁、真空是否维持、原子捕获是否正常等。</w:t>
      </w:r>
    </w:p>
    <w:p w14:paraId="2AE347AC">
      <w:pPr>
        <w:pStyle w:val="110"/>
        <w:numPr>
          <w:ilvl w:val="2"/>
          <w:numId w:val="56"/>
        </w:numPr>
        <w:spacing w:before="120" w:after="120"/>
        <w:rPr>
          <w:szCs w:val="21"/>
        </w:rPr>
      </w:pPr>
      <w:bookmarkStart w:id="119" w:name="_Toc6796"/>
      <w:r>
        <w:rPr>
          <w:rFonts w:hint="eastAsia"/>
          <w:szCs w:val="21"/>
        </w:rPr>
        <w:t>环境适应性试验后检测</w:t>
      </w:r>
      <w:bookmarkEnd w:id="119"/>
    </w:p>
    <w:p w14:paraId="6C415285">
      <w:pPr>
        <w:pStyle w:val="61"/>
        <w:ind w:firstLine="420"/>
      </w:pPr>
      <w:r>
        <w:t>在完成</w:t>
      </w:r>
      <w:r>
        <w:rPr>
          <w:rFonts w:hint="eastAsia"/>
        </w:rPr>
        <w:t>环境适应性</w:t>
      </w:r>
      <w:r>
        <w:t>试验后，</w:t>
      </w:r>
      <w:r>
        <w:rPr>
          <w:rFonts w:hint="eastAsia"/>
        </w:rPr>
        <w:t>应</w:t>
      </w:r>
      <w:r>
        <w:t>对被试</w:t>
      </w:r>
      <w:r>
        <w:rPr>
          <w:rFonts w:hint="eastAsia"/>
        </w:rPr>
        <w:t>设备</w:t>
      </w:r>
      <w:r>
        <w:t>进行性能检测</w:t>
      </w:r>
      <w:r>
        <w:rPr>
          <w:rFonts w:hint="eastAsia"/>
        </w:rPr>
        <w:t>。性能检测应包含被试设备使用工况下的所有可靠性指标。在被试设备质量可靠的前提下，可以在所有环境适应性试验结束后进行一次性能检测。</w:t>
      </w:r>
    </w:p>
    <w:p w14:paraId="2107ABA2">
      <w:pPr>
        <w:pStyle w:val="109"/>
        <w:spacing w:before="240" w:after="240"/>
        <w:rPr>
          <w:szCs w:val="21"/>
        </w:rPr>
      </w:pPr>
      <w:bookmarkStart w:id="120" w:name="_Toc10569"/>
      <w:bookmarkStart w:id="121" w:name="_Toc32543"/>
      <w:bookmarkStart w:id="122" w:name="_Toc23331"/>
      <w:r>
        <w:rPr>
          <w:rFonts w:hint="eastAsia"/>
          <w:szCs w:val="21"/>
        </w:rPr>
        <w:t>测试数据处理</w:t>
      </w:r>
      <w:bookmarkEnd w:id="120"/>
      <w:bookmarkEnd w:id="121"/>
      <w:bookmarkEnd w:id="122"/>
    </w:p>
    <w:p w14:paraId="3E502E4F">
      <w:pPr>
        <w:pStyle w:val="110"/>
        <w:numPr>
          <w:ilvl w:val="2"/>
          <w:numId w:val="56"/>
        </w:numPr>
        <w:spacing w:before="120" w:after="120"/>
        <w:rPr>
          <w:szCs w:val="21"/>
        </w:rPr>
      </w:pPr>
      <w:bookmarkStart w:id="123" w:name="_Toc19899"/>
      <w:bookmarkStart w:id="124" w:name="_Toc105"/>
      <w:r>
        <w:rPr>
          <w:rFonts w:hint="eastAsia"/>
          <w:szCs w:val="21"/>
        </w:rPr>
        <w:t>故障判定</w:t>
      </w:r>
      <w:bookmarkEnd w:id="123"/>
      <w:bookmarkEnd w:id="124"/>
    </w:p>
    <w:p w14:paraId="250D58FA">
      <w:pPr>
        <w:pStyle w:val="61"/>
        <w:ind w:firstLine="420"/>
      </w:pPr>
      <w:r>
        <w:rPr>
          <w:rFonts w:hint="eastAsia"/>
        </w:rPr>
        <w:t>原子重力仪在可靠性和环境适应性测试中，出现以下任一情况，即判定为1次故障：</w:t>
      </w:r>
    </w:p>
    <w:p w14:paraId="0C1B4537">
      <w:pPr>
        <w:pStyle w:val="179"/>
        <w:numPr>
          <w:ilvl w:val="0"/>
          <w:numId w:val="57"/>
        </w:numPr>
      </w:pPr>
      <w:r>
        <w:rPr>
          <w:rFonts w:hint="eastAsia"/>
        </w:rPr>
        <w:t>环境适应性测试前，任一可靠性指标未达要求；</w:t>
      </w:r>
    </w:p>
    <w:p w14:paraId="0D3B1305">
      <w:pPr>
        <w:pStyle w:val="179"/>
        <w:numPr>
          <w:ilvl w:val="0"/>
          <w:numId w:val="57"/>
        </w:numPr>
      </w:pPr>
      <w:r>
        <w:rPr>
          <w:rFonts w:hint="eastAsia"/>
        </w:rPr>
        <w:t>在大于7天的连续运行率指标测试时，因仪器本身原因导致数据记录中断；</w:t>
      </w:r>
    </w:p>
    <w:p w14:paraId="2E555799">
      <w:pPr>
        <w:pStyle w:val="179"/>
        <w:numPr>
          <w:ilvl w:val="0"/>
          <w:numId w:val="57"/>
        </w:numPr>
      </w:pPr>
      <w:r>
        <w:rPr>
          <w:rFonts w:hint="eastAsia"/>
        </w:rPr>
        <w:t>环境适应性测试试验中，功能指标异常；</w:t>
      </w:r>
    </w:p>
    <w:p w14:paraId="1B0E4594">
      <w:pPr>
        <w:pStyle w:val="179"/>
        <w:numPr>
          <w:ilvl w:val="0"/>
          <w:numId w:val="57"/>
        </w:numPr>
      </w:pPr>
      <w:r>
        <w:rPr>
          <w:rFonts w:hint="eastAsia"/>
        </w:rPr>
        <w:t>环境适应性测试后，任一可靠性指标未达要求。</w:t>
      </w:r>
    </w:p>
    <w:p w14:paraId="0D8FECB3">
      <w:pPr>
        <w:pStyle w:val="109"/>
        <w:numPr>
          <w:ilvl w:val="1"/>
          <w:numId w:val="56"/>
        </w:numPr>
        <w:spacing w:before="240" w:after="240"/>
        <w:rPr>
          <w:szCs w:val="21"/>
        </w:rPr>
      </w:pPr>
      <w:bookmarkStart w:id="125" w:name="_Toc103088944"/>
      <w:bookmarkStart w:id="126" w:name="_Toc103086150"/>
      <w:bookmarkStart w:id="127" w:name="_Toc206938356"/>
      <w:bookmarkStart w:id="128" w:name="_Toc31011"/>
      <w:bookmarkStart w:id="129" w:name="_Toc19963"/>
      <w:r>
        <w:rPr>
          <w:szCs w:val="21"/>
        </w:rPr>
        <w:t>试验</w:t>
      </w:r>
      <w:r>
        <w:rPr>
          <w:rFonts w:hint="eastAsia"/>
          <w:szCs w:val="21"/>
        </w:rPr>
        <w:t>暂停</w:t>
      </w:r>
      <w:r>
        <w:rPr>
          <w:szCs w:val="21"/>
        </w:rPr>
        <w:t>、中断、恢复</w:t>
      </w:r>
      <w:bookmarkEnd w:id="125"/>
      <w:bookmarkEnd w:id="126"/>
      <w:r>
        <w:rPr>
          <w:rFonts w:hint="eastAsia"/>
          <w:szCs w:val="21"/>
        </w:rPr>
        <w:t>和终止</w:t>
      </w:r>
      <w:bookmarkEnd w:id="127"/>
      <w:bookmarkEnd w:id="128"/>
    </w:p>
    <w:p w14:paraId="65784FC3">
      <w:pPr>
        <w:pStyle w:val="110"/>
        <w:numPr>
          <w:ilvl w:val="2"/>
          <w:numId w:val="56"/>
        </w:numPr>
        <w:spacing w:before="120" w:after="120"/>
        <w:rPr>
          <w:szCs w:val="21"/>
        </w:rPr>
      </w:pPr>
      <w:bookmarkStart w:id="130" w:name="_Toc15423"/>
      <w:bookmarkStart w:id="131" w:name="_Toc206938357"/>
      <w:r>
        <w:rPr>
          <w:rFonts w:hint="eastAsia"/>
          <w:szCs w:val="21"/>
        </w:rPr>
        <w:t>试验暂停和中断</w:t>
      </w:r>
      <w:bookmarkEnd w:id="130"/>
      <w:bookmarkEnd w:id="131"/>
    </w:p>
    <w:p w14:paraId="5398E9A5">
      <w:pPr>
        <w:pStyle w:val="70"/>
        <w:spacing w:before="120" w:after="120"/>
        <w:rPr>
          <w:szCs w:val="21"/>
        </w:rPr>
      </w:pPr>
      <w:bookmarkStart w:id="132" w:name="_Toc103086153"/>
      <w:bookmarkStart w:id="133" w:name="_Toc103088947"/>
      <w:r>
        <w:rPr>
          <w:rFonts w:hint="eastAsia"/>
          <w:szCs w:val="21"/>
        </w:rPr>
        <w:t>试验暂停和中断条件</w:t>
      </w:r>
    </w:p>
    <w:p w14:paraId="2C4837CF">
      <w:pPr>
        <w:pStyle w:val="61"/>
        <w:ind w:firstLine="420"/>
      </w:pPr>
      <w:r>
        <w:rPr>
          <w:rFonts w:hint="eastAsia"/>
        </w:rPr>
        <w:t>测试过程中出现技术故障或安全隐患，应暂停试验，待排除后可继续实施。出现以下情形之一的，应中断试验：</w:t>
      </w:r>
    </w:p>
    <w:p w14:paraId="6991C402">
      <w:pPr>
        <w:pStyle w:val="179"/>
        <w:numPr>
          <w:ilvl w:val="0"/>
          <w:numId w:val="58"/>
        </w:numPr>
      </w:pPr>
      <w:r>
        <w:rPr>
          <w:rFonts w:hint="eastAsia"/>
        </w:rPr>
        <w:t>出现短期内难以排除的故障；</w:t>
      </w:r>
    </w:p>
    <w:p w14:paraId="18196954">
      <w:pPr>
        <w:pStyle w:val="179"/>
        <w:numPr>
          <w:ilvl w:val="0"/>
          <w:numId w:val="58"/>
        </w:numPr>
      </w:pPr>
      <w:r>
        <w:rPr>
          <w:rFonts w:hint="eastAsia"/>
        </w:rPr>
        <w:t>出现重大安全隐患；</w:t>
      </w:r>
    </w:p>
    <w:p w14:paraId="21EA84DF">
      <w:pPr>
        <w:pStyle w:val="179"/>
        <w:numPr>
          <w:ilvl w:val="0"/>
          <w:numId w:val="58"/>
        </w:numPr>
      </w:pPr>
      <w:r>
        <w:rPr>
          <w:rFonts w:hint="eastAsia"/>
        </w:rPr>
        <w:t>环境条件、保障条件等不满足试验要求；</w:t>
      </w:r>
    </w:p>
    <w:p w14:paraId="3CF8322F">
      <w:pPr>
        <w:pStyle w:val="179"/>
        <w:numPr>
          <w:ilvl w:val="0"/>
          <w:numId w:val="58"/>
        </w:numPr>
      </w:pPr>
      <w:r>
        <w:rPr>
          <w:rFonts w:hint="eastAsia"/>
        </w:rPr>
        <w:t>试验结果已判定可靠性指标达不到要求；</w:t>
      </w:r>
    </w:p>
    <w:p w14:paraId="18AA0061">
      <w:pPr>
        <w:pStyle w:val="179"/>
        <w:numPr>
          <w:ilvl w:val="0"/>
          <w:numId w:val="58"/>
        </w:numPr>
      </w:pPr>
      <w:r>
        <w:rPr>
          <w:rFonts w:hint="eastAsia"/>
        </w:rPr>
        <w:t>出现其它不可抗拒的情况。</w:t>
      </w:r>
    </w:p>
    <w:p w14:paraId="4CDD51C5">
      <w:pPr>
        <w:pStyle w:val="70"/>
        <w:spacing w:before="120" w:after="120"/>
        <w:rPr>
          <w:szCs w:val="21"/>
        </w:rPr>
      </w:pPr>
      <w:bookmarkStart w:id="134" w:name="_Toc206938358"/>
      <w:r>
        <w:rPr>
          <w:rFonts w:hint="eastAsia"/>
          <w:szCs w:val="21"/>
        </w:rPr>
        <w:t>非被试设备自身原因引起的中断处理</w:t>
      </w:r>
      <w:bookmarkEnd w:id="134"/>
    </w:p>
    <w:p w14:paraId="6196C5CF">
      <w:pPr>
        <w:pStyle w:val="61"/>
        <w:ind w:firstLine="420"/>
      </w:pPr>
      <w:r>
        <w:rPr>
          <w:rFonts w:hint="eastAsia"/>
        </w:rPr>
        <w:t>因电网停电、试验箱故障等非仪器本身原因导致测试无法进行，可暂停试验；暂停期间不累计运行时间，故障排除后按原条件恢复，数据连续计算。</w:t>
      </w:r>
    </w:p>
    <w:p w14:paraId="702F8ED5">
      <w:pPr>
        <w:pStyle w:val="70"/>
        <w:spacing w:before="120" w:after="120"/>
        <w:rPr>
          <w:szCs w:val="21"/>
        </w:rPr>
      </w:pPr>
      <w:bookmarkStart w:id="135" w:name="_Toc206938359"/>
      <w:r>
        <w:rPr>
          <w:rFonts w:hint="eastAsia"/>
          <w:szCs w:val="21"/>
        </w:rPr>
        <w:t>被试设备故障引起的中断处理</w:t>
      </w:r>
      <w:bookmarkEnd w:id="135"/>
    </w:p>
    <w:p w14:paraId="6B876C26">
      <w:pPr>
        <w:pStyle w:val="179"/>
        <w:numPr>
          <w:ilvl w:val="0"/>
          <w:numId w:val="59"/>
        </w:numPr>
      </w:pPr>
      <w:r>
        <w:rPr>
          <w:rFonts w:hint="eastAsia"/>
        </w:rPr>
        <w:t>当确认被试设备发生故障，导致试验暂停、中断或终止时，应将故障信息记入故障报告表。</w:t>
      </w:r>
    </w:p>
    <w:p w14:paraId="454CE7DD">
      <w:pPr>
        <w:pStyle w:val="179"/>
        <w:numPr>
          <w:ilvl w:val="0"/>
          <w:numId w:val="59"/>
        </w:numPr>
      </w:pPr>
      <w:r>
        <w:rPr>
          <w:rFonts w:hint="eastAsia"/>
        </w:rPr>
        <w:t>对于出现的故障，应做故障分析，明确其故障机理，并根据故障机理确定合理的改进措施。将故障分析的结果填入故障分析报告表，将采取的纠正措施填入故障纠正措施表。</w:t>
      </w:r>
    </w:p>
    <w:p w14:paraId="3267DF14">
      <w:pPr>
        <w:pStyle w:val="179"/>
        <w:numPr>
          <w:ilvl w:val="0"/>
          <w:numId w:val="59"/>
        </w:numPr>
      </w:pPr>
      <w:r>
        <w:rPr>
          <w:rFonts w:hint="eastAsia"/>
        </w:rPr>
        <w:t>若发生的故障，经分析认为采取的措施不影响前期试验结果，经承试方同意可继续试验，发生故障的测试项目应重做；若采取的纠正措施影响前期测试结果，则受影响的测试项目应重做。</w:t>
      </w:r>
    </w:p>
    <w:p w14:paraId="55E5DB48">
      <w:pPr>
        <w:pStyle w:val="110"/>
        <w:numPr>
          <w:ilvl w:val="2"/>
          <w:numId w:val="56"/>
        </w:numPr>
        <w:spacing w:before="120" w:after="120"/>
        <w:rPr>
          <w:szCs w:val="21"/>
        </w:rPr>
      </w:pPr>
      <w:bookmarkStart w:id="136" w:name="_Toc30273"/>
      <w:bookmarkStart w:id="137" w:name="_Toc206938360"/>
      <w:r>
        <w:rPr>
          <w:szCs w:val="21"/>
        </w:rPr>
        <w:t>试验终止</w:t>
      </w:r>
      <w:bookmarkEnd w:id="136"/>
      <w:bookmarkEnd w:id="137"/>
    </w:p>
    <w:p w14:paraId="6E1A2AE7">
      <w:pPr>
        <w:pStyle w:val="61"/>
        <w:ind w:firstLine="420"/>
      </w:pPr>
      <w:r>
        <w:rPr>
          <w:rFonts w:hint="eastAsia"/>
        </w:rPr>
        <w:t>试验过程中出现下列情形之一的，承试方可提出试验终止的意见建议。</w:t>
      </w:r>
    </w:p>
    <w:p w14:paraId="7CECC046">
      <w:pPr>
        <w:pStyle w:val="179"/>
        <w:numPr>
          <w:ilvl w:val="0"/>
          <w:numId w:val="60"/>
        </w:numPr>
      </w:pPr>
      <w:r>
        <w:rPr>
          <w:rFonts w:hint="eastAsia"/>
        </w:rPr>
        <w:t>对已验证的可靠性指标不满足要求，即使增加试验样本也不会改变试验结果和结论；</w:t>
      </w:r>
    </w:p>
    <w:p w14:paraId="21992E0D">
      <w:pPr>
        <w:pStyle w:val="179"/>
        <w:numPr>
          <w:ilvl w:val="0"/>
          <w:numId w:val="60"/>
        </w:numPr>
      </w:pPr>
      <w:r>
        <w:rPr>
          <w:rFonts w:hint="eastAsia"/>
        </w:rPr>
        <w:t>出现重大技术问题，设备研制方无法给出有效解决措施导致试验主要目标无法实现。</w:t>
      </w:r>
    </w:p>
    <w:p w14:paraId="0C885C80">
      <w:pPr>
        <w:pStyle w:val="110"/>
        <w:numPr>
          <w:ilvl w:val="2"/>
          <w:numId w:val="56"/>
        </w:numPr>
        <w:spacing w:before="120" w:after="120"/>
        <w:rPr>
          <w:szCs w:val="21"/>
        </w:rPr>
      </w:pPr>
      <w:bookmarkStart w:id="138" w:name="_Toc206938361"/>
      <w:bookmarkStart w:id="139" w:name="_Toc23725"/>
      <w:r>
        <w:rPr>
          <w:szCs w:val="21"/>
        </w:rPr>
        <w:t>试验</w:t>
      </w:r>
      <w:r>
        <w:rPr>
          <w:rFonts w:hint="eastAsia"/>
          <w:szCs w:val="21"/>
        </w:rPr>
        <w:t>恢复</w:t>
      </w:r>
      <w:bookmarkEnd w:id="138"/>
      <w:bookmarkEnd w:id="139"/>
    </w:p>
    <w:p w14:paraId="665161AE">
      <w:pPr>
        <w:pStyle w:val="70"/>
        <w:spacing w:before="120" w:after="120"/>
        <w:rPr>
          <w:szCs w:val="21"/>
        </w:rPr>
      </w:pPr>
      <w:bookmarkStart w:id="140" w:name="_Toc206938362"/>
      <w:bookmarkStart w:id="141" w:name="_Toc114728708"/>
      <w:r>
        <w:rPr>
          <w:szCs w:val="21"/>
        </w:rPr>
        <w:t>中断的恢复</w:t>
      </w:r>
      <w:bookmarkEnd w:id="140"/>
    </w:p>
    <w:p w14:paraId="5B1D3F7A">
      <w:pPr>
        <w:pStyle w:val="61"/>
        <w:ind w:firstLine="420"/>
      </w:pPr>
      <w:r>
        <w:t>对于</w:t>
      </w:r>
      <w:r>
        <w:rPr>
          <w:rFonts w:hint="eastAsia"/>
        </w:rPr>
        <w:t>非被试</w:t>
      </w:r>
      <w:r>
        <w:t>设备</w:t>
      </w:r>
      <w:r>
        <w:rPr>
          <w:rFonts w:hint="eastAsia"/>
        </w:rPr>
        <w:t>自身原因</w:t>
      </w:r>
      <w:r>
        <w:t>引起中断的情况，</w:t>
      </w:r>
      <w:r>
        <w:rPr>
          <w:rFonts w:hint="eastAsia"/>
        </w:rPr>
        <w:t>若</w:t>
      </w:r>
      <w:r>
        <w:t>故障已经排除并经验证确认问题已解决，承试</w:t>
      </w:r>
      <w:r>
        <w:rPr>
          <w:rFonts w:hint="eastAsia"/>
        </w:rPr>
        <w:t>方</w:t>
      </w:r>
      <w:r>
        <w:t>完成了试验中断对</w:t>
      </w:r>
      <w:r>
        <w:rPr>
          <w:rFonts w:hint="eastAsia"/>
        </w:rPr>
        <w:t>测试</w:t>
      </w:r>
      <w:r>
        <w:t>有效性影响的分析，可恢复</w:t>
      </w:r>
      <w:r>
        <w:rPr>
          <w:rFonts w:hint="eastAsia"/>
        </w:rPr>
        <w:t>测试</w:t>
      </w:r>
      <w:r>
        <w:t>。</w:t>
      </w:r>
    </w:p>
    <w:p w14:paraId="0C192169">
      <w:pPr>
        <w:pStyle w:val="61"/>
        <w:ind w:firstLine="420"/>
      </w:pPr>
      <w:r>
        <w:t>对于被试</w:t>
      </w:r>
      <w:r>
        <w:rPr>
          <w:rFonts w:hint="eastAsia"/>
        </w:rPr>
        <w:t>设备</w:t>
      </w:r>
      <w:r>
        <w:t>故障引起中断的情况，</w:t>
      </w:r>
      <w:r>
        <w:rPr>
          <w:rFonts w:hint="eastAsia"/>
        </w:rPr>
        <w:t>设备</w:t>
      </w:r>
      <w:r>
        <w:t>研制</w:t>
      </w:r>
      <w:r>
        <w:rPr>
          <w:rFonts w:hint="eastAsia"/>
        </w:rPr>
        <w:t>方</w:t>
      </w:r>
      <w:r>
        <w:t>对试验中暴露的问题采取了改进措施，经</w:t>
      </w:r>
      <w:r>
        <w:rPr>
          <w:rFonts w:hint="eastAsia"/>
        </w:rPr>
        <w:t>承试方</w:t>
      </w:r>
      <w:r>
        <w:t>和</w:t>
      </w:r>
      <w:r>
        <w:rPr>
          <w:rFonts w:hint="eastAsia"/>
        </w:rPr>
        <w:t>设备研制方</w:t>
      </w:r>
      <w:r>
        <w:t>共同试验验证，确认问题已整改归零，由</w:t>
      </w:r>
      <w:r>
        <w:rPr>
          <w:rFonts w:hint="eastAsia"/>
        </w:rPr>
        <w:t>原</w:t>
      </w:r>
      <w:r>
        <w:t>承试</w:t>
      </w:r>
      <w:r>
        <w:rPr>
          <w:rFonts w:hint="eastAsia"/>
        </w:rPr>
        <w:t>方</w:t>
      </w:r>
      <w:r>
        <w:t>恢复试验，继续实施试验。</w:t>
      </w:r>
    </w:p>
    <w:p w14:paraId="3B2376D0">
      <w:pPr>
        <w:pStyle w:val="70"/>
        <w:spacing w:before="120" w:after="120"/>
        <w:rPr>
          <w:szCs w:val="21"/>
        </w:rPr>
      </w:pPr>
      <w:bookmarkStart w:id="142" w:name="_Toc206938363"/>
      <w:r>
        <w:rPr>
          <w:rFonts w:hint="eastAsia"/>
          <w:szCs w:val="21"/>
        </w:rPr>
        <w:t>终止</w:t>
      </w:r>
      <w:r>
        <w:rPr>
          <w:szCs w:val="21"/>
        </w:rPr>
        <w:t>的恢复</w:t>
      </w:r>
      <w:bookmarkEnd w:id="142"/>
    </w:p>
    <w:p w14:paraId="5A91CFD8">
      <w:pPr>
        <w:pStyle w:val="61"/>
        <w:ind w:firstLine="420"/>
      </w:pPr>
      <w:r>
        <w:rPr>
          <w:rFonts w:hint="eastAsia"/>
        </w:rPr>
        <w:t>设备研制方</w:t>
      </w:r>
      <w:r>
        <w:t>对试验中暴露的问题采取了改进措施，</w:t>
      </w:r>
      <w:r>
        <w:rPr>
          <w:rFonts w:hint="eastAsia"/>
        </w:rPr>
        <w:t>经承试方和设备研制方共同试验验证</w:t>
      </w:r>
      <w:r>
        <w:t>，确认问题已解决，</w:t>
      </w:r>
      <w:r>
        <w:rPr>
          <w:rFonts w:hint="eastAsia"/>
        </w:rPr>
        <w:t>设备研制方可</w:t>
      </w:r>
      <w:r>
        <w:t>向</w:t>
      </w:r>
      <w:r>
        <w:rPr>
          <w:rFonts w:hint="eastAsia"/>
        </w:rPr>
        <w:t>承试方</w:t>
      </w:r>
      <w:r>
        <w:t>提出恢复或重新试验的申请，</w:t>
      </w:r>
      <w:r>
        <w:rPr>
          <w:rFonts w:hint="eastAsia"/>
        </w:rPr>
        <w:t>由原承试方</w:t>
      </w:r>
      <w:r>
        <w:t>实施试验</w:t>
      </w:r>
      <w:r>
        <w:rPr>
          <w:rFonts w:hint="eastAsia"/>
        </w:rPr>
        <w:t>。</w:t>
      </w:r>
      <w:bookmarkEnd w:id="132"/>
      <w:bookmarkEnd w:id="133"/>
      <w:bookmarkEnd w:id="141"/>
    </w:p>
    <w:p w14:paraId="26DF79D9">
      <w:pPr>
        <w:pStyle w:val="109"/>
        <w:numPr>
          <w:ilvl w:val="1"/>
          <w:numId w:val="56"/>
        </w:numPr>
        <w:spacing w:before="240" w:after="240"/>
        <w:rPr>
          <w:szCs w:val="21"/>
        </w:rPr>
      </w:pPr>
      <w:bookmarkStart w:id="143" w:name="_Toc1420"/>
      <w:bookmarkStart w:id="144" w:name="_Toc20676"/>
      <w:r>
        <w:rPr>
          <w:rFonts w:hint="eastAsia"/>
          <w:szCs w:val="21"/>
        </w:rPr>
        <w:t>结果评价与报告</w:t>
      </w:r>
      <w:bookmarkEnd w:id="129"/>
      <w:bookmarkEnd w:id="143"/>
      <w:bookmarkEnd w:id="144"/>
    </w:p>
    <w:p w14:paraId="66522E48">
      <w:pPr>
        <w:pStyle w:val="110"/>
        <w:numPr>
          <w:ilvl w:val="2"/>
          <w:numId w:val="56"/>
        </w:numPr>
        <w:spacing w:before="120" w:after="120"/>
        <w:rPr>
          <w:szCs w:val="21"/>
        </w:rPr>
      </w:pPr>
      <w:bookmarkStart w:id="145" w:name="_Toc18738"/>
      <w:bookmarkStart w:id="146" w:name="_Toc16796"/>
      <w:bookmarkStart w:id="147" w:name="_Toc4188"/>
      <w:r>
        <w:rPr>
          <w:rFonts w:hint="eastAsia"/>
          <w:szCs w:val="21"/>
        </w:rPr>
        <w:t>合格判定</w:t>
      </w:r>
      <w:bookmarkEnd w:id="145"/>
      <w:bookmarkEnd w:id="146"/>
      <w:bookmarkEnd w:id="147"/>
    </w:p>
    <w:p w14:paraId="79C65FB0">
      <w:pPr>
        <w:pStyle w:val="70"/>
        <w:numPr>
          <w:ilvl w:val="3"/>
          <w:numId w:val="56"/>
        </w:numPr>
        <w:spacing w:before="120" w:after="120"/>
        <w:rPr>
          <w:szCs w:val="21"/>
        </w:rPr>
      </w:pPr>
      <w:r>
        <w:rPr>
          <w:rFonts w:hint="eastAsia"/>
          <w:szCs w:val="21"/>
        </w:rPr>
        <w:t>核心原则‌</w:t>
      </w:r>
    </w:p>
    <w:p w14:paraId="4A51D37B">
      <w:pPr>
        <w:pStyle w:val="179"/>
        <w:numPr>
          <w:ilvl w:val="0"/>
          <w:numId w:val="61"/>
        </w:numPr>
      </w:pPr>
      <w:r>
        <w:rPr>
          <w:rFonts w:hint="eastAsia"/>
        </w:rPr>
        <w:t>被试设备在接收时，应进行一次完整的可靠性指标测试；</w:t>
      </w:r>
    </w:p>
    <w:p w14:paraId="402AE8EE">
      <w:pPr>
        <w:pStyle w:val="179"/>
        <w:numPr>
          <w:ilvl w:val="0"/>
          <w:numId w:val="61"/>
        </w:numPr>
      </w:pPr>
      <w:r>
        <w:rPr>
          <w:rFonts w:hint="eastAsia"/>
        </w:rPr>
        <w:t>可靠性测试通过后，开展环境适应性测试，并根据约定的功能指标进行试验中检测；</w:t>
      </w:r>
    </w:p>
    <w:p w14:paraId="4936C4BB">
      <w:pPr>
        <w:pStyle w:val="179"/>
        <w:numPr>
          <w:ilvl w:val="0"/>
          <w:numId w:val="61"/>
        </w:numPr>
      </w:pPr>
      <w:r>
        <w:rPr>
          <w:rFonts w:hint="eastAsia"/>
        </w:rPr>
        <w:t>环境适应性测试后，重新开展可靠性指标测试。</w:t>
      </w:r>
    </w:p>
    <w:p w14:paraId="552624B5">
      <w:pPr>
        <w:pStyle w:val="61"/>
        <w:ind w:firstLine="420"/>
      </w:pPr>
    </w:p>
    <w:p w14:paraId="335B0760">
      <w:pPr>
        <w:pStyle w:val="61"/>
        <w:ind w:firstLine="420"/>
      </w:pPr>
      <w:r>
        <w:rPr>
          <w:rFonts w:hint="eastAsia"/>
        </w:rPr>
        <w:t>被试设备接收后的单项可靠性指标不达标，即判定仪器可靠性不合格，在故障解除前无需进入环境适应性测试；环境适应性测试结束后，被试设备可靠性指标仍需满足对应类型要求。</w:t>
      </w:r>
    </w:p>
    <w:p w14:paraId="4636BCA0">
      <w:pPr>
        <w:pStyle w:val="110"/>
        <w:numPr>
          <w:ilvl w:val="2"/>
          <w:numId w:val="56"/>
        </w:numPr>
        <w:spacing w:before="120" w:after="120"/>
        <w:rPr>
          <w:szCs w:val="21"/>
        </w:rPr>
      </w:pPr>
      <w:bookmarkStart w:id="148" w:name="_Toc6250"/>
      <w:bookmarkStart w:id="149" w:name="_Toc9997"/>
      <w:bookmarkStart w:id="150" w:name="_Toc2093"/>
      <w:bookmarkStart w:id="151" w:name="_Toc29476"/>
      <w:r>
        <w:rPr>
          <w:rFonts w:hint="eastAsia"/>
          <w:szCs w:val="21"/>
        </w:rPr>
        <w:t>测试报告</w:t>
      </w:r>
      <w:bookmarkEnd w:id="148"/>
      <w:bookmarkEnd w:id="149"/>
      <w:bookmarkEnd w:id="150"/>
      <w:bookmarkEnd w:id="151"/>
    </w:p>
    <w:p w14:paraId="3CEF1C4B">
      <w:pPr>
        <w:pStyle w:val="61"/>
        <w:ind w:firstLine="420"/>
      </w:pPr>
      <w:r>
        <w:rPr>
          <w:rFonts w:hint="eastAsia"/>
        </w:rPr>
        <w:t>可参考附录A，应包含：</w:t>
      </w:r>
    </w:p>
    <w:p w14:paraId="3C1D3EBD">
      <w:pPr>
        <w:pStyle w:val="179"/>
        <w:numPr>
          <w:ilvl w:val="0"/>
          <w:numId w:val="62"/>
        </w:numPr>
      </w:pPr>
      <w:r>
        <w:rPr>
          <w:rFonts w:hint="eastAsia"/>
        </w:rPr>
        <w:t>测试对象信息：型号、出厂编号、生产商、关键部件参数等；</w:t>
      </w:r>
    </w:p>
    <w:p w14:paraId="48FCBC2A">
      <w:pPr>
        <w:pStyle w:val="179"/>
        <w:numPr>
          <w:ilvl w:val="0"/>
          <w:numId w:val="62"/>
        </w:numPr>
      </w:pPr>
      <w:r>
        <w:rPr>
          <w:rFonts w:hint="eastAsia"/>
        </w:rPr>
        <w:t>测试基础信息：测试时间、地点、环境参数、参考设备信息、样品数量等；</w:t>
      </w:r>
    </w:p>
    <w:p w14:paraId="22CB797E">
      <w:pPr>
        <w:pStyle w:val="179"/>
        <w:numPr>
          <w:ilvl w:val="0"/>
          <w:numId w:val="62"/>
        </w:numPr>
      </w:pPr>
      <w:r>
        <w:rPr>
          <w:rFonts w:hint="eastAsia"/>
        </w:rPr>
        <w:t>测试过程记录：分类型测试步骤、环境适应性测试过程、试验暂停 / 中断 / 恢复情况等；</w:t>
      </w:r>
    </w:p>
    <w:p w14:paraId="73008F44">
      <w:pPr>
        <w:pStyle w:val="179"/>
        <w:numPr>
          <w:ilvl w:val="0"/>
          <w:numId w:val="62"/>
        </w:numPr>
      </w:pPr>
      <w:r>
        <w:rPr>
          <w:rFonts w:hint="eastAsia"/>
        </w:rPr>
        <w:t>测试原始数据：重力测量数据、原子信号记录、环境参数监测数据等；</w:t>
      </w:r>
    </w:p>
    <w:p w14:paraId="77852241">
      <w:pPr>
        <w:pStyle w:val="179"/>
        <w:numPr>
          <w:ilvl w:val="0"/>
          <w:numId w:val="62"/>
        </w:numPr>
      </w:pPr>
      <w:r>
        <w:rPr>
          <w:rFonts w:hint="eastAsia"/>
        </w:rPr>
        <w:t>指标计算结果：各可靠性指标结果；</w:t>
      </w:r>
    </w:p>
    <w:p w14:paraId="49800FDF">
      <w:pPr>
        <w:pStyle w:val="179"/>
        <w:numPr>
          <w:ilvl w:val="0"/>
          <w:numId w:val="62"/>
        </w:numPr>
      </w:pPr>
      <w:r>
        <w:rPr>
          <w:rFonts w:hint="eastAsia"/>
        </w:rPr>
        <w:t>故障记录：故障次数、发生时间、现象、原因及处理方式；</w:t>
      </w:r>
    </w:p>
    <w:p w14:paraId="50EDCC61">
      <w:pPr>
        <w:pStyle w:val="179"/>
        <w:numPr>
          <w:ilvl w:val="0"/>
          <w:numId w:val="62"/>
        </w:numPr>
      </w:pPr>
      <w:r>
        <w:rPr>
          <w:rFonts w:hint="eastAsia"/>
        </w:rPr>
        <w:t>结论与建议：可靠性合格 / 不合格判定、核心指标达标情况、仪器改进建议等；</w:t>
      </w:r>
    </w:p>
    <w:p w14:paraId="4DC6946E">
      <w:pPr>
        <w:pStyle w:val="179"/>
        <w:numPr>
          <w:ilvl w:val="0"/>
          <w:numId w:val="62"/>
        </w:numPr>
      </w:pPr>
      <w:r>
        <w:rPr>
          <w:rFonts w:hint="eastAsia"/>
        </w:rPr>
        <w:t>其他说明：新产品研发阶段样品数量缩减说明、不可抗力因素影响等。</w:t>
      </w:r>
    </w:p>
    <w:p w14:paraId="56392F14">
      <w:pPr>
        <w:pStyle w:val="61"/>
        <w:ind w:firstLine="420"/>
      </w:pPr>
    </w:p>
    <w:p w14:paraId="6ACFFA6A">
      <w:pPr>
        <w:pStyle w:val="61"/>
        <w:ind w:firstLine="420"/>
      </w:pPr>
    </w:p>
    <w:p w14:paraId="47C6A0C7">
      <w:pPr>
        <w:pStyle w:val="61"/>
        <w:ind w:firstLine="420"/>
      </w:pPr>
    </w:p>
    <w:p w14:paraId="2A12DE44">
      <w:pPr>
        <w:pStyle w:val="61"/>
        <w:ind w:firstLine="420"/>
      </w:pPr>
    </w:p>
    <w:p w14:paraId="30E5A6BA">
      <w:pPr>
        <w:pStyle w:val="61"/>
        <w:ind w:firstLine="420"/>
      </w:pPr>
    </w:p>
    <w:p w14:paraId="753A071B">
      <w:pPr>
        <w:pStyle w:val="61"/>
        <w:ind w:firstLine="420"/>
      </w:pPr>
    </w:p>
    <w:p w14:paraId="4E2F9955">
      <w:pPr>
        <w:pStyle w:val="61"/>
        <w:ind w:firstLine="420"/>
      </w:pPr>
    </w:p>
    <w:p w14:paraId="131A3BE8">
      <w:pPr>
        <w:pStyle w:val="61"/>
        <w:ind w:firstLine="420"/>
      </w:pPr>
    </w:p>
    <w:p w14:paraId="7078E794">
      <w:pPr>
        <w:pStyle w:val="61"/>
        <w:ind w:firstLine="420"/>
      </w:pPr>
    </w:p>
    <w:p w14:paraId="695910B9">
      <w:pPr>
        <w:pStyle w:val="61"/>
        <w:ind w:firstLine="420"/>
      </w:pPr>
    </w:p>
    <w:p w14:paraId="6E9892F3">
      <w:pPr>
        <w:pStyle w:val="61"/>
        <w:ind w:left="0" w:leftChars="0" w:firstLine="0" w:firstLineChars="0"/>
      </w:pPr>
    </w:p>
    <w:p w14:paraId="6B202786">
      <w:pPr>
        <w:pStyle w:val="61"/>
        <w:ind w:left="0" w:leftChars="0" w:firstLine="0" w:firstLineChars="0"/>
      </w:pPr>
    </w:p>
    <w:p w14:paraId="6E4A6617">
      <w:pPr>
        <w:pStyle w:val="81"/>
        <w:spacing w:before="850" w:beforeLines="0" w:after="284" w:afterLines="0"/>
      </w:pPr>
      <w:bookmarkStart w:id="152" w:name="_Toc15995"/>
      <w:bookmarkStart w:id="153" w:name="_Toc7774"/>
      <w:bookmarkStart w:id="154" w:name="_Toc19188"/>
      <w:bookmarkStart w:id="155" w:name="_Toc26686"/>
      <w:r>
        <w:br w:type="textWrapping"/>
      </w:r>
      <w:bookmarkStart w:id="156" w:name="_Toc143243164"/>
      <w:r>
        <w:rPr>
          <w:rFonts w:hint="eastAsia"/>
        </w:rPr>
        <w:t>（资料性）</w:t>
      </w:r>
      <w:r>
        <w:br w:type="textWrapping"/>
      </w:r>
      <w:bookmarkEnd w:id="152"/>
      <w:bookmarkEnd w:id="156"/>
      <w:r>
        <w:rPr>
          <w:rFonts w:hint="eastAsia"/>
        </w:rPr>
        <w:t>测试报告案例</w:t>
      </w:r>
      <w:bookmarkEnd w:id="153"/>
      <w:bookmarkEnd w:id="154"/>
      <w:bookmarkEnd w:id="155"/>
    </w:p>
    <w:p w14:paraId="373B7D43">
      <w:pPr>
        <w:pStyle w:val="61"/>
        <w:ind w:firstLine="420"/>
      </w:pPr>
      <w:r>
        <w:rPr>
          <w:rFonts w:hint="eastAsia"/>
        </w:rPr>
        <w:t>报告编号：</w:t>
      </w:r>
    </w:p>
    <w:p w14:paraId="00414564">
      <w:pPr>
        <w:pStyle w:val="61"/>
        <w:ind w:firstLine="420"/>
      </w:pPr>
      <w:r>
        <w:drawing>
          <wp:inline distT="0" distB="0" distL="0" distR="0">
            <wp:extent cx="3204210" cy="302260"/>
            <wp:effectExtent l="0" t="0" r="1143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204210" cy="302260"/>
                    </a:xfrm>
                    <a:prstGeom prst="rect">
                      <a:avLst/>
                    </a:prstGeom>
                    <a:noFill/>
                    <a:ln>
                      <a:noFill/>
                    </a:ln>
                  </pic:spPr>
                </pic:pic>
              </a:graphicData>
            </a:graphic>
          </wp:inline>
        </w:drawing>
      </w:r>
      <w:r>
        <w:rPr>
          <w:rFonts w:hint="eastAsia"/>
        </w:rPr>
        <w:t xml:space="preserve"> </w:t>
      </w:r>
    </w:p>
    <w:p w14:paraId="630FBCD5">
      <w:pPr>
        <w:pStyle w:val="61"/>
        <w:ind w:firstLine="420"/>
      </w:pPr>
    </w:p>
    <w:p w14:paraId="6DCC175C">
      <w:pPr>
        <w:pStyle w:val="61"/>
        <w:ind w:firstLine="420"/>
      </w:pPr>
    </w:p>
    <w:p w14:paraId="49A926CC">
      <w:pPr>
        <w:pStyle w:val="61"/>
        <w:ind w:firstLine="420"/>
      </w:pPr>
    </w:p>
    <w:p w14:paraId="79423C0B">
      <w:pPr>
        <w:pStyle w:val="61"/>
        <w:ind w:firstLine="420"/>
      </w:pPr>
    </w:p>
    <w:p w14:paraId="7D066D53">
      <w:pPr>
        <w:pStyle w:val="61"/>
        <w:ind w:firstLine="420"/>
        <w:rPr>
          <w:szCs w:val="40"/>
        </w:rPr>
      </w:pPr>
      <w:r>
        <w:rPr>
          <w:rFonts w:hint="eastAsia"/>
        </w:rPr>
        <w:t>原子重力仪可靠性测试报告</w:t>
      </w:r>
    </w:p>
    <w:p w14:paraId="7A9D08C1">
      <w:pPr>
        <w:pStyle w:val="61"/>
        <w:ind w:firstLine="444"/>
        <w:rPr>
          <w:rFonts w:hint="eastAsia" w:hAnsi="宋体"/>
        </w:rPr>
      </w:pPr>
      <w:r>
        <w:rPr>
          <w:spacing w:val="6"/>
        </w:rPr>
        <w:t>[</w:t>
      </w:r>
      <w:r>
        <w:rPr>
          <w:spacing w:val="-5"/>
        </w:rPr>
        <w:t xml:space="preserve">20  </w:t>
      </w:r>
      <w:r>
        <w:t>]</w:t>
      </w:r>
      <w:r>
        <w:tab/>
      </w:r>
      <w:r>
        <w:rPr>
          <w:rFonts w:hint="eastAsia" w:hAnsi="宋体"/>
          <w:spacing w:val="57"/>
        </w:rPr>
        <w:t>第</w:t>
      </w:r>
      <w:r>
        <w:t>XXXX</w:t>
      </w:r>
      <w:r>
        <w:rPr>
          <w:rFonts w:hint="eastAsia" w:hAnsi="宋体"/>
        </w:rPr>
        <w:t>号</w:t>
      </w:r>
    </w:p>
    <w:p w14:paraId="7565BAD6">
      <w:pPr>
        <w:pStyle w:val="61"/>
        <w:ind w:firstLine="420"/>
      </w:pPr>
    </w:p>
    <w:p w14:paraId="5ABDA524">
      <w:pPr>
        <w:pStyle w:val="61"/>
        <w:ind w:firstLine="420"/>
      </w:pPr>
    </w:p>
    <w:p w14:paraId="38754A98">
      <w:pPr>
        <w:pStyle w:val="61"/>
        <w:ind w:firstLine="420"/>
      </w:pPr>
    </w:p>
    <w:p w14:paraId="06BB6E02">
      <w:pPr>
        <w:pStyle w:val="61"/>
        <w:ind w:firstLine="420"/>
      </w:pPr>
    </w:p>
    <w:p w14:paraId="5F77EC76">
      <w:pPr>
        <w:pStyle w:val="61"/>
        <w:ind w:firstLine="420"/>
      </w:pPr>
    </w:p>
    <w:p w14:paraId="16B74B61">
      <w:pPr>
        <w:pStyle w:val="61"/>
        <w:ind w:firstLine="420"/>
      </w:pPr>
    </w:p>
    <w:p w14:paraId="10D379EB">
      <w:pPr>
        <w:pStyle w:val="61"/>
        <w:ind w:firstLine="420"/>
      </w:pPr>
    </w:p>
    <w:p w14:paraId="1BF8F042">
      <w:pPr>
        <w:pStyle w:val="61"/>
        <w:ind w:firstLine="420"/>
      </w:pPr>
    </w:p>
    <w:tbl>
      <w:tblPr>
        <w:tblStyle w:val="29"/>
        <w:tblW w:w="0" w:type="auto"/>
        <w:tblInd w:w="1348" w:type="dxa"/>
        <w:tblLayout w:type="fixed"/>
        <w:tblCellMar>
          <w:top w:w="0" w:type="dxa"/>
          <w:left w:w="0" w:type="dxa"/>
          <w:bottom w:w="0" w:type="dxa"/>
          <w:right w:w="0" w:type="dxa"/>
        </w:tblCellMar>
      </w:tblPr>
      <w:tblGrid>
        <w:gridCol w:w="476"/>
        <w:gridCol w:w="559"/>
        <w:gridCol w:w="554"/>
        <w:gridCol w:w="699"/>
        <w:gridCol w:w="4355"/>
      </w:tblGrid>
      <w:tr w14:paraId="1F7E9644">
        <w:tblPrEx>
          <w:tblCellMar>
            <w:top w:w="0" w:type="dxa"/>
            <w:left w:w="0" w:type="dxa"/>
            <w:bottom w:w="0" w:type="dxa"/>
            <w:right w:w="0" w:type="dxa"/>
          </w:tblCellMar>
        </w:tblPrEx>
        <w:trPr>
          <w:trHeight w:val="519" w:hRule="atLeast"/>
        </w:trPr>
        <w:tc>
          <w:tcPr>
            <w:tcW w:w="476" w:type="dxa"/>
            <w:tcBorders>
              <w:top w:val="nil"/>
              <w:left w:val="nil"/>
              <w:bottom w:val="nil"/>
              <w:right w:val="nil"/>
            </w:tcBorders>
          </w:tcPr>
          <w:p w14:paraId="3825DD2F">
            <w:pPr>
              <w:tabs>
                <w:tab w:val="left" w:pos="908"/>
              </w:tabs>
            </w:pPr>
            <w:r>
              <w:rPr>
                <w:rFonts w:hint="eastAsia"/>
              </w:rPr>
              <w:t>产</w:t>
            </w:r>
          </w:p>
        </w:tc>
        <w:tc>
          <w:tcPr>
            <w:tcW w:w="559" w:type="dxa"/>
            <w:tcBorders>
              <w:top w:val="nil"/>
              <w:left w:val="nil"/>
              <w:bottom w:val="nil"/>
              <w:right w:val="nil"/>
            </w:tcBorders>
          </w:tcPr>
          <w:p w14:paraId="1FA3194F">
            <w:pPr>
              <w:tabs>
                <w:tab w:val="left" w:pos="908"/>
              </w:tabs>
            </w:pPr>
            <w:r>
              <w:rPr>
                <w:rFonts w:hint="eastAsia"/>
              </w:rPr>
              <w:t>品</w:t>
            </w:r>
          </w:p>
        </w:tc>
        <w:tc>
          <w:tcPr>
            <w:tcW w:w="554" w:type="dxa"/>
            <w:tcBorders>
              <w:top w:val="nil"/>
              <w:left w:val="nil"/>
              <w:bottom w:val="nil"/>
              <w:right w:val="nil"/>
            </w:tcBorders>
          </w:tcPr>
          <w:p w14:paraId="4F0EBF3E">
            <w:pPr>
              <w:tabs>
                <w:tab w:val="left" w:pos="908"/>
              </w:tabs>
            </w:pPr>
            <w:r>
              <w:rPr>
                <w:rFonts w:hint="eastAsia"/>
              </w:rPr>
              <w:t>名</w:t>
            </w:r>
          </w:p>
        </w:tc>
        <w:tc>
          <w:tcPr>
            <w:tcW w:w="699" w:type="dxa"/>
            <w:tcBorders>
              <w:top w:val="nil"/>
              <w:left w:val="nil"/>
              <w:bottom w:val="nil"/>
              <w:right w:val="nil"/>
            </w:tcBorders>
          </w:tcPr>
          <w:p w14:paraId="03CB9BAC">
            <w:pPr>
              <w:tabs>
                <w:tab w:val="left" w:pos="908"/>
              </w:tabs>
            </w:pPr>
            <w:r>
              <w:rPr>
                <w:rFonts w:hint="eastAsia"/>
              </w:rPr>
              <w:t xml:space="preserve"> 称：</w:t>
            </w:r>
          </w:p>
        </w:tc>
        <w:tc>
          <w:tcPr>
            <w:tcW w:w="4355" w:type="dxa"/>
            <w:tcBorders>
              <w:top w:val="nil"/>
              <w:left w:val="nil"/>
              <w:bottom w:val="nil"/>
              <w:right w:val="nil"/>
            </w:tcBorders>
          </w:tcPr>
          <w:p w14:paraId="351FC969">
            <w:pPr>
              <w:tabs>
                <w:tab w:val="left" w:pos="908"/>
              </w:tabs>
            </w:pPr>
          </w:p>
        </w:tc>
      </w:tr>
      <w:tr w14:paraId="16340B05">
        <w:tblPrEx>
          <w:tblCellMar>
            <w:top w:w="0" w:type="dxa"/>
            <w:left w:w="0" w:type="dxa"/>
            <w:bottom w:w="0" w:type="dxa"/>
            <w:right w:w="0" w:type="dxa"/>
          </w:tblCellMar>
        </w:tblPrEx>
        <w:trPr>
          <w:trHeight w:val="519" w:hRule="atLeast"/>
        </w:trPr>
        <w:tc>
          <w:tcPr>
            <w:tcW w:w="476" w:type="dxa"/>
            <w:tcBorders>
              <w:top w:val="nil"/>
              <w:left w:val="nil"/>
              <w:bottom w:val="nil"/>
              <w:right w:val="nil"/>
            </w:tcBorders>
          </w:tcPr>
          <w:p w14:paraId="56576F5D">
            <w:pPr>
              <w:tabs>
                <w:tab w:val="left" w:pos="908"/>
              </w:tabs>
            </w:pPr>
            <w:r>
              <w:rPr>
                <w:rFonts w:hint="eastAsia"/>
              </w:rPr>
              <w:t>产</w:t>
            </w:r>
          </w:p>
        </w:tc>
        <w:tc>
          <w:tcPr>
            <w:tcW w:w="559" w:type="dxa"/>
            <w:tcBorders>
              <w:top w:val="nil"/>
              <w:left w:val="nil"/>
              <w:bottom w:val="nil"/>
              <w:right w:val="nil"/>
            </w:tcBorders>
          </w:tcPr>
          <w:p w14:paraId="7358399E">
            <w:pPr>
              <w:tabs>
                <w:tab w:val="left" w:pos="908"/>
              </w:tabs>
            </w:pPr>
            <w:r>
              <w:rPr>
                <w:rFonts w:hint="eastAsia"/>
              </w:rPr>
              <w:t>品</w:t>
            </w:r>
          </w:p>
        </w:tc>
        <w:tc>
          <w:tcPr>
            <w:tcW w:w="554" w:type="dxa"/>
            <w:tcBorders>
              <w:top w:val="nil"/>
              <w:left w:val="nil"/>
              <w:bottom w:val="nil"/>
              <w:right w:val="nil"/>
            </w:tcBorders>
          </w:tcPr>
          <w:p w14:paraId="1AA765C0">
            <w:pPr>
              <w:tabs>
                <w:tab w:val="left" w:pos="908"/>
              </w:tabs>
            </w:pPr>
            <w:r>
              <w:rPr>
                <w:rFonts w:hint="eastAsia"/>
              </w:rPr>
              <w:t>型</w:t>
            </w:r>
          </w:p>
        </w:tc>
        <w:tc>
          <w:tcPr>
            <w:tcW w:w="699" w:type="dxa"/>
            <w:tcBorders>
              <w:top w:val="nil"/>
              <w:left w:val="nil"/>
              <w:bottom w:val="nil"/>
              <w:right w:val="nil"/>
            </w:tcBorders>
          </w:tcPr>
          <w:p w14:paraId="22F73A43">
            <w:pPr>
              <w:tabs>
                <w:tab w:val="left" w:pos="908"/>
              </w:tabs>
            </w:pPr>
            <w:r>
              <w:rPr>
                <w:rFonts w:hint="eastAsia"/>
              </w:rPr>
              <w:t>号</w:t>
            </w:r>
          </w:p>
        </w:tc>
        <w:tc>
          <w:tcPr>
            <w:tcW w:w="4355" w:type="dxa"/>
            <w:tcBorders>
              <w:top w:val="nil"/>
              <w:left w:val="nil"/>
              <w:bottom w:val="nil"/>
              <w:right w:val="nil"/>
            </w:tcBorders>
          </w:tcPr>
          <w:p w14:paraId="0182E912">
            <w:pPr>
              <w:tabs>
                <w:tab w:val="left" w:pos="908"/>
              </w:tabs>
            </w:pPr>
          </w:p>
        </w:tc>
      </w:tr>
      <w:tr w14:paraId="4406A6E1">
        <w:tblPrEx>
          <w:tblCellMar>
            <w:top w:w="0" w:type="dxa"/>
            <w:left w:w="0" w:type="dxa"/>
            <w:bottom w:w="0" w:type="dxa"/>
            <w:right w:w="0" w:type="dxa"/>
          </w:tblCellMar>
        </w:tblPrEx>
        <w:trPr>
          <w:trHeight w:val="631" w:hRule="atLeast"/>
        </w:trPr>
        <w:tc>
          <w:tcPr>
            <w:tcW w:w="476" w:type="dxa"/>
            <w:tcBorders>
              <w:top w:val="nil"/>
              <w:left w:val="nil"/>
              <w:bottom w:val="nil"/>
              <w:right w:val="nil"/>
            </w:tcBorders>
          </w:tcPr>
          <w:p w14:paraId="65976A20">
            <w:pPr>
              <w:tabs>
                <w:tab w:val="left" w:pos="908"/>
              </w:tabs>
            </w:pPr>
            <w:r>
              <w:rPr>
                <w:rFonts w:hint="eastAsia"/>
              </w:rPr>
              <w:t>委</w:t>
            </w:r>
          </w:p>
        </w:tc>
        <w:tc>
          <w:tcPr>
            <w:tcW w:w="559" w:type="dxa"/>
            <w:tcBorders>
              <w:top w:val="nil"/>
              <w:left w:val="nil"/>
              <w:bottom w:val="nil"/>
              <w:right w:val="nil"/>
            </w:tcBorders>
          </w:tcPr>
          <w:p w14:paraId="7CCF3283">
            <w:pPr>
              <w:tabs>
                <w:tab w:val="left" w:pos="908"/>
              </w:tabs>
            </w:pPr>
            <w:r>
              <w:rPr>
                <w:rFonts w:hint="eastAsia"/>
              </w:rPr>
              <w:t>托</w:t>
            </w:r>
          </w:p>
        </w:tc>
        <w:tc>
          <w:tcPr>
            <w:tcW w:w="554" w:type="dxa"/>
            <w:tcBorders>
              <w:top w:val="nil"/>
              <w:left w:val="nil"/>
              <w:bottom w:val="nil"/>
              <w:right w:val="nil"/>
            </w:tcBorders>
          </w:tcPr>
          <w:p w14:paraId="33D1CEDE">
            <w:pPr>
              <w:tabs>
                <w:tab w:val="left" w:pos="908"/>
              </w:tabs>
            </w:pPr>
            <w:r>
              <w:rPr>
                <w:rFonts w:hint="eastAsia"/>
              </w:rPr>
              <w:t>单</w:t>
            </w:r>
          </w:p>
        </w:tc>
        <w:tc>
          <w:tcPr>
            <w:tcW w:w="699" w:type="dxa"/>
            <w:tcBorders>
              <w:top w:val="nil"/>
              <w:left w:val="nil"/>
              <w:bottom w:val="nil"/>
              <w:right w:val="nil"/>
            </w:tcBorders>
          </w:tcPr>
          <w:p w14:paraId="12F9D71E">
            <w:pPr>
              <w:tabs>
                <w:tab w:val="left" w:pos="908"/>
              </w:tabs>
            </w:pPr>
            <w:r>
              <w:rPr>
                <w:rFonts w:hint="eastAsia"/>
              </w:rPr>
              <w:t xml:space="preserve"> 位：</w:t>
            </w:r>
          </w:p>
        </w:tc>
        <w:tc>
          <w:tcPr>
            <w:tcW w:w="4355" w:type="dxa"/>
            <w:tcBorders>
              <w:top w:val="nil"/>
              <w:left w:val="nil"/>
              <w:bottom w:val="nil"/>
              <w:right w:val="nil"/>
            </w:tcBorders>
          </w:tcPr>
          <w:p w14:paraId="15BE63C8">
            <w:pPr>
              <w:tabs>
                <w:tab w:val="left" w:pos="908"/>
              </w:tabs>
            </w:pPr>
          </w:p>
        </w:tc>
      </w:tr>
      <w:tr w14:paraId="17BC1E4B">
        <w:tblPrEx>
          <w:tblCellMar>
            <w:top w:w="0" w:type="dxa"/>
            <w:left w:w="0" w:type="dxa"/>
            <w:bottom w:w="0" w:type="dxa"/>
            <w:right w:w="0" w:type="dxa"/>
          </w:tblCellMar>
        </w:tblPrEx>
        <w:trPr>
          <w:trHeight w:val="498" w:hRule="atLeast"/>
        </w:trPr>
        <w:tc>
          <w:tcPr>
            <w:tcW w:w="476" w:type="dxa"/>
            <w:tcBorders>
              <w:top w:val="nil"/>
              <w:left w:val="nil"/>
              <w:bottom w:val="nil"/>
              <w:right w:val="nil"/>
            </w:tcBorders>
          </w:tcPr>
          <w:p w14:paraId="4E3CDA8E">
            <w:pPr>
              <w:tabs>
                <w:tab w:val="left" w:pos="908"/>
              </w:tabs>
            </w:pPr>
            <w:r>
              <w:rPr>
                <w:rFonts w:hint="eastAsia"/>
              </w:rPr>
              <w:t>测</w:t>
            </w:r>
          </w:p>
        </w:tc>
        <w:tc>
          <w:tcPr>
            <w:tcW w:w="559" w:type="dxa"/>
            <w:tcBorders>
              <w:top w:val="nil"/>
              <w:left w:val="nil"/>
              <w:bottom w:val="nil"/>
              <w:right w:val="nil"/>
            </w:tcBorders>
          </w:tcPr>
          <w:p w14:paraId="0F996B1B">
            <w:pPr>
              <w:tabs>
                <w:tab w:val="left" w:pos="908"/>
              </w:tabs>
            </w:pPr>
            <w:r>
              <w:rPr>
                <w:rFonts w:hint="eastAsia"/>
              </w:rPr>
              <w:t>试</w:t>
            </w:r>
          </w:p>
        </w:tc>
        <w:tc>
          <w:tcPr>
            <w:tcW w:w="554" w:type="dxa"/>
            <w:tcBorders>
              <w:top w:val="nil"/>
              <w:left w:val="nil"/>
              <w:bottom w:val="nil"/>
              <w:right w:val="nil"/>
            </w:tcBorders>
          </w:tcPr>
          <w:p w14:paraId="0BAEA568">
            <w:pPr>
              <w:tabs>
                <w:tab w:val="left" w:pos="908"/>
              </w:tabs>
            </w:pPr>
            <w:r>
              <w:rPr>
                <w:rFonts w:hint="eastAsia"/>
              </w:rPr>
              <w:t>单</w:t>
            </w:r>
          </w:p>
        </w:tc>
        <w:tc>
          <w:tcPr>
            <w:tcW w:w="699" w:type="dxa"/>
            <w:tcBorders>
              <w:top w:val="nil"/>
              <w:left w:val="nil"/>
              <w:bottom w:val="nil"/>
              <w:right w:val="nil"/>
            </w:tcBorders>
          </w:tcPr>
          <w:p w14:paraId="460C3BE8">
            <w:pPr>
              <w:tabs>
                <w:tab w:val="left" w:pos="908"/>
              </w:tabs>
            </w:pPr>
            <w:r>
              <w:rPr>
                <w:rFonts w:hint="eastAsia"/>
              </w:rPr>
              <w:t xml:space="preserve"> 位：</w:t>
            </w:r>
          </w:p>
        </w:tc>
        <w:tc>
          <w:tcPr>
            <w:tcW w:w="4355" w:type="dxa"/>
            <w:tcBorders>
              <w:top w:val="nil"/>
              <w:left w:val="nil"/>
              <w:bottom w:val="nil"/>
              <w:right w:val="nil"/>
            </w:tcBorders>
          </w:tcPr>
          <w:p w14:paraId="5E6304CD">
            <w:pPr>
              <w:tabs>
                <w:tab w:val="left" w:pos="908"/>
              </w:tabs>
            </w:pPr>
          </w:p>
        </w:tc>
      </w:tr>
      <w:tr w14:paraId="23D0D77D">
        <w:tblPrEx>
          <w:tblCellMar>
            <w:top w:w="0" w:type="dxa"/>
            <w:left w:w="0" w:type="dxa"/>
            <w:bottom w:w="0" w:type="dxa"/>
            <w:right w:w="0" w:type="dxa"/>
          </w:tblCellMar>
        </w:tblPrEx>
        <w:trPr>
          <w:trHeight w:val="498" w:hRule="atLeast"/>
        </w:trPr>
        <w:tc>
          <w:tcPr>
            <w:tcW w:w="476" w:type="dxa"/>
            <w:tcBorders>
              <w:top w:val="nil"/>
              <w:left w:val="nil"/>
              <w:bottom w:val="nil"/>
              <w:right w:val="nil"/>
            </w:tcBorders>
          </w:tcPr>
          <w:p w14:paraId="26E2D35A">
            <w:pPr>
              <w:tabs>
                <w:tab w:val="left" w:pos="908"/>
              </w:tabs>
              <w:rPr>
                <w:szCs w:val="28"/>
              </w:rPr>
            </w:pPr>
            <w:r>
              <w:rPr>
                <w:rFonts w:hint="eastAsia"/>
              </w:rPr>
              <w:t>委</w:t>
            </w:r>
          </w:p>
        </w:tc>
        <w:tc>
          <w:tcPr>
            <w:tcW w:w="559" w:type="dxa"/>
            <w:tcBorders>
              <w:top w:val="nil"/>
              <w:left w:val="nil"/>
              <w:bottom w:val="nil"/>
              <w:right w:val="nil"/>
            </w:tcBorders>
          </w:tcPr>
          <w:p w14:paraId="66D2EEB2">
            <w:pPr>
              <w:tabs>
                <w:tab w:val="left" w:pos="908"/>
              </w:tabs>
              <w:rPr>
                <w:szCs w:val="28"/>
              </w:rPr>
            </w:pPr>
            <w:r>
              <w:rPr>
                <w:rFonts w:hint="eastAsia"/>
              </w:rPr>
              <w:t>托</w:t>
            </w:r>
          </w:p>
        </w:tc>
        <w:tc>
          <w:tcPr>
            <w:tcW w:w="554" w:type="dxa"/>
            <w:tcBorders>
              <w:top w:val="nil"/>
              <w:left w:val="nil"/>
              <w:bottom w:val="nil"/>
              <w:right w:val="nil"/>
            </w:tcBorders>
          </w:tcPr>
          <w:p w14:paraId="451C1C0C">
            <w:pPr>
              <w:tabs>
                <w:tab w:val="left" w:pos="908"/>
              </w:tabs>
            </w:pPr>
            <w:r>
              <w:rPr>
                <w:rFonts w:hint="eastAsia"/>
              </w:rPr>
              <w:t>日</w:t>
            </w:r>
          </w:p>
        </w:tc>
        <w:tc>
          <w:tcPr>
            <w:tcW w:w="699" w:type="dxa"/>
            <w:tcBorders>
              <w:top w:val="nil"/>
              <w:left w:val="nil"/>
              <w:bottom w:val="nil"/>
              <w:right w:val="nil"/>
            </w:tcBorders>
          </w:tcPr>
          <w:p w14:paraId="626CDC16">
            <w:pPr>
              <w:tabs>
                <w:tab w:val="left" w:pos="908"/>
              </w:tabs>
            </w:pPr>
            <w:r>
              <w:rPr>
                <w:rFonts w:hint="eastAsia"/>
              </w:rPr>
              <w:t xml:space="preserve"> 期：</w:t>
            </w:r>
          </w:p>
        </w:tc>
        <w:tc>
          <w:tcPr>
            <w:tcW w:w="4355" w:type="dxa"/>
            <w:tcBorders>
              <w:top w:val="nil"/>
              <w:left w:val="nil"/>
              <w:bottom w:val="nil"/>
              <w:right w:val="nil"/>
            </w:tcBorders>
          </w:tcPr>
          <w:p w14:paraId="05442F22">
            <w:pPr>
              <w:tabs>
                <w:tab w:val="left" w:pos="908"/>
              </w:tabs>
            </w:pPr>
            <w:r>
              <w:rPr>
                <w:rFonts w:hint="eastAsia"/>
              </w:rPr>
              <w:t xml:space="preserve"> 年      月      日</w:t>
            </w:r>
          </w:p>
        </w:tc>
      </w:tr>
      <w:tr w14:paraId="76777BD0">
        <w:tblPrEx>
          <w:tblCellMar>
            <w:top w:w="0" w:type="dxa"/>
            <w:left w:w="0" w:type="dxa"/>
            <w:bottom w:w="0" w:type="dxa"/>
            <w:right w:w="0" w:type="dxa"/>
          </w:tblCellMar>
        </w:tblPrEx>
        <w:trPr>
          <w:trHeight w:val="498" w:hRule="atLeast"/>
        </w:trPr>
        <w:tc>
          <w:tcPr>
            <w:tcW w:w="476" w:type="dxa"/>
            <w:tcBorders>
              <w:top w:val="nil"/>
              <w:left w:val="nil"/>
              <w:bottom w:val="nil"/>
              <w:right w:val="nil"/>
            </w:tcBorders>
          </w:tcPr>
          <w:p w14:paraId="1DE7895D">
            <w:pPr>
              <w:tabs>
                <w:tab w:val="left" w:pos="908"/>
              </w:tabs>
            </w:pPr>
            <w:r>
              <w:rPr>
                <w:rFonts w:hint="eastAsia"/>
              </w:rPr>
              <w:t>测</w:t>
            </w:r>
          </w:p>
        </w:tc>
        <w:tc>
          <w:tcPr>
            <w:tcW w:w="559" w:type="dxa"/>
            <w:tcBorders>
              <w:top w:val="nil"/>
              <w:left w:val="nil"/>
              <w:bottom w:val="nil"/>
              <w:right w:val="nil"/>
            </w:tcBorders>
          </w:tcPr>
          <w:p w14:paraId="568D7C0A">
            <w:pPr>
              <w:tabs>
                <w:tab w:val="left" w:pos="908"/>
              </w:tabs>
            </w:pPr>
            <w:r>
              <w:rPr>
                <w:rFonts w:hint="eastAsia"/>
              </w:rPr>
              <w:t>试</w:t>
            </w:r>
          </w:p>
        </w:tc>
        <w:tc>
          <w:tcPr>
            <w:tcW w:w="554" w:type="dxa"/>
            <w:tcBorders>
              <w:top w:val="nil"/>
              <w:left w:val="nil"/>
              <w:bottom w:val="nil"/>
              <w:right w:val="nil"/>
            </w:tcBorders>
          </w:tcPr>
          <w:p w14:paraId="0CDC81E0">
            <w:pPr>
              <w:tabs>
                <w:tab w:val="left" w:pos="908"/>
              </w:tabs>
            </w:pPr>
            <w:r>
              <w:rPr>
                <w:rFonts w:hint="eastAsia"/>
              </w:rPr>
              <w:t>日</w:t>
            </w:r>
          </w:p>
        </w:tc>
        <w:tc>
          <w:tcPr>
            <w:tcW w:w="699" w:type="dxa"/>
            <w:tcBorders>
              <w:top w:val="nil"/>
              <w:left w:val="nil"/>
              <w:bottom w:val="nil"/>
              <w:right w:val="nil"/>
            </w:tcBorders>
          </w:tcPr>
          <w:p w14:paraId="026F139E">
            <w:pPr>
              <w:tabs>
                <w:tab w:val="left" w:pos="908"/>
              </w:tabs>
            </w:pPr>
            <w:r>
              <w:rPr>
                <w:rFonts w:hint="eastAsia"/>
              </w:rPr>
              <w:t xml:space="preserve"> 期：</w:t>
            </w:r>
          </w:p>
        </w:tc>
        <w:tc>
          <w:tcPr>
            <w:tcW w:w="4355" w:type="dxa"/>
            <w:tcBorders>
              <w:top w:val="nil"/>
              <w:left w:val="nil"/>
              <w:bottom w:val="nil"/>
              <w:right w:val="nil"/>
            </w:tcBorders>
          </w:tcPr>
          <w:p w14:paraId="7A505270">
            <w:pPr>
              <w:tabs>
                <w:tab w:val="left" w:pos="908"/>
              </w:tabs>
            </w:pPr>
            <w:r>
              <w:rPr>
                <w:rFonts w:hint="eastAsia"/>
              </w:rPr>
              <w:t xml:space="preserve">       年      月      日</w:t>
            </w:r>
          </w:p>
        </w:tc>
      </w:tr>
    </w:tbl>
    <w:p w14:paraId="60D5C555">
      <w:pPr>
        <w:pStyle w:val="61"/>
        <w:sectPr>
          <w:pgSz w:w="11906" w:h="16838"/>
          <w:pgMar w:top="1928" w:right="1134" w:bottom="1134" w:left="1134" w:header="1418" w:footer="1134" w:gutter="284"/>
          <w:cols w:space="425" w:num="1"/>
          <w:formProt w:val="0"/>
          <w:docGrid w:linePitch="312" w:charSpace="0"/>
        </w:sectPr>
      </w:pPr>
      <w:r>
        <w:rPr>
          <w:rFonts w:hint="eastAsia"/>
        </w:rPr>
        <w:t xml:space="preserve">  </w:t>
      </w:r>
    </w:p>
    <w:p w14:paraId="040047F1">
      <w:pPr>
        <w:pStyle w:val="203"/>
        <w:rPr>
          <w:rFonts w:hint="eastAsia"/>
        </w:rPr>
      </w:pPr>
    </w:p>
    <w:p w14:paraId="19D497E8">
      <w:pPr>
        <w:pStyle w:val="204"/>
      </w:pPr>
      <w:r>
        <w:rPr>
          <w:rFonts w:hint="eastAsia"/>
        </w:rPr>
        <w:t>B</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417"/>
        <w:gridCol w:w="1032"/>
        <w:gridCol w:w="1335"/>
        <w:gridCol w:w="1335"/>
        <w:gridCol w:w="1401"/>
        <w:gridCol w:w="1269"/>
      </w:tblGrid>
      <w:tr w14:paraId="700C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344" w:type="dxa"/>
            <w:gridSpan w:val="7"/>
            <w:tcBorders>
              <w:top w:val="nil"/>
              <w:left w:val="nil"/>
              <w:right w:val="nil"/>
            </w:tcBorders>
            <w:vAlign w:val="center"/>
          </w:tcPr>
          <w:p w14:paraId="0BD47155">
            <w:pPr>
              <w:pStyle w:val="61"/>
              <w:ind w:firstLine="420"/>
            </w:pPr>
            <w:r>
              <w:rPr>
                <w:rFonts w:hint="eastAsia"/>
              </w:rPr>
              <w:t>原子重力仪可靠性检测报告</w:t>
            </w:r>
          </w:p>
        </w:tc>
      </w:tr>
      <w:tr w14:paraId="10D0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vAlign w:val="center"/>
          </w:tcPr>
          <w:p w14:paraId="29998496">
            <w:pPr>
              <w:pStyle w:val="61"/>
              <w:ind w:firstLine="420"/>
            </w:pPr>
            <w:r>
              <w:rPr>
                <w:rFonts w:hint="eastAsia"/>
              </w:rPr>
              <w:t>申请方</w:t>
            </w:r>
          </w:p>
        </w:tc>
        <w:tc>
          <w:tcPr>
            <w:tcW w:w="1417" w:type="dxa"/>
          </w:tcPr>
          <w:p w14:paraId="01803C32">
            <w:pPr>
              <w:pStyle w:val="61"/>
              <w:ind w:firstLine="420"/>
            </w:pPr>
            <w:r>
              <w:rPr>
                <w:rFonts w:hint="eastAsia"/>
              </w:rPr>
              <w:t>名称</w:t>
            </w:r>
          </w:p>
        </w:tc>
        <w:tc>
          <w:tcPr>
            <w:tcW w:w="6372" w:type="dxa"/>
            <w:gridSpan w:val="5"/>
          </w:tcPr>
          <w:p w14:paraId="2F920B81">
            <w:pPr>
              <w:pStyle w:val="61"/>
              <w:ind w:firstLine="420"/>
            </w:pPr>
          </w:p>
        </w:tc>
      </w:tr>
      <w:tr w14:paraId="3368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19F557EB">
            <w:pPr>
              <w:pStyle w:val="61"/>
              <w:ind w:firstLine="420"/>
            </w:pPr>
          </w:p>
        </w:tc>
        <w:tc>
          <w:tcPr>
            <w:tcW w:w="1417" w:type="dxa"/>
          </w:tcPr>
          <w:p w14:paraId="743A8176">
            <w:pPr>
              <w:pStyle w:val="61"/>
              <w:ind w:firstLine="420"/>
            </w:pPr>
            <w:r>
              <w:rPr>
                <w:rFonts w:hint="eastAsia"/>
              </w:rPr>
              <w:t>地址</w:t>
            </w:r>
          </w:p>
        </w:tc>
        <w:tc>
          <w:tcPr>
            <w:tcW w:w="6372" w:type="dxa"/>
            <w:gridSpan w:val="5"/>
          </w:tcPr>
          <w:p w14:paraId="03857F13">
            <w:pPr>
              <w:pStyle w:val="61"/>
              <w:ind w:firstLine="420"/>
            </w:pPr>
          </w:p>
        </w:tc>
      </w:tr>
      <w:tr w14:paraId="2108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50CF7CE9">
            <w:pPr>
              <w:pStyle w:val="61"/>
              <w:ind w:firstLine="420"/>
            </w:pPr>
          </w:p>
        </w:tc>
        <w:tc>
          <w:tcPr>
            <w:tcW w:w="1417" w:type="dxa"/>
          </w:tcPr>
          <w:p w14:paraId="42F7E1B8">
            <w:pPr>
              <w:pStyle w:val="61"/>
              <w:ind w:firstLine="420"/>
            </w:pPr>
            <w:r>
              <w:rPr>
                <w:rFonts w:hint="eastAsia"/>
              </w:rPr>
              <w:t>负责人</w:t>
            </w:r>
          </w:p>
        </w:tc>
        <w:tc>
          <w:tcPr>
            <w:tcW w:w="1032" w:type="dxa"/>
          </w:tcPr>
          <w:p w14:paraId="3A9B18F9">
            <w:pPr>
              <w:pStyle w:val="61"/>
              <w:ind w:firstLine="420"/>
            </w:pPr>
          </w:p>
        </w:tc>
        <w:tc>
          <w:tcPr>
            <w:tcW w:w="1335" w:type="dxa"/>
          </w:tcPr>
          <w:p w14:paraId="6B19ED15">
            <w:pPr>
              <w:pStyle w:val="61"/>
              <w:ind w:firstLine="420"/>
            </w:pPr>
            <w:r>
              <w:rPr>
                <w:rFonts w:hint="eastAsia"/>
              </w:rPr>
              <w:t>电话</w:t>
            </w:r>
          </w:p>
        </w:tc>
        <w:tc>
          <w:tcPr>
            <w:tcW w:w="1335" w:type="dxa"/>
          </w:tcPr>
          <w:p w14:paraId="5CA93CA8">
            <w:pPr>
              <w:pStyle w:val="61"/>
              <w:ind w:firstLine="420"/>
            </w:pPr>
          </w:p>
        </w:tc>
        <w:tc>
          <w:tcPr>
            <w:tcW w:w="1401" w:type="dxa"/>
          </w:tcPr>
          <w:p w14:paraId="6388E6F3">
            <w:pPr>
              <w:pStyle w:val="61"/>
              <w:ind w:firstLine="420"/>
            </w:pPr>
            <w:r>
              <w:rPr>
                <w:rFonts w:hint="eastAsia"/>
              </w:rPr>
              <w:t>传真</w:t>
            </w:r>
          </w:p>
        </w:tc>
        <w:tc>
          <w:tcPr>
            <w:tcW w:w="1269" w:type="dxa"/>
          </w:tcPr>
          <w:p w14:paraId="1610E407">
            <w:pPr>
              <w:pStyle w:val="61"/>
              <w:ind w:firstLine="420"/>
            </w:pPr>
          </w:p>
        </w:tc>
      </w:tr>
      <w:tr w14:paraId="3717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6248884C">
            <w:pPr>
              <w:pStyle w:val="61"/>
              <w:ind w:firstLine="420"/>
            </w:pPr>
          </w:p>
        </w:tc>
        <w:tc>
          <w:tcPr>
            <w:tcW w:w="1417" w:type="dxa"/>
          </w:tcPr>
          <w:p w14:paraId="13A1A6A6">
            <w:pPr>
              <w:pStyle w:val="61"/>
              <w:ind w:firstLine="420"/>
            </w:pPr>
            <w:r>
              <w:rPr>
                <w:rFonts w:hint="eastAsia"/>
              </w:rPr>
              <w:t>联系人</w:t>
            </w:r>
          </w:p>
        </w:tc>
        <w:tc>
          <w:tcPr>
            <w:tcW w:w="1032" w:type="dxa"/>
          </w:tcPr>
          <w:p w14:paraId="3B82FC61">
            <w:pPr>
              <w:pStyle w:val="61"/>
              <w:ind w:firstLine="420"/>
            </w:pPr>
          </w:p>
        </w:tc>
        <w:tc>
          <w:tcPr>
            <w:tcW w:w="1335" w:type="dxa"/>
          </w:tcPr>
          <w:p w14:paraId="2B18F96B">
            <w:pPr>
              <w:pStyle w:val="61"/>
              <w:ind w:firstLine="420"/>
            </w:pPr>
            <w:r>
              <w:rPr>
                <w:rFonts w:hint="eastAsia"/>
              </w:rPr>
              <w:t>电话</w:t>
            </w:r>
          </w:p>
        </w:tc>
        <w:tc>
          <w:tcPr>
            <w:tcW w:w="1335" w:type="dxa"/>
          </w:tcPr>
          <w:p w14:paraId="78255216">
            <w:pPr>
              <w:pStyle w:val="61"/>
              <w:ind w:firstLine="420"/>
            </w:pPr>
          </w:p>
        </w:tc>
        <w:tc>
          <w:tcPr>
            <w:tcW w:w="1401" w:type="dxa"/>
          </w:tcPr>
          <w:p w14:paraId="4ACB1C7D">
            <w:pPr>
              <w:pStyle w:val="61"/>
              <w:ind w:firstLine="420"/>
            </w:pPr>
            <w:r>
              <w:rPr>
                <w:rFonts w:hint="eastAsia"/>
              </w:rPr>
              <w:t>邮政编码</w:t>
            </w:r>
          </w:p>
        </w:tc>
        <w:tc>
          <w:tcPr>
            <w:tcW w:w="1269" w:type="dxa"/>
          </w:tcPr>
          <w:p w14:paraId="6D10C30C">
            <w:pPr>
              <w:pStyle w:val="61"/>
              <w:ind w:firstLine="420"/>
            </w:pPr>
          </w:p>
        </w:tc>
      </w:tr>
      <w:tr w14:paraId="0D78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1C0275A7">
            <w:pPr>
              <w:pStyle w:val="61"/>
              <w:ind w:firstLine="420"/>
            </w:pPr>
          </w:p>
        </w:tc>
        <w:tc>
          <w:tcPr>
            <w:tcW w:w="1417" w:type="dxa"/>
          </w:tcPr>
          <w:p w14:paraId="25684676">
            <w:pPr>
              <w:pStyle w:val="61"/>
              <w:ind w:firstLine="420"/>
            </w:pPr>
            <w:r>
              <w:rPr>
                <w:rFonts w:hint="eastAsia"/>
              </w:rPr>
              <w:t>电子邮箱</w:t>
            </w:r>
          </w:p>
        </w:tc>
        <w:tc>
          <w:tcPr>
            <w:tcW w:w="6372" w:type="dxa"/>
            <w:gridSpan w:val="5"/>
          </w:tcPr>
          <w:p w14:paraId="2C63D896">
            <w:pPr>
              <w:pStyle w:val="61"/>
              <w:ind w:firstLine="420"/>
            </w:pPr>
          </w:p>
        </w:tc>
      </w:tr>
      <w:tr w14:paraId="528A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vAlign w:val="center"/>
          </w:tcPr>
          <w:p w14:paraId="6CED99F0">
            <w:pPr>
              <w:pStyle w:val="61"/>
              <w:ind w:firstLine="420"/>
            </w:pPr>
            <w:r>
              <w:rPr>
                <w:rFonts w:hint="eastAsia"/>
              </w:rPr>
              <w:t>评价机构</w:t>
            </w:r>
          </w:p>
        </w:tc>
        <w:tc>
          <w:tcPr>
            <w:tcW w:w="1417" w:type="dxa"/>
          </w:tcPr>
          <w:p w14:paraId="7237839F">
            <w:pPr>
              <w:pStyle w:val="61"/>
              <w:ind w:firstLine="420"/>
            </w:pPr>
            <w:r>
              <w:rPr>
                <w:rFonts w:hint="eastAsia"/>
              </w:rPr>
              <w:t>机构名称</w:t>
            </w:r>
          </w:p>
        </w:tc>
        <w:tc>
          <w:tcPr>
            <w:tcW w:w="6372" w:type="dxa"/>
            <w:gridSpan w:val="5"/>
          </w:tcPr>
          <w:p w14:paraId="56C15948">
            <w:pPr>
              <w:pStyle w:val="61"/>
              <w:ind w:firstLine="420"/>
            </w:pPr>
          </w:p>
        </w:tc>
      </w:tr>
      <w:tr w14:paraId="6C36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380C257B">
            <w:pPr>
              <w:pStyle w:val="61"/>
              <w:ind w:firstLine="420"/>
            </w:pPr>
          </w:p>
        </w:tc>
        <w:tc>
          <w:tcPr>
            <w:tcW w:w="1417" w:type="dxa"/>
          </w:tcPr>
          <w:p w14:paraId="4506C476">
            <w:pPr>
              <w:pStyle w:val="61"/>
              <w:ind w:firstLine="420"/>
            </w:pPr>
            <w:r>
              <w:rPr>
                <w:rFonts w:hint="eastAsia"/>
              </w:rPr>
              <w:t>地址</w:t>
            </w:r>
          </w:p>
        </w:tc>
        <w:tc>
          <w:tcPr>
            <w:tcW w:w="6372" w:type="dxa"/>
            <w:gridSpan w:val="5"/>
          </w:tcPr>
          <w:p w14:paraId="2FABC879">
            <w:pPr>
              <w:pStyle w:val="61"/>
              <w:ind w:firstLine="420"/>
            </w:pPr>
          </w:p>
        </w:tc>
      </w:tr>
      <w:tr w14:paraId="4B04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033748D3">
            <w:pPr>
              <w:pStyle w:val="61"/>
              <w:ind w:firstLine="420"/>
            </w:pPr>
          </w:p>
        </w:tc>
        <w:tc>
          <w:tcPr>
            <w:tcW w:w="1417" w:type="dxa"/>
          </w:tcPr>
          <w:p w14:paraId="7AF1831E">
            <w:pPr>
              <w:pStyle w:val="61"/>
              <w:ind w:firstLine="420"/>
            </w:pPr>
            <w:r>
              <w:rPr>
                <w:rFonts w:hint="eastAsia"/>
              </w:rPr>
              <w:t>负责人</w:t>
            </w:r>
          </w:p>
        </w:tc>
        <w:tc>
          <w:tcPr>
            <w:tcW w:w="1032" w:type="dxa"/>
          </w:tcPr>
          <w:p w14:paraId="1E400625">
            <w:pPr>
              <w:pStyle w:val="61"/>
              <w:ind w:firstLine="420"/>
            </w:pPr>
          </w:p>
        </w:tc>
        <w:tc>
          <w:tcPr>
            <w:tcW w:w="1335" w:type="dxa"/>
          </w:tcPr>
          <w:p w14:paraId="193887BF">
            <w:pPr>
              <w:pStyle w:val="61"/>
              <w:ind w:firstLine="420"/>
            </w:pPr>
            <w:r>
              <w:rPr>
                <w:rFonts w:hint="eastAsia"/>
              </w:rPr>
              <w:t>电话</w:t>
            </w:r>
          </w:p>
        </w:tc>
        <w:tc>
          <w:tcPr>
            <w:tcW w:w="1335" w:type="dxa"/>
          </w:tcPr>
          <w:p w14:paraId="28BC56BF">
            <w:pPr>
              <w:pStyle w:val="61"/>
              <w:ind w:firstLine="420"/>
            </w:pPr>
          </w:p>
        </w:tc>
        <w:tc>
          <w:tcPr>
            <w:tcW w:w="1401" w:type="dxa"/>
          </w:tcPr>
          <w:p w14:paraId="5C58A53E">
            <w:pPr>
              <w:pStyle w:val="61"/>
              <w:ind w:firstLine="420"/>
            </w:pPr>
            <w:r>
              <w:rPr>
                <w:rFonts w:hint="eastAsia"/>
              </w:rPr>
              <w:t>传真</w:t>
            </w:r>
          </w:p>
        </w:tc>
        <w:tc>
          <w:tcPr>
            <w:tcW w:w="1269" w:type="dxa"/>
          </w:tcPr>
          <w:p w14:paraId="4FC81CC8">
            <w:pPr>
              <w:pStyle w:val="61"/>
              <w:ind w:firstLine="420"/>
            </w:pPr>
          </w:p>
        </w:tc>
      </w:tr>
      <w:tr w14:paraId="0080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1850EF12">
            <w:pPr>
              <w:pStyle w:val="61"/>
              <w:ind w:firstLine="420"/>
            </w:pPr>
          </w:p>
        </w:tc>
        <w:tc>
          <w:tcPr>
            <w:tcW w:w="1417" w:type="dxa"/>
          </w:tcPr>
          <w:p w14:paraId="73F0527D">
            <w:pPr>
              <w:pStyle w:val="61"/>
              <w:ind w:firstLine="420"/>
            </w:pPr>
            <w:r>
              <w:rPr>
                <w:rFonts w:hint="eastAsia"/>
              </w:rPr>
              <w:t>联系人</w:t>
            </w:r>
          </w:p>
        </w:tc>
        <w:tc>
          <w:tcPr>
            <w:tcW w:w="1032" w:type="dxa"/>
          </w:tcPr>
          <w:p w14:paraId="65997427">
            <w:pPr>
              <w:pStyle w:val="61"/>
              <w:ind w:firstLine="420"/>
            </w:pPr>
          </w:p>
        </w:tc>
        <w:tc>
          <w:tcPr>
            <w:tcW w:w="1335" w:type="dxa"/>
          </w:tcPr>
          <w:p w14:paraId="4B09E7FD">
            <w:pPr>
              <w:pStyle w:val="61"/>
              <w:ind w:firstLine="420"/>
            </w:pPr>
            <w:r>
              <w:rPr>
                <w:rFonts w:hint="eastAsia"/>
              </w:rPr>
              <w:t>电话</w:t>
            </w:r>
          </w:p>
        </w:tc>
        <w:tc>
          <w:tcPr>
            <w:tcW w:w="1335" w:type="dxa"/>
          </w:tcPr>
          <w:p w14:paraId="5615BD5C">
            <w:pPr>
              <w:pStyle w:val="61"/>
              <w:ind w:firstLine="420"/>
            </w:pPr>
          </w:p>
        </w:tc>
        <w:tc>
          <w:tcPr>
            <w:tcW w:w="1401" w:type="dxa"/>
          </w:tcPr>
          <w:p w14:paraId="1B0E5435">
            <w:pPr>
              <w:pStyle w:val="61"/>
              <w:ind w:firstLine="420"/>
            </w:pPr>
            <w:r>
              <w:rPr>
                <w:rFonts w:hint="eastAsia"/>
              </w:rPr>
              <w:t>邮政编码</w:t>
            </w:r>
          </w:p>
        </w:tc>
        <w:tc>
          <w:tcPr>
            <w:tcW w:w="1269" w:type="dxa"/>
          </w:tcPr>
          <w:p w14:paraId="0FC12A4E">
            <w:pPr>
              <w:pStyle w:val="61"/>
              <w:ind w:firstLine="420"/>
            </w:pPr>
          </w:p>
        </w:tc>
      </w:tr>
      <w:tr w14:paraId="350D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65DB4666">
            <w:pPr>
              <w:pStyle w:val="61"/>
              <w:ind w:firstLine="420"/>
            </w:pPr>
          </w:p>
        </w:tc>
        <w:tc>
          <w:tcPr>
            <w:tcW w:w="1417" w:type="dxa"/>
          </w:tcPr>
          <w:p w14:paraId="2828B383">
            <w:pPr>
              <w:pStyle w:val="61"/>
              <w:ind w:firstLine="420"/>
            </w:pPr>
            <w:r>
              <w:rPr>
                <w:rFonts w:hint="eastAsia"/>
              </w:rPr>
              <w:t>电子邮箱</w:t>
            </w:r>
          </w:p>
        </w:tc>
        <w:tc>
          <w:tcPr>
            <w:tcW w:w="1032" w:type="dxa"/>
          </w:tcPr>
          <w:p w14:paraId="3C7B8294">
            <w:pPr>
              <w:pStyle w:val="61"/>
              <w:ind w:firstLine="420"/>
            </w:pPr>
          </w:p>
        </w:tc>
        <w:tc>
          <w:tcPr>
            <w:tcW w:w="1335" w:type="dxa"/>
          </w:tcPr>
          <w:p w14:paraId="694D475F">
            <w:pPr>
              <w:pStyle w:val="61"/>
              <w:ind w:firstLine="420"/>
            </w:pPr>
          </w:p>
        </w:tc>
        <w:tc>
          <w:tcPr>
            <w:tcW w:w="1335" w:type="dxa"/>
          </w:tcPr>
          <w:p w14:paraId="54B7FF05">
            <w:pPr>
              <w:pStyle w:val="61"/>
              <w:ind w:firstLine="420"/>
            </w:pPr>
          </w:p>
        </w:tc>
        <w:tc>
          <w:tcPr>
            <w:tcW w:w="1401" w:type="dxa"/>
          </w:tcPr>
          <w:p w14:paraId="31BF5828">
            <w:pPr>
              <w:pStyle w:val="61"/>
              <w:ind w:firstLine="420"/>
            </w:pPr>
          </w:p>
        </w:tc>
        <w:tc>
          <w:tcPr>
            <w:tcW w:w="1269" w:type="dxa"/>
          </w:tcPr>
          <w:p w14:paraId="14A5BB3E">
            <w:pPr>
              <w:pStyle w:val="61"/>
              <w:ind w:firstLine="420"/>
            </w:pPr>
          </w:p>
        </w:tc>
      </w:tr>
      <w:tr w14:paraId="5871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44" w:type="dxa"/>
            <w:gridSpan w:val="7"/>
            <w:vAlign w:val="center"/>
          </w:tcPr>
          <w:p w14:paraId="4F2BA54C">
            <w:pPr>
              <w:pStyle w:val="61"/>
              <w:ind w:firstLine="420"/>
            </w:pPr>
            <w:r>
              <w:rPr>
                <w:rFonts w:hint="eastAsia"/>
              </w:rPr>
              <w:t>一、产品信息</w:t>
            </w:r>
          </w:p>
        </w:tc>
      </w:tr>
      <w:tr w14:paraId="3ECF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9344" w:type="dxa"/>
            <w:gridSpan w:val="7"/>
            <w:vAlign w:val="center"/>
          </w:tcPr>
          <w:p w14:paraId="08BC6734">
            <w:pPr>
              <w:pStyle w:val="61"/>
              <w:ind w:firstLine="420"/>
            </w:pPr>
            <w:r>
              <w:rPr>
                <w:rFonts w:hint="eastAsia"/>
              </w:rPr>
              <w:t>（包括但不限于产品名称、型号、序列号等内容）</w:t>
            </w:r>
          </w:p>
        </w:tc>
      </w:tr>
      <w:tr w14:paraId="6E13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44" w:type="dxa"/>
            <w:gridSpan w:val="7"/>
            <w:vAlign w:val="center"/>
          </w:tcPr>
          <w:p w14:paraId="49D0E5F7">
            <w:pPr>
              <w:pStyle w:val="61"/>
              <w:ind w:firstLine="420"/>
            </w:pPr>
            <w:r>
              <w:rPr>
                <w:rFonts w:hint="eastAsia"/>
              </w:rPr>
              <w:t>二、测试条件</w:t>
            </w:r>
          </w:p>
        </w:tc>
      </w:tr>
      <w:tr w14:paraId="1903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trPr>
        <w:tc>
          <w:tcPr>
            <w:tcW w:w="9344" w:type="dxa"/>
            <w:gridSpan w:val="7"/>
            <w:vAlign w:val="center"/>
          </w:tcPr>
          <w:p w14:paraId="6DD4D52E">
            <w:pPr>
              <w:pStyle w:val="61"/>
              <w:ind w:firstLine="420"/>
            </w:pPr>
          </w:p>
        </w:tc>
      </w:tr>
      <w:tr w14:paraId="4B28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44" w:type="dxa"/>
            <w:gridSpan w:val="7"/>
            <w:vAlign w:val="center"/>
          </w:tcPr>
          <w:p w14:paraId="2C4AC304">
            <w:pPr>
              <w:pStyle w:val="61"/>
              <w:ind w:firstLine="420"/>
            </w:pPr>
            <w:r>
              <w:rPr>
                <w:rFonts w:hint="eastAsia"/>
              </w:rPr>
              <w:t>三、测试结果</w:t>
            </w:r>
          </w:p>
        </w:tc>
      </w:tr>
      <w:tr w14:paraId="748A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atLeast"/>
        </w:trPr>
        <w:tc>
          <w:tcPr>
            <w:tcW w:w="9344" w:type="dxa"/>
            <w:gridSpan w:val="7"/>
            <w:vAlign w:val="center"/>
          </w:tcPr>
          <w:p w14:paraId="62D3DB22">
            <w:pPr>
              <w:pStyle w:val="61"/>
              <w:ind w:firstLine="420"/>
            </w:pPr>
          </w:p>
        </w:tc>
      </w:tr>
      <w:tr w14:paraId="1D5A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44" w:type="dxa"/>
            <w:gridSpan w:val="7"/>
            <w:vAlign w:val="center"/>
          </w:tcPr>
          <w:p w14:paraId="0345870D">
            <w:pPr>
              <w:pStyle w:val="61"/>
              <w:ind w:firstLine="420"/>
            </w:pPr>
            <w:r>
              <w:rPr>
                <w:rFonts w:hint="eastAsia"/>
              </w:rPr>
              <w:t>四、结论与建议</w:t>
            </w:r>
          </w:p>
        </w:tc>
      </w:tr>
      <w:tr w14:paraId="0EF5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9344" w:type="dxa"/>
            <w:gridSpan w:val="7"/>
            <w:vAlign w:val="center"/>
          </w:tcPr>
          <w:p w14:paraId="3AA60AB4">
            <w:pPr>
              <w:pStyle w:val="61"/>
              <w:ind w:firstLine="420"/>
            </w:pPr>
          </w:p>
        </w:tc>
      </w:tr>
      <w:tr w14:paraId="32E3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9344" w:type="dxa"/>
            <w:gridSpan w:val="7"/>
            <w:shd w:val="clear" w:color="auto" w:fill="auto"/>
            <w:vAlign w:val="center"/>
          </w:tcPr>
          <w:p w14:paraId="662B6687">
            <w:pPr>
              <w:pStyle w:val="61"/>
              <w:ind w:firstLine="420" w:firstLineChars="200"/>
              <w:rPr>
                <w:rFonts w:ascii="宋体" w:eastAsia="宋体"/>
                <w:sz w:val="21"/>
                <w:lang w:val="en-US" w:eastAsia="zh-CN" w:bidi="ar-SA"/>
              </w:rPr>
            </w:pPr>
            <w:r>
              <w:rPr>
                <w:rFonts w:hint="eastAsia"/>
              </w:rPr>
              <w:t>五、其他需要说明的事项</w:t>
            </w:r>
          </w:p>
        </w:tc>
      </w:tr>
      <w:tr w14:paraId="7557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9344" w:type="dxa"/>
            <w:gridSpan w:val="7"/>
            <w:shd w:val="clear" w:color="auto" w:fill="auto"/>
            <w:vAlign w:val="center"/>
          </w:tcPr>
          <w:p w14:paraId="7DEA1735">
            <w:pPr>
              <w:pStyle w:val="61"/>
              <w:ind w:firstLine="420" w:firstLineChars="200"/>
              <w:rPr>
                <w:rFonts w:ascii="宋体" w:eastAsia="宋体"/>
                <w:sz w:val="21"/>
                <w:lang w:val="en-US" w:eastAsia="zh-CN" w:bidi="ar-SA"/>
              </w:rPr>
            </w:pPr>
            <w:r>
              <w:rPr>
                <w:rFonts w:hint="eastAsia"/>
              </w:rPr>
              <w:t>（其他需要说明的事项）</w:t>
            </w:r>
          </w:p>
        </w:tc>
      </w:tr>
    </w:tbl>
    <w:p w14:paraId="22ECB9FE">
      <w:pPr>
        <w:pStyle w:val="137"/>
        <w:numPr>
          <w:ilvl w:val="0"/>
          <w:numId w:val="0"/>
        </w:numPr>
        <w:ind w:left="420" w:hanging="420" w:hangingChars="200"/>
      </w:pPr>
    </w:p>
    <w:p w14:paraId="46289CB8">
      <w:pPr>
        <w:pStyle w:val="61"/>
        <w:rPr>
          <w:highlight w:val="yellow"/>
        </w:rPr>
      </w:pPr>
    </w:p>
    <w:p w14:paraId="1F110E45">
      <w:pPr>
        <w:pStyle w:val="61"/>
        <w:ind w:firstLine="420"/>
        <w:rPr>
          <w:highlight w:val="yellow"/>
        </w:rPr>
      </w:pPr>
    </w:p>
    <w:p w14:paraId="6C5D3538">
      <w:pPr>
        <w:pStyle w:val="61"/>
        <w:ind w:firstLine="420"/>
      </w:pPr>
    </w:p>
    <w:p w14:paraId="4ECFA279">
      <w:pPr>
        <w:pStyle w:val="61"/>
        <w:ind w:firstLine="420"/>
      </w:pPr>
    </w:p>
    <w:p w14:paraId="0E98E2FD">
      <w:pPr>
        <w:pStyle w:val="61"/>
        <w:ind w:firstLine="420"/>
      </w:pPr>
    </w:p>
    <w:p w14:paraId="1A48AE06">
      <w:pPr>
        <w:pStyle w:val="61"/>
        <w:ind w:firstLine="420"/>
      </w:pPr>
    </w:p>
    <w:p w14:paraId="7148D2CD">
      <w:pPr>
        <w:pStyle w:val="61"/>
        <w:ind w:firstLine="420"/>
      </w:pPr>
    </w:p>
    <w:p w14:paraId="11CBEC46">
      <w:pPr>
        <w:pStyle w:val="61"/>
        <w:ind w:firstLine="420"/>
      </w:pPr>
    </w:p>
    <w:p w14:paraId="5733FF30">
      <w:pPr>
        <w:pStyle w:val="61"/>
        <w:ind w:firstLine="420"/>
      </w:pPr>
    </w:p>
    <w:p w14:paraId="00D1B267">
      <w:pPr>
        <w:pStyle w:val="61"/>
        <w:ind w:firstLine="420"/>
      </w:pPr>
    </w:p>
    <w:p w14:paraId="07B5C45B">
      <w:pPr>
        <w:pStyle w:val="61"/>
        <w:ind w:firstLine="420"/>
      </w:pPr>
    </w:p>
    <w:p w14:paraId="633A8D9B">
      <w:pPr>
        <w:pStyle w:val="61"/>
        <w:ind w:firstLine="420"/>
      </w:pPr>
    </w:p>
    <w:p w14:paraId="585761A4">
      <w:pPr>
        <w:pStyle w:val="61"/>
        <w:ind w:firstLine="420"/>
      </w:pPr>
    </w:p>
    <w:p w14:paraId="2B49A925">
      <w:pPr>
        <w:jc w:val="center"/>
      </w:pPr>
      <w:r>
        <w:drawing>
          <wp:inline distT="0" distB="0" distL="0" distR="0">
            <wp:extent cx="1485900" cy="317500"/>
            <wp:effectExtent l="0" t="0" r="7620" b="254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4"/>
      <w:bookmarkEnd w:id="69"/>
    </w:p>
    <w:sectPr>
      <w:headerReference r:id="rId18" w:type="default"/>
      <w:footerReference r:id="rId20" w:type="default"/>
      <w:headerReference r:id="rId19" w:type="even"/>
      <w:footerReference r:id="rId21" w:type="even"/>
      <w:pgSz w:w="11906" w:h="16838"/>
      <w:pgMar w:top="1928" w:right="1134" w:bottom="1134" w:left="1134" w:header="1418" w:footer="1134" w:gutter="283"/>
      <w:cols w:space="0" w:num="1"/>
      <w:formProt w:val="0"/>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柯 张" w:date="2026-07-05T10:36:00Z" w:initials="">
    <w:p w14:paraId="1F383D3D">
      <w:pPr>
        <w:pStyle w:val="13"/>
        <w:rPr>
          <w:rFonts w:hint="eastAsia"/>
        </w:rPr>
      </w:pPr>
      <w:r>
        <w:rPr>
          <w:rFonts w:hint="eastAsia"/>
        </w:rPr>
        <w:t>根据11.1.1描述，在进行环境试验前，需要进行一次完整的可靠性指标测试。</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F383D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9F518">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DA8A7">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76DA8A7">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7EEBC">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6B18C">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463E57B0">
                              <w:pPr>
                                <w:pStyle w:val="18"/>
                              </w:pPr>
                              <w:r>
                                <w:fldChar w:fldCharType="begin"/>
                              </w:r>
                              <w:r>
                                <w:instrText xml:space="preserve">PAGE   \* MERGEFORMAT</w:instrText>
                              </w:r>
                              <w:r>
                                <w:fldChar w:fldCharType="separate"/>
                              </w:r>
                              <w:r>
                                <w:rPr>
                                  <w:lang w:val="zh-CN"/>
                                </w:rPr>
                                <w:t>2</w:t>
                              </w:r>
                              <w:r>
                                <w:fldChar w:fldCharType="end"/>
                              </w:r>
                            </w:p>
                          </w:sdtContent>
                        </w:sdt>
                        <w:p w14:paraId="60B6D05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463E57B0">
                        <w:pPr>
                          <w:pStyle w:val="18"/>
                        </w:pPr>
                        <w:r>
                          <w:fldChar w:fldCharType="begin"/>
                        </w:r>
                        <w:r>
                          <w:instrText xml:space="preserve">PAGE   \* MERGEFORMAT</w:instrText>
                        </w:r>
                        <w:r>
                          <w:fldChar w:fldCharType="separate"/>
                        </w:r>
                        <w:r>
                          <w:rPr>
                            <w:lang w:val="zh-CN"/>
                          </w:rPr>
                          <w:t>2</w:t>
                        </w:r>
                        <w:r>
                          <w:fldChar w:fldCharType="end"/>
                        </w:r>
                      </w:p>
                    </w:sdtContent>
                  </w:sdt>
                  <w:p w14:paraId="60B6D05B"/>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D5669">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72091">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9B72091">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D82C9">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42827378">
                              <w:pPr>
                                <w:pStyle w:val="18"/>
                              </w:pPr>
                              <w:r>
                                <w:fldChar w:fldCharType="begin"/>
                              </w:r>
                              <w:r>
                                <w:instrText xml:space="preserve">PAGE   \* MERGEFORMAT</w:instrText>
                              </w:r>
                              <w:r>
                                <w:fldChar w:fldCharType="separate"/>
                              </w:r>
                              <w:r>
                                <w:rPr>
                                  <w:lang w:val="zh-CN"/>
                                </w:rPr>
                                <w:t>2</w:t>
                              </w:r>
                              <w:r>
                                <w:fldChar w:fldCharType="end"/>
                              </w:r>
                            </w:p>
                          </w:sdtContent>
                        </w:sdt>
                        <w:p w14:paraId="219489A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42827378">
                        <w:pPr>
                          <w:pStyle w:val="18"/>
                        </w:pPr>
                        <w:r>
                          <w:fldChar w:fldCharType="begin"/>
                        </w:r>
                        <w:r>
                          <w:instrText xml:space="preserve">PAGE   \* MERGEFORMAT</w:instrText>
                        </w:r>
                        <w:r>
                          <w:fldChar w:fldCharType="separate"/>
                        </w:r>
                        <w:r>
                          <w:rPr>
                            <w:lang w:val="zh-CN"/>
                          </w:rPr>
                          <w:t>2</w:t>
                        </w:r>
                        <w:r>
                          <w:fldChar w:fldCharType="end"/>
                        </w:r>
                      </w:p>
                    </w:sdtContent>
                  </w:sdt>
                  <w:p w14:paraId="219489A1"/>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12C97">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804CAF">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F804CAF">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EC968">
    <w:pPr>
      <w:pStyle w:val="57"/>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E173B9">
                          <w:pPr>
                            <w:pStyle w:val="57"/>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BE173B9">
                    <w:pPr>
                      <w:pStyle w:val="57"/>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41D86">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11502">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3E11502">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7D722">
    <w:pPr>
      <w:pStyle w:val="19"/>
      <w:jc w:val="right"/>
      <w:rPr>
        <w:rFonts w:hint="eastAsia"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AA86F">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7994D">
    <w:pPr>
      <w:pStyle w:val="19"/>
      <w:jc w:val="righ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BF3DE">
    <w:pPr>
      <w:pStyle w:val="19"/>
      <w:jc w:val="righ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DBE9E">
    <w:pPr>
      <w:pStyle w:val="19"/>
      <w:jc w:val="righ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7B0F2">
    <w:pPr>
      <w:pStyle w:val="66"/>
      <w:rPr>
        <w:rFonts w:hint="eastAsia"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T/CWDPA XXX—XXXX</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00775">
    <w:pPr>
      <w:pStyle w:val="19"/>
      <w:jc w:val="lef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7"/>
      <w:suff w:val="nothing"/>
      <w:lvlText w:val="表%1　"/>
      <w:lvlJc w:val="left"/>
      <w:pPr>
        <w:ind w:left="3990" w:firstLine="0"/>
      </w:pPr>
    </w:lvl>
    <w:lvl w:ilvl="1" w:tentative="0">
      <w:start w:val="1"/>
      <w:numFmt w:val="decimal"/>
      <w:lvlText w:val="%1.%2"/>
      <w:lvlJc w:val="left"/>
      <w:pPr>
        <w:tabs>
          <w:tab w:val="left" w:pos="992"/>
        </w:tabs>
        <w:ind w:left="4032" w:hanging="567"/>
      </w:pPr>
    </w:lvl>
    <w:lvl w:ilvl="2" w:tentative="0">
      <w:start w:val="1"/>
      <w:numFmt w:val="decimal"/>
      <w:lvlText w:val="%1.%2.%3"/>
      <w:lvlJc w:val="left"/>
      <w:pPr>
        <w:tabs>
          <w:tab w:val="left" w:pos="1417"/>
        </w:tabs>
        <w:ind w:left="4457" w:hanging="567"/>
      </w:pPr>
    </w:lvl>
    <w:lvl w:ilvl="3" w:tentative="0">
      <w:start w:val="1"/>
      <w:numFmt w:val="decimal"/>
      <w:lvlText w:val="%1.%2.%3.%4"/>
      <w:lvlJc w:val="left"/>
      <w:pPr>
        <w:tabs>
          <w:tab w:val="left" w:pos="1984"/>
        </w:tabs>
        <w:ind w:left="5024" w:hanging="708"/>
      </w:pPr>
    </w:lvl>
    <w:lvl w:ilvl="4" w:tentative="0">
      <w:start w:val="1"/>
      <w:numFmt w:val="decimal"/>
      <w:lvlText w:val="%1.%2.%3.%4.%5"/>
      <w:lvlJc w:val="left"/>
      <w:pPr>
        <w:tabs>
          <w:tab w:val="left" w:pos="2551"/>
        </w:tabs>
        <w:ind w:left="5591" w:hanging="850"/>
      </w:pPr>
    </w:lvl>
    <w:lvl w:ilvl="5" w:tentative="0">
      <w:start w:val="1"/>
      <w:numFmt w:val="decimal"/>
      <w:lvlText w:val="%1.%2.%3.%4.%5.%6"/>
      <w:lvlJc w:val="left"/>
      <w:pPr>
        <w:tabs>
          <w:tab w:val="left" w:pos="3260"/>
        </w:tabs>
        <w:ind w:left="6300" w:hanging="1134"/>
      </w:pPr>
    </w:lvl>
    <w:lvl w:ilvl="6" w:tentative="0">
      <w:start w:val="1"/>
      <w:numFmt w:val="decimal"/>
      <w:lvlText w:val="%1.%2.%3.%4.%5.%6.%7"/>
      <w:lvlJc w:val="left"/>
      <w:pPr>
        <w:tabs>
          <w:tab w:val="left" w:pos="3827"/>
        </w:tabs>
        <w:ind w:left="6867" w:hanging="1276"/>
      </w:pPr>
    </w:lvl>
    <w:lvl w:ilvl="7" w:tentative="0">
      <w:start w:val="1"/>
      <w:numFmt w:val="decimal"/>
      <w:lvlText w:val="%1.%2.%3.%4.%5.%6.%7.%8"/>
      <w:lvlJc w:val="left"/>
      <w:pPr>
        <w:tabs>
          <w:tab w:val="left" w:pos="4394"/>
        </w:tabs>
        <w:ind w:left="7434" w:hanging="1418"/>
      </w:pPr>
    </w:lvl>
    <w:lvl w:ilvl="8" w:tentative="0">
      <w:start w:val="1"/>
      <w:numFmt w:val="decimal"/>
      <w:lvlText w:val="%1.%2.%3.%4.%5.%6.%7.%8.%9"/>
      <w:lvlJc w:val="left"/>
      <w:pPr>
        <w:tabs>
          <w:tab w:val="left" w:pos="5102"/>
        </w:tabs>
        <w:ind w:left="8142" w:hanging="1700"/>
      </w:pPr>
    </w:lvl>
  </w:abstractNum>
  <w:abstractNum w:abstractNumId="1">
    <w:nsid w:val="02837933"/>
    <w:multiLevelType w:val="multilevel"/>
    <w:tmpl w:val="02837933"/>
    <w:lvl w:ilvl="0" w:tentative="0">
      <w:start w:val="1"/>
      <w:numFmt w:val="decimal"/>
      <w:pStyle w:val="69"/>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6"/>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9"/>
      <w:lvlText w:val="%1)"/>
      <w:lvlJc w:val="left"/>
      <w:pPr>
        <w:tabs>
          <w:tab w:val="left" w:pos="851"/>
        </w:tabs>
        <w:ind w:left="851" w:hanging="426"/>
      </w:pPr>
      <w:rPr>
        <w:rFonts w:hint="eastAsia" w:ascii="宋体" w:hAnsi="Times New Roman" w:eastAsia="宋体"/>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88"/>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A8D1887"/>
    <w:multiLevelType w:val="multilevel"/>
    <w:tmpl w:val="5A8D1887"/>
    <w:lvl w:ilvl="0" w:tentative="0">
      <w:start w:val="1"/>
      <w:numFmt w:val="decimal"/>
      <w:pStyle w:val="245"/>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1"/>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0"/>
      <w:suff w:val="nothing"/>
      <w:lvlText w:val="%1%2.%3.%4　"/>
      <w:lvlJc w:val="left"/>
      <w:pPr>
        <w:ind w:left="0" w:firstLine="0"/>
      </w:pPr>
      <w:rPr>
        <w:rFonts w:hint="eastAsia" w:ascii="黑体" w:eastAsia="黑体"/>
        <w:b w:val="0"/>
        <w:i w:val="0"/>
        <w:sz w:val="21"/>
      </w:rPr>
    </w:lvl>
    <w:lvl w:ilvl="4" w:tentative="0">
      <w:start w:val="1"/>
      <w:numFmt w:val="decimal"/>
      <w:pStyle w:val="99"/>
      <w:suff w:val="nothing"/>
      <w:lvlText w:val="%1%2.%3.%4.%5　"/>
      <w:lvlJc w:val="left"/>
      <w:pPr>
        <w:ind w:left="0" w:firstLine="0"/>
      </w:pPr>
      <w:rPr>
        <w:rFonts w:hint="eastAsia" w:ascii="黑体" w:eastAsia="黑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9"/>
  </w:num>
  <w:num w:numId="3">
    <w:abstractNumId w:val="7"/>
  </w:num>
  <w:num w:numId="4">
    <w:abstractNumId w:val="25"/>
  </w:num>
  <w:num w:numId="5">
    <w:abstractNumId w:val="20"/>
  </w:num>
  <w:num w:numId="6">
    <w:abstractNumId w:val="15"/>
  </w:num>
  <w:num w:numId="7">
    <w:abstractNumId w:val="10"/>
  </w:num>
  <w:num w:numId="8">
    <w:abstractNumId w:val="4"/>
  </w:num>
  <w:num w:numId="9">
    <w:abstractNumId w:val="11"/>
  </w:num>
  <w:num w:numId="10">
    <w:abstractNumId w:val="18"/>
  </w:num>
  <w:num w:numId="11">
    <w:abstractNumId w:val="27"/>
  </w:num>
  <w:num w:numId="12">
    <w:abstractNumId w:val="13"/>
  </w:num>
  <w:num w:numId="13">
    <w:abstractNumId w:val="14"/>
  </w:num>
  <w:num w:numId="14">
    <w:abstractNumId w:val="9"/>
  </w:num>
  <w:num w:numId="15">
    <w:abstractNumId w:val="21"/>
  </w:num>
  <w:num w:numId="16">
    <w:abstractNumId w:val="0"/>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3"/>
  </w:num>
  <w:num w:numId="24">
    <w:abstractNumId w:val="8"/>
  </w:num>
  <w:num w:numId="25">
    <w:abstractNumId w:val="28"/>
  </w:num>
  <w:num w:numId="26">
    <w:abstractNumId w:val="30"/>
  </w:num>
  <w:num w:numId="27">
    <w:abstractNumId w:val="3"/>
  </w:num>
  <w:num w:numId="28">
    <w:abstractNumId w:val="6"/>
  </w:num>
  <w:num w:numId="29">
    <w:abstractNumId w:val="16"/>
  </w:num>
  <w:num w:numId="30">
    <w:abstractNumId w:val="26"/>
  </w:num>
  <w:num w:numId="31">
    <w:abstractNumId w:val="24"/>
  </w:num>
  <w:num w:numId="32">
    <w:abstractNumId w:val="22"/>
  </w:num>
  <w:num w:numId="33">
    <w:abstractNumId w:val="5"/>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柯 张">
    <w15:presenceInfo w15:providerId="None" w15:userId="柯 张"/>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attachedTemplate r:id="rId1"/>
  <w:revisionView w:markup="0"/>
  <w:documentProtection w:edit="forms"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32DFA"/>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41F81"/>
    <w:rsid w:val="0004249A"/>
    <w:rsid w:val="00043282"/>
    <w:rsid w:val="00044286"/>
    <w:rsid w:val="00044869"/>
    <w:rsid w:val="00045A95"/>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CDC"/>
    <w:rsid w:val="00094D73"/>
    <w:rsid w:val="00096D63"/>
    <w:rsid w:val="000A0B60"/>
    <w:rsid w:val="000A0EB8"/>
    <w:rsid w:val="000A19FC"/>
    <w:rsid w:val="000A296B"/>
    <w:rsid w:val="000A31F2"/>
    <w:rsid w:val="000A345F"/>
    <w:rsid w:val="000A35DC"/>
    <w:rsid w:val="000A72EA"/>
    <w:rsid w:val="000A7311"/>
    <w:rsid w:val="000B060F"/>
    <w:rsid w:val="000B1065"/>
    <w:rsid w:val="000B1592"/>
    <w:rsid w:val="000B1FF2"/>
    <w:rsid w:val="000B2FE5"/>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2A0B"/>
    <w:rsid w:val="000F4050"/>
    <w:rsid w:val="000F4AEA"/>
    <w:rsid w:val="000F57E0"/>
    <w:rsid w:val="000F67E9"/>
    <w:rsid w:val="00104926"/>
    <w:rsid w:val="00110ADB"/>
    <w:rsid w:val="00113B1E"/>
    <w:rsid w:val="00114E4E"/>
    <w:rsid w:val="0011711C"/>
    <w:rsid w:val="00121BBD"/>
    <w:rsid w:val="00124AA1"/>
    <w:rsid w:val="00124E4F"/>
    <w:rsid w:val="0012503B"/>
    <w:rsid w:val="001260B7"/>
    <w:rsid w:val="001265CB"/>
    <w:rsid w:val="00131350"/>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3056"/>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E5F"/>
    <w:rsid w:val="0017340B"/>
    <w:rsid w:val="0017370A"/>
    <w:rsid w:val="00173FB1"/>
    <w:rsid w:val="00175650"/>
    <w:rsid w:val="00176DFD"/>
    <w:rsid w:val="0018198D"/>
    <w:rsid w:val="00182883"/>
    <w:rsid w:val="00183191"/>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2F2"/>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3CA"/>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87E"/>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D9C"/>
    <w:rsid w:val="002A7F44"/>
    <w:rsid w:val="002B0C40"/>
    <w:rsid w:val="002B1966"/>
    <w:rsid w:val="002B4508"/>
    <w:rsid w:val="002B5779"/>
    <w:rsid w:val="002B6E30"/>
    <w:rsid w:val="002B7332"/>
    <w:rsid w:val="002B7F51"/>
    <w:rsid w:val="002C09E7"/>
    <w:rsid w:val="002C1E06"/>
    <w:rsid w:val="002C3F07"/>
    <w:rsid w:val="002C5278"/>
    <w:rsid w:val="002C7533"/>
    <w:rsid w:val="002C7EBB"/>
    <w:rsid w:val="002D06C1"/>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988"/>
    <w:rsid w:val="003221B4"/>
    <w:rsid w:val="0032258D"/>
    <w:rsid w:val="00322E62"/>
    <w:rsid w:val="003230E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A43"/>
    <w:rsid w:val="003C656B"/>
    <w:rsid w:val="003C7AF6"/>
    <w:rsid w:val="003D0519"/>
    <w:rsid w:val="003D0FF6"/>
    <w:rsid w:val="003D262C"/>
    <w:rsid w:val="003D3110"/>
    <w:rsid w:val="003D35C9"/>
    <w:rsid w:val="003D6D61"/>
    <w:rsid w:val="003E091D"/>
    <w:rsid w:val="003E1455"/>
    <w:rsid w:val="003E1C53"/>
    <w:rsid w:val="003E287A"/>
    <w:rsid w:val="003E2A69"/>
    <w:rsid w:val="003E2D49"/>
    <w:rsid w:val="003E2FD4"/>
    <w:rsid w:val="003E49F6"/>
    <w:rsid w:val="003E660F"/>
    <w:rsid w:val="003F0841"/>
    <w:rsid w:val="003F1E41"/>
    <w:rsid w:val="003F23D3"/>
    <w:rsid w:val="003F336F"/>
    <w:rsid w:val="003F3F08"/>
    <w:rsid w:val="003F49F1"/>
    <w:rsid w:val="003F6272"/>
    <w:rsid w:val="00400E72"/>
    <w:rsid w:val="00401400"/>
    <w:rsid w:val="00404869"/>
    <w:rsid w:val="00405884"/>
    <w:rsid w:val="00405CC8"/>
    <w:rsid w:val="0040789C"/>
    <w:rsid w:val="00407D39"/>
    <w:rsid w:val="00413441"/>
    <w:rsid w:val="0041477A"/>
    <w:rsid w:val="004167A3"/>
    <w:rsid w:val="00420CF2"/>
    <w:rsid w:val="00422E3B"/>
    <w:rsid w:val="00423EF1"/>
    <w:rsid w:val="0043080E"/>
    <w:rsid w:val="00431702"/>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3818"/>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4AA2"/>
    <w:rsid w:val="004B5121"/>
    <w:rsid w:val="004B7E19"/>
    <w:rsid w:val="004C1FBC"/>
    <w:rsid w:val="004C25A2"/>
    <w:rsid w:val="004C3F1D"/>
    <w:rsid w:val="004C458D"/>
    <w:rsid w:val="004C7556"/>
    <w:rsid w:val="004C7E8B"/>
    <w:rsid w:val="004C7E9D"/>
    <w:rsid w:val="004C7F67"/>
    <w:rsid w:val="004D076D"/>
    <w:rsid w:val="004D0EF1"/>
    <w:rsid w:val="004D2253"/>
    <w:rsid w:val="004D4406"/>
    <w:rsid w:val="004D5EED"/>
    <w:rsid w:val="004D7C42"/>
    <w:rsid w:val="004E0465"/>
    <w:rsid w:val="004E0E3D"/>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57F"/>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119C"/>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1CB"/>
    <w:rsid w:val="005C29B8"/>
    <w:rsid w:val="005C5F21"/>
    <w:rsid w:val="005C7156"/>
    <w:rsid w:val="005D076E"/>
    <w:rsid w:val="005D0C75"/>
    <w:rsid w:val="005D24B9"/>
    <w:rsid w:val="005D4171"/>
    <w:rsid w:val="005D5660"/>
    <w:rsid w:val="005D6A95"/>
    <w:rsid w:val="005D6B2C"/>
    <w:rsid w:val="005D6D9C"/>
    <w:rsid w:val="005D7D45"/>
    <w:rsid w:val="005E2335"/>
    <w:rsid w:val="005E34CA"/>
    <w:rsid w:val="005E3C18"/>
    <w:rsid w:val="005E4250"/>
    <w:rsid w:val="005E6812"/>
    <w:rsid w:val="005E7881"/>
    <w:rsid w:val="005E78E0"/>
    <w:rsid w:val="005F0D9C"/>
    <w:rsid w:val="005F284E"/>
    <w:rsid w:val="005F33AF"/>
    <w:rsid w:val="005F3C24"/>
    <w:rsid w:val="006015CE"/>
    <w:rsid w:val="00604784"/>
    <w:rsid w:val="00605719"/>
    <w:rsid w:val="00606419"/>
    <w:rsid w:val="00607D29"/>
    <w:rsid w:val="00610863"/>
    <w:rsid w:val="00611FD9"/>
    <w:rsid w:val="00612952"/>
    <w:rsid w:val="00614CC1"/>
    <w:rsid w:val="00615A9D"/>
    <w:rsid w:val="00617387"/>
    <w:rsid w:val="00617499"/>
    <w:rsid w:val="006205D6"/>
    <w:rsid w:val="00620D96"/>
    <w:rsid w:val="006252D8"/>
    <w:rsid w:val="006259BC"/>
    <w:rsid w:val="0062636B"/>
    <w:rsid w:val="0063160F"/>
    <w:rsid w:val="00632182"/>
    <w:rsid w:val="00632505"/>
    <w:rsid w:val="00632AE0"/>
    <w:rsid w:val="00633C17"/>
    <w:rsid w:val="00634D9E"/>
    <w:rsid w:val="006369EE"/>
    <w:rsid w:val="00636E3E"/>
    <w:rsid w:val="006379F7"/>
    <w:rsid w:val="00637BF8"/>
    <w:rsid w:val="00637E4D"/>
    <w:rsid w:val="00640620"/>
    <w:rsid w:val="00641A1F"/>
    <w:rsid w:val="00643123"/>
    <w:rsid w:val="00645904"/>
    <w:rsid w:val="00646D3D"/>
    <w:rsid w:val="00651ACB"/>
    <w:rsid w:val="00651C47"/>
    <w:rsid w:val="00652AB2"/>
    <w:rsid w:val="00653FED"/>
    <w:rsid w:val="00654292"/>
    <w:rsid w:val="00654EC0"/>
    <w:rsid w:val="0065525B"/>
    <w:rsid w:val="006552A2"/>
    <w:rsid w:val="00655D4F"/>
    <w:rsid w:val="00656D29"/>
    <w:rsid w:val="00657245"/>
    <w:rsid w:val="006640E5"/>
    <w:rsid w:val="006646F1"/>
    <w:rsid w:val="00664929"/>
    <w:rsid w:val="00664F62"/>
    <w:rsid w:val="006655E1"/>
    <w:rsid w:val="006670E4"/>
    <w:rsid w:val="00672060"/>
    <w:rsid w:val="00672BFD"/>
    <w:rsid w:val="006735F9"/>
    <w:rsid w:val="00673868"/>
    <w:rsid w:val="006770F4"/>
    <w:rsid w:val="00677A84"/>
    <w:rsid w:val="00677FD0"/>
    <w:rsid w:val="0068026D"/>
    <w:rsid w:val="00680A27"/>
    <w:rsid w:val="006816A4"/>
    <w:rsid w:val="006819B8"/>
    <w:rsid w:val="00682B86"/>
    <w:rsid w:val="006840A6"/>
    <w:rsid w:val="006850CD"/>
    <w:rsid w:val="00685115"/>
    <w:rsid w:val="00685AAB"/>
    <w:rsid w:val="006873EF"/>
    <w:rsid w:val="00687EC8"/>
    <w:rsid w:val="006909B5"/>
    <w:rsid w:val="00691564"/>
    <w:rsid w:val="00692C7E"/>
    <w:rsid w:val="00693DB1"/>
    <w:rsid w:val="00693F43"/>
    <w:rsid w:val="00694EAA"/>
    <w:rsid w:val="006966E6"/>
    <w:rsid w:val="00696B87"/>
    <w:rsid w:val="006A07AA"/>
    <w:rsid w:val="006A0DDB"/>
    <w:rsid w:val="006A25E5"/>
    <w:rsid w:val="006A2B46"/>
    <w:rsid w:val="006A336D"/>
    <w:rsid w:val="006A37B9"/>
    <w:rsid w:val="006A482D"/>
    <w:rsid w:val="006B103D"/>
    <w:rsid w:val="006B2672"/>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523A"/>
    <w:rsid w:val="006D6593"/>
    <w:rsid w:val="006D7841"/>
    <w:rsid w:val="006E264D"/>
    <w:rsid w:val="006E33AD"/>
    <w:rsid w:val="006E5654"/>
    <w:rsid w:val="006E640E"/>
    <w:rsid w:val="006F03A8"/>
    <w:rsid w:val="006F0978"/>
    <w:rsid w:val="006F1F26"/>
    <w:rsid w:val="006F2ACA"/>
    <w:rsid w:val="006F2ADC"/>
    <w:rsid w:val="006F2BFE"/>
    <w:rsid w:val="006F31E9"/>
    <w:rsid w:val="006F40C3"/>
    <w:rsid w:val="006F43D2"/>
    <w:rsid w:val="006F47B3"/>
    <w:rsid w:val="006F52FC"/>
    <w:rsid w:val="006F6284"/>
    <w:rsid w:val="007002C5"/>
    <w:rsid w:val="00700AE0"/>
    <w:rsid w:val="00704387"/>
    <w:rsid w:val="007071CA"/>
    <w:rsid w:val="00707669"/>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5C43"/>
    <w:rsid w:val="00765EFB"/>
    <w:rsid w:val="007671CA"/>
    <w:rsid w:val="00767B4D"/>
    <w:rsid w:val="00767C61"/>
    <w:rsid w:val="0077008A"/>
    <w:rsid w:val="00773C1F"/>
    <w:rsid w:val="00774DA4"/>
    <w:rsid w:val="007755D8"/>
    <w:rsid w:val="00776599"/>
    <w:rsid w:val="007778D0"/>
    <w:rsid w:val="0078114B"/>
    <w:rsid w:val="00781A74"/>
    <w:rsid w:val="00781DD2"/>
    <w:rsid w:val="00783ECF"/>
    <w:rsid w:val="0078413A"/>
    <w:rsid w:val="00785BF6"/>
    <w:rsid w:val="007959E8"/>
    <w:rsid w:val="00795E9C"/>
    <w:rsid w:val="00796127"/>
    <w:rsid w:val="007961E0"/>
    <w:rsid w:val="007A0521"/>
    <w:rsid w:val="007A2E12"/>
    <w:rsid w:val="007A3475"/>
    <w:rsid w:val="007A41C8"/>
    <w:rsid w:val="007A54CE"/>
    <w:rsid w:val="007A6FD9"/>
    <w:rsid w:val="007A747C"/>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0F9A"/>
    <w:rsid w:val="0083348C"/>
    <w:rsid w:val="00834692"/>
    <w:rsid w:val="008354CF"/>
    <w:rsid w:val="00835B9A"/>
    <w:rsid w:val="008373D3"/>
    <w:rsid w:val="00840617"/>
    <w:rsid w:val="00840F84"/>
    <w:rsid w:val="00842148"/>
    <w:rsid w:val="00842903"/>
    <w:rsid w:val="00842A47"/>
    <w:rsid w:val="00843C13"/>
    <w:rsid w:val="008454F8"/>
    <w:rsid w:val="00845E27"/>
    <w:rsid w:val="00846636"/>
    <w:rsid w:val="0085173A"/>
    <w:rsid w:val="00851F4E"/>
    <w:rsid w:val="0085405F"/>
    <w:rsid w:val="008563AD"/>
    <w:rsid w:val="008603CE"/>
    <w:rsid w:val="008620FC"/>
    <w:rsid w:val="0086213F"/>
    <w:rsid w:val="008627A5"/>
    <w:rsid w:val="00863E05"/>
    <w:rsid w:val="00865ACA"/>
    <w:rsid w:val="00865D28"/>
    <w:rsid w:val="00865F85"/>
    <w:rsid w:val="008666AA"/>
    <w:rsid w:val="00867C10"/>
    <w:rsid w:val="00870439"/>
    <w:rsid w:val="008707EA"/>
    <w:rsid w:val="00870DA1"/>
    <w:rsid w:val="00875486"/>
    <w:rsid w:val="008754C9"/>
    <w:rsid w:val="00883AAB"/>
    <w:rsid w:val="00883B5A"/>
    <w:rsid w:val="00883F93"/>
    <w:rsid w:val="00884DB3"/>
    <w:rsid w:val="00885A9D"/>
    <w:rsid w:val="00885CA5"/>
    <w:rsid w:val="00885F95"/>
    <w:rsid w:val="008864F6"/>
    <w:rsid w:val="00886F8E"/>
    <w:rsid w:val="0089049D"/>
    <w:rsid w:val="008928C9"/>
    <w:rsid w:val="008930CB"/>
    <w:rsid w:val="008938DC"/>
    <w:rsid w:val="00893FD1"/>
    <w:rsid w:val="00894836"/>
    <w:rsid w:val="00895172"/>
    <w:rsid w:val="00895680"/>
    <w:rsid w:val="00896DFF"/>
    <w:rsid w:val="0089762C"/>
    <w:rsid w:val="008A1315"/>
    <w:rsid w:val="008A173B"/>
    <w:rsid w:val="008A1893"/>
    <w:rsid w:val="008A3FAB"/>
    <w:rsid w:val="008A57E6"/>
    <w:rsid w:val="008A67A5"/>
    <w:rsid w:val="008A6AB1"/>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5AF7"/>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305B5"/>
    <w:rsid w:val="0093658B"/>
    <w:rsid w:val="009378DD"/>
    <w:rsid w:val="00940BA1"/>
    <w:rsid w:val="009419E8"/>
    <w:rsid w:val="009429D5"/>
    <w:rsid w:val="00942BF1"/>
    <w:rsid w:val="00943165"/>
    <w:rsid w:val="00944F97"/>
    <w:rsid w:val="00945180"/>
    <w:rsid w:val="00945428"/>
    <w:rsid w:val="00945675"/>
    <w:rsid w:val="0094607B"/>
    <w:rsid w:val="00953604"/>
    <w:rsid w:val="0095496B"/>
    <w:rsid w:val="00957636"/>
    <w:rsid w:val="00960F1E"/>
    <w:rsid w:val="009610DC"/>
    <w:rsid w:val="00961490"/>
    <w:rsid w:val="009624B7"/>
    <w:rsid w:val="00962649"/>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415"/>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27F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5998"/>
    <w:rsid w:val="009D64A4"/>
    <w:rsid w:val="009D6BCA"/>
    <w:rsid w:val="009E0F62"/>
    <w:rsid w:val="009E4A58"/>
    <w:rsid w:val="009E5844"/>
    <w:rsid w:val="009E5A2D"/>
    <w:rsid w:val="009E5AB2"/>
    <w:rsid w:val="009E6219"/>
    <w:rsid w:val="009E67CC"/>
    <w:rsid w:val="009F03B3"/>
    <w:rsid w:val="009F16BF"/>
    <w:rsid w:val="009F3728"/>
    <w:rsid w:val="009F42B0"/>
    <w:rsid w:val="00A0096C"/>
    <w:rsid w:val="00A01667"/>
    <w:rsid w:val="00A01757"/>
    <w:rsid w:val="00A028C0"/>
    <w:rsid w:val="00A02BAE"/>
    <w:rsid w:val="00A06A6B"/>
    <w:rsid w:val="00A07E47"/>
    <w:rsid w:val="00A110A1"/>
    <w:rsid w:val="00A125DD"/>
    <w:rsid w:val="00A129D0"/>
    <w:rsid w:val="00A12C33"/>
    <w:rsid w:val="00A138BA"/>
    <w:rsid w:val="00A14C8E"/>
    <w:rsid w:val="00A153D9"/>
    <w:rsid w:val="00A15F09"/>
    <w:rsid w:val="00A169B6"/>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47490"/>
    <w:rsid w:val="00A50885"/>
    <w:rsid w:val="00A51D2A"/>
    <w:rsid w:val="00A5329B"/>
    <w:rsid w:val="00A5363E"/>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A7FCA"/>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6AD"/>
    <w:rsid w:val="00AD4126"/>
    <w:rsid w:val="00AD421C"/>
    <w:rsid w:val="00AD4232"/>
    <w:rsid w:val="00AD44FA"/>
    <w:rsid w:val="00AE070A"/>
    <w:rsid w:val="00AE101C"/>
    <w:rsid w:val="00AE1B73"/>
    <w:rsid w:val="00AE2A69"/>
    <w:rsid w:val="00AE37E5"/>
    <w:rsid w:val="00AE3A64"/>
    <w:rsid w:val="00AE3F30"/>
    <w:rsid w:val="00AE5EB4"/>
    <w:rsid w:val="00AE75C1"/>
    <w:rsid w:val="00AF0C18"/>
    <w:rsid w:val="00AF1C99"/>
    <w:rsid w:val="00AF3ED9"/>
    <w:rsid w:val="00AF47C5"/>
    <w:rsid w:val="00AF5398"/>
    <w:rsid w:val="00AF53E8"/>
    <w:rsid w:val="00B00800"/>
    <w:rsid w:val="00B01F1F"/>
    <w:rsid w:val="00B049AF"/>
    <w:rsid w:val="00B07242"/>
    <w:rsid w:val="00B10534"/>
    <w:rsid w:val="00B113DB"/>
    <w:rsid w:val="00B11D8A"/>
    <w:rsid w:val="00B12981"/>
    <w:rsid w:val="00B147DD"/>
    <w:rsid w:val="00B14882"/>
    <w:rsid w:val="00B156FD"/>
    <w:rsid w:val="00B16FD1"/>
    <w:rsid w:val="00B204C6"/>
    <w:rsid w:val="00B21F61"/>
    <w:rsid w:val="00B23E3E"/>
    <w:rsid w:val="00B261F1"/>
    <w:rsid w:val="00B265BC"/>
    <w:rsid w:val="00B26F15"/>
    <w:rsid w:val="00B27D86"/>
    <w:rsid w:val="00B31FB1"/>
    <w:rsid w:val="00B329BD"/>
    <w:rsid w:val="00B33952"/>
    <w:rsid w:val="00B33C5E"/>
    <w:rsid w:val="00B342F4"/>
    <w:rsid w:val="00B34369"/>
    <w:rsid w:val="00B34DC2"/>
    <w:rsid w:val="00B3652B"/>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2880"/>
    <w:rsid w:val="00B758BF"/>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0E33"/>
    <w:rsid w:val="00C21540"/>
    <w:rsid w:val="00C21906"/>
    <w:rsid w:val="00C21BFA"/>
    <w:rsid w:val="00C21CC5"/>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057C"/>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54F"/>
    <w:rsid w:val="00C84E33"/>
    <w:rsid w:val="00C86D6F"/>
    <w:rsid w:val="00C87E3E"/>
    <w:rsid w:val="00C905FC"/>
    <w:rsid w:val="00C92D03"/>
    <w:rsid w:val="00C9319C"/>
    <w:rsid w:val="00C9435D"/>
    <w:rsid w:val="00C94DF2"/>
    <w:rsid w:val="00C95BFD"/>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30EA"/>
    <w:rsid w:val="00CE3E3F"/>
    <w:rsid w:val="00CE4697"/>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608B9"/>
    <w:rsid w:val="00D66846"/>
    <w:rsid w:val="00D675FB"/>
    <w:rsid w:val="00D71CF4"/>
    <w:rsid w:val="00D71F25"/>
    <w:rsid w:val="00D72A9C"/>
    <w:rsid w:val="00D73419"/>
    <w:rsid w:val="00D73ADC"/>
    <w:rsid w:val="00D74150"/>
    <w:rsid w:val="00D749D4"/>
    <w:rsid w:val="00D74B16"/>
    <w:rsid w:val="00D77031"/>
    <w:rsid w:val="00D83D00"/>
    <w:rsid w:val="00D84941"/>
    <w:rsid w:val="00D84FA1"/>
    <w:rsid w:val="00D851F0"/>
    <w:rsid w:val="00D86CCC"/>
    <w:rsid w:val="00D86DB7"/>
    <w:rsid w:val="00D87BF5"/>
    <w:rsid w:val="00D90721"/>
    <w:rsid w:val="00D926D0"/>
    <w:rsid w:val="00D93030"/>
    <w:rsid w:val="00D94558"/>
    <w:rsid w:val="00D950E1"/>
    <w:rsid w:val="00D952A6"/>
    <w:rsid w:val="00D95DCE"/>
    <w:rsid w:val="00D96A99"/>
    <w:rsid w:val="00D9723A"/>
    <w:rsid w:val="00D97F99"/>
    <w:rsid w:val="00DA1D33"/>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292A"/>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03F0"/>
    <w:rsid w:val="00E01138"/>
    <w:rsid w:val="00E02DFB"/>
    <w:rsid w:val="00E030F9"/>
    <w:rsid w:val="00E0311A"/>
    <w:rsid w:val="00E03138"/>
    <w:rsid w:val="00E037C7"/>
    <w:rsid w:val="00E04B9B"/>
    <w:rsid w:val="00E06404"/>
    <w:rsid w:val="00E07589"/>
    <w:rsid w:val="00E11A85"/>
    <w:rsid w:val="00E11B3F"/>
    <w:rsid w:val="00E12495"/>
    <w:rsid w:val="00E15CCD"/>
    <w:rsid w:val="00E15F05"/>
    <w:rsid w:val="00E202EF"/>
    <w:rsid w:val="00E210B5"/>
    <w:rsid w:val="00E21855"/>
    <w:rsid w:val="00E232C0"/>
    <w:rsid w:val="00E2552F"/>
    <w:rsid w:val="00E2798F"/>
    <w:rsid w:val="00E3137A"/>
    <w:rsid w:val="00E3259B"/>
    <w:rsid w:val="00E32CCF"/>
    <w:rsid w:val="00E32D5A"/>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92A"/>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798A"/>
    <w:rsid w:val="00E77A03"/>
    <w:rsid w:val="00E80381"/>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637"/>
    <w:rsid w:val="00EF7E72"/>
    <w:rsid w:val="00F00967"/>
    <w:rsid w:val="00F030FB"/>
    <w:rsid w:val="00F06D1D"/>
    <w:rsid w:val="00F06D37"/>
    <w:rsid w:val="00F07B9D"/>
    <w:rsid w:val="00F1091D"/>
    <w:rsid w:val="00F11586"/>
    <w:rsid w:val="00F1183B"/>
    <w:rsid w:val="00F11C9F"/>
    <w:rsid w:val="00F12263"/>
    <w:rsid w:val="00F1409D"/>
    <w:rsid w:val="00F14214"/>
    <w:rsid w:val="00F157A9"/>
    <w:rsid w:val="00F16F00"/>
    <w:rsid w:val="00F20AC4"/>
    <w:rsid w:val="00F21C86"/>
    <w:rsid w:val="00F228D4"/>
    <w:rsid w:val="00F23C5A"/>
    <w:rsid w:val="00F23F44"/>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76938"/>
    <w:rsid w:val="00F8287C"/>
    <w:rsid w:val="00F833BA"/>
    <w:rsid w:val="00F83574"/>
    <w:rsid w:val="00F84FD0"/>
    <w:rsid w:val="00F859A8"/>
    <w:rsid w:val="00F86D87"/>
    <w:rsid w:val="00F86E96"/>
    <w:rsid w:val="00F9108B"/>
    <w:rsid w:val="00F91349"/>
    <w:rsid w:val="00F9384E"/>
    <w:rsid w:val="00F93A8A"/>
    <w:rsid w:val="00F95248"/>
    <w:rsid w:val="00F956A9"/>
    <w:rsid w:val="00F963ED"/>
    <w:rsid w:val="00F966CF"/>
    <w:rsid w:val="00F96CAE"/>
    <w:rsid w:val="00F97C99"/>
    <w:rsid w:val="00FA662D"/>
    <w:rsid w:val="00FA6FBB"/>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565C22"/>
    <w:rsid w:val="01CC3898"/>
    <w:rsid w:val="01CD71AC"/>
    <w:rsid w:val="02087165"/>
    <w:rsid w:val="023712B1"/>
    <w:rsid w:val="02535CBD"/>
    <w:rsid w:val="025F7408"/>
    <w:rsid w:val="026D3223"/>
    <w:rsid w:val="03064AEB"/>
    <w:rsid w:val="032C2C0D"/>
    <w:rsid w:val="03443777"/>
    <w:rsid w:val="03C10461"/>
    <w:rsid w:val="03E2177F"/>
    <w:rsid w:val="04497264"/>
    <w:rsid w:val="046048F9"/>
    <w:rsid w:val="04682B97"/>
    <w:rsid w:val="049F51EA"/>
    <w:rsid w:val="04DF0901"/>
    <w:rsid w:val="04FE13F4"/>
    <w:rsid w:val="053E7324"/>
    <w:rsid w:val="055E62CD"/>
    <w:rsid w:val="05661057"/>
    <w:rsid w:val="05DE7F94"/>
    <w:rsid w:val="05DF5861"/>
    <w:rsid w:val="05F96A7B"/>
    <w:rsid w:val="064A5F1B"/>
    <w:rsid w:val="06537525"/>
    <w:rsid w:val="067768FD"/>
    <w:rsid w:val="06B40013"/>
    <w:rsid w:val="06C867AC"/>
    <w:rsid w:val="06CC79F8"/>
    <w:rsid w:val="06E17D3B"/>
    <w:rsid w:val="06F16BC5"/>
    <w:rsid w:val="07104B0B"/>
    <w:rsid w:val="071F7EBF"/>
    <w:rsid w:val="073F557B"/>
    <w:rsid w:val="0740666B"/>
    <w:rsid w:val="07460E92"/>
    <w:rsid w:val="07801116"/>
    <w:rsid w:val="07960AD9"/>
    <w:rsid w:val="07BC4304"/>
    <w:rsid w:val="07C4574A"/>
    <w:rsid w:val="07CF32A0"/>
    <w:rsid w:val="084E0DB4"/>
    <w:rsid w:val="08674B68"/>
    <w:rsid w:val="08900771"/>
    <w:rsid w:val="08FA55DB"/>
    <w:rsid w:val="09067A27"/>
    <w:rsid w:val="09095984"/>
    <w:rsid w:val="09192547"/>
    <w:rsid w:val="09390D12"/>
    <w:rsid w:val="09BA4874"/>
    <w:rsid w:val="09EA22E2"/>
    <w:rsid w:val="0A2B694C"/>
    <w:rsid w:val="0AD927F5"/>
    <w:rsid w:val="0AE53B72"/>
    <w:rsid w:val="0AFF530E"/>
    <w:rsid w:val="0B3B5214"/>
    <w:rsid w:val="0B41054B"/>
    <w:rsid w:val="0B4317FB"/>
    <w:rsid w:val="0B9461EA"/>
    <w:rsid w:val="0B9D44C7"/>
    <w:rsid w:val="0C526720"/>
    <w:rsid w:val="0D154730"/>
    <w:rsid w:val="0D6D5E4C"/>
    <w:rsid w:val="0D9F2963"/>
    <w:rsid w:val="0DA9789D"/>
    <w:rsid w:val="0DB57543"/>
    <w:rsid w:val="0DC25855"/>
    <w:rsid w:val="0DCD0CAA"/>
    <w:rsid w:val="0DE7165B"/>
    <w:rsid w:val="0DF46DC4"/>
    <w:rsid w:val="0DF92677"/>
    <w:rsid w:val="0E325320"/>
    <w:rsid w:val="0E721A6C"/>
    <w:rsid w:val="0E8F26AA"/>
    <w:rsid w:val="0E927E97"/>
    <w:rsid w:val="0F1D7D7F"/>
    <w:rsid w:val="0F207E9C"/>
    <w:rsid w:val="0F7C616D"/>
    <w:rsid w:val="0FC86E19"/>
    <w:rsid w:val="0FE200C5"/>
    <w:rsid w:val="0FED7751"/>
    <w:rsid w:val="1066305F"/>
    <w:rsid w:val="118C2C11"/>
    <w:rsid w:val="11AA3420"/>
    <w:rsid w:val="11BD5E31"/>
    <w:rsid w:val="11F9009B"/>
    <w:rsid w:val="124927AF"/>
    <w:rsid w:val="126B3D39"/>
    <w:rsid w:val="128122DC"/>
    <w:rsid w:val="12902616"/>
    <w:rsid w:val="12ED62C5"/>
    <w:rsid w:val="12F71599"/>
    <w:rsid w:val="1312127D"/>
    <w:rsid w:val="13204ECA"/>
    <w:rsid w:val="13BF199E"/>
    <w:rsid w:val="14075E6A"/>
    <w:rsid w:val="1434094E"/>
    <w:rsid w:val="14983A03"/>
    <w:rsid w:val="14BB072B"/>
    <w:rsid w:val="14C667C2"/>
    <w:rsid w:val="15FE40E3"/>
    <w:rsid w:val="162815F2"/>
    <w:rsid w:val="162D6057"/>
    <w:rsid w:val="16A63835"/>
    <w:rsid w:val="16C07E56"/>
    <w:rsid w:val="17121B12"/>
    <w:rsid w:val="17671E03"/>
    <w:rsid w:val="17771FF6"/>
    <w:rsid w:val="17842753"/>
    <w:rsid w:val="178A5BB1"/>
    <w:rsid w:val="17972C32"/>
    <w:rsid w:val="17B32B41"/>
    <w:rsid w:val="17F453F5"/>
    <w:rsid w:val="17FF1243"/>
    <w:rsid w:val="185E1183"/>
    <w:rsid w:val="187059FC"/>
    <w:rsid w:val="18E526BB"/>
    <w:rsid w:val="191516AF"/>
    <w:rsid w:val="19155F9E"/>
    <w:rsid w:val="198D6853"/>
    <w:rsid w:val="1A2308F8"/>
    <w:rsid w:val="1A60431C"/>
    <w:rsid w:val="1A8268CC"/>
    <w:rsid w:val="1ABD41C4"/>
    <w:rsid w:val="1ADF42B2"/>
    <w:rsid w:val="1AEC0ACF"/>
    <w:rsid w:val="1AED2809"/>
    <w:rsid w:val="1B03673C"/>
    <w:rsid w:val="1B375D24"/>
    <w:rsid w:val="1B570174"/>
    <w:rsid w:val="1B886580"/>
    <w:rsid w:val="1B9E2708"/>
    <w:rsid w:val="1BFB594B"/>
    <w:rsid w:val="1C821221"/>
    <w:rsid w:val="1C981B1F"/>
    <w:rsid w:val="1CBA14B4"/>
    <w:rsid w:val="1CC849BD"/>
    <w:rsid w:val="1D133859"/>
    <w:rsid w:val="1D247334"/>
    <w:rsid w:val="1DB042FE"/>
    <w:rsid w:val="1E042157"/>
    <w:rsid w:val="1E3C6F19"/>
    <w:rsid w:val="1E783D88"/>
    <w:rsid w:val="1F086C28"/>
    <w:rsid w:val="1F203B16"/>
    <w:rsid w:val="1F411C05"/>
    <w:rsid w:val="1F6E1F30"/>
    <w:rsid w:val="1FC14756"/>
    <w:rsid w:val="1FC617AE"/>
    <w:rsid w:val="1FE10954"/>
    <w:rsid w:val="1FE225D0"/>
    <w:rsid w:val="206C7F14"/>
    <w:rsid w:val="20E4055B"/>
    <w:rsid w:val="20F87D04"/>
    <w:rsid w:val="20FF1BF1"/>
    <w:rsid w:val="2115671A"/>
    <w:rsid w:val="21470C8B"/>
    <w:rsid w:val="21D30729"/>
    <w:rsid w:val="228639D1"/>
    <w:rsid w:val="228644BC"/>
    <w:rsid w:val="22D62107"/>
    <w:rsid w:val="22DA7937"/>
    <w:rsid w:val="233E67E2"/>
    <w:rsid w:val="23952182"/>
    <w:rsid w:val="23B619CB"/>
    <w:rsid w:val="23D305B4"/>
    <w:rsid w:val="23F5050A"/>
    <w:rsid w:val="249935AC"/>
    <w:rsid w:val="24BC310B"/>
    <w:rsid w:val="24FE4191"/>
    <w:rsid w:val="25096CBD"/>
    <w:rsid w:val="25247077"/>
    <w:rsid w:val="25337A37"/>
    <w:rsid w:val="253E7659"/>
    <w:rsid w:val="256F74FA"/>
    <w:rsid w:val="261C4494"/>
    <w:rsid w:val="26213859"/>
    <w:rsid w:val="26410247"/>
    <w:rsid w:val="264D0C35"/>
    <w:rsid w:val="265E685B"/>
    <w:rsid w:val="26676A50"/>
    <w:rsid w:val="26A72B4D"/>
    <w:rsid w:val="27282656"/>
    <w:rsid w:val="27765E26"/>
    <w:rsid w:val="27ED736F"/>
    <w:rsid w:val="27F03E2A"/>
    <w:rsid w:val="283A0353"/>
    <w:rsid w:val="284835D8"/>
    <w:rsid w:val="285C326E"/>
    <w:rsid w:val="287519A3"/>
    <w:rsid w:val="28874A54"/>
    <w:rsid w:val="2892582B"/>
    <w:rsid w:val="28B730AF"/>
    <w:rsid w:val="28BD003F"/>
    <w:rsid w:val="28C50E13"/>
    <w:rsid w:val="28CF5FD9"/>
    <w:rsid w:val="28E374EB"/>
    <w:rsid w:val="291706AC"/>
    <w:rsid w:val="292A336C"/>
    <w:rsid w:val="294E1641"/>
    <w:rsid w:val="29522056"/>
    <w:rsid w:val="2A8D1997"/>
    <w:rsid w:val="2A982328"/>
    <w:rsid w:val="2B0752C2"/>
    <w:rsid w:val="2B342900"/>
    <w:rsid w:val="2B7B0FC3"/>
    <w:rsid w:val="2BA76045"/>
    <w:rsid w:val="2BD43B6C"/>
    <w:rsid w:val="2BFE4A28"/>
    <w:rsid w:val="2C42660D"/>
    <w:rsid w:val="2C8E4833"/>
    <w:rsid w:val="2CE55B07"/>
    <w:rsid w:val="2D5B4C0F"/>
    <w:rsid w:val="2DDE64D3"/>
    <w:rsid w:val="2DEA595F"/>
    <w:rsid w:val="2E026666"/>
    <w:rsid w:val="2EAF428D"/>
    <w:rsid w:val="2EE6563F"/>
    <w:rsid w:val="2F1E0F1E"/>
    <w:rsid w:val="2F58034A"/>
    <w:rsid w:val="2F647436"/>
    <w:rsid w:val="2F84574C"/>
    <w:rsid w:val="2FB57729"/>
    <w:rsid w:val="2FC021F3"/>
    <w:rsid w:val="30224BF3"/>
    <w:rsid w:val="307D1FD3"/>
    <w:rsid w:val="30BB2AA5"/>
    <w:rsid w:val="30CE4FA1"/>
    <w:rsid w:val="30DF1286"/>
    <w:rsid w:val="310C0943"/>
    <w:rsid w:val="31176C74"/>
    <w:rsid w:val="31177B35"/>
    <w:rsid w:val="316250E0"/>
    <w:rsid w:val="31735C22"/>
    <w:rsid w:val="32DB1FCA"/>
    <w:rsid w:val="32E75B37"/>
    <w:rsid w:val="32EF68B4"/>
    <w:rsid w:val="32FB3538"/>
    <w:rsid w:val="3363659F"/>
    <w:rsid w:val="342D6CBE"/>
    <w:rsid w:val="347100A1"/>
    <w:rsid w:val="34DA79F4"/>
    <w:rsid w:val="351441F0"/>
    <w:rsid w:val="352E682B"/>
    <w:rsid w:val="355C7C0A"/>
    <w:rsid w:val="35BB22C5"/>
    <w:rsid w:val="35C13CCB"/>
    <w:rsid w:val="35D57C94"/>
    <w:rsid w:val="35D7070E"/>
    <w:rsid w:val="362B744B"/>
    <w:rsid w:val="370D6AF8"/>
    <w:rsid w:val="375D7A2B"/>
    <w:rsid w:val="37CA65D6"/>
    <w:rsid w:val="380A119C"/>
    <w:rsid w:val="381A21D3"/>
    <w:rsid w:val="38671EF1"/>
    <w:rsid w:val="3894621F"/>
    <w:rsid w:val="389C76B7"/>
    <w:rsid w:val="38C74D5D"/>
    <w:rsid w:val="38E76B84"/>
    <w:rsid w:val="38EE02D5"/>
    <w:rsid w:val="39186D3D"/>
    <w:rsid w:val="39406F06"/>
    <w:rsid w:val="39B10A71"/>
    <w:rsid w:val="39C40C73"/>
    <w:rsid w:val="39C57AFA"/>
    <w:rsid w:val="39D37108"/>
    <w:rsid w:val="39E353D5"/>
    <w:rsid w:val="3A39033A"/>
    <w:rsid w:val="3A477AD5"/>
    <w:rsid w:val="3A4B228D"/>
    <w:rsid w:val="3A602272"/>
    <w:rsid w:val="3AEA295B"/>
    <w:rsid w:val="3B0D0F39"/>
    <w:rsid w:val="3B3312CF"/>
    <w:rsid w:val="3B9B5ABE"/>
    <w:rsid w:val="3BB93049"/>
    <w:rsid w:val="3BED2ADE"/>
    <w:rsid w:val="3BF26D83"/>
    <w:rsid w:val="3C084298"/>
    <w:rsid w:val="3C752E3F"/>
    <w:rsid w:val="3C7C3A87"/>
    <w:rsid w:val="3C885735"/>
    <w:rsid w:val="3C9012E0"/>
    <w:rsid w:val="3D056979"/>
    <w:rsid w:val="3D357B68"/>
    <w:rsid w:val="3D54588C"/>
    <w:rsid w:val="3DF7311B"/>
    <w:rsid w:val="3E1E5270"/>
    <w:rsid w:val="3E2C6DE7"/>
    <w:rsid w:val="3E7F05B5"/>
    <w:rsid w:val="3E9A2F5F"/>
    <w:rsid w:val="3EB07FB9"/>
    <w:rsid w:val="3EF765BF"/>
    <w:rsid w:val="3EFC2464"/>
    <w:rsid w:val="3F0F1D39"/>
    <w:rsid w:val="3FFC1167"/>
    <w:rsid w:val="404F74B5"/>
    <w:rsid w:val="40BF2194"/>
    <w:rsid w:val="40F3190F"/>
    <w:rsid w:val="41190350"/>
    <w:rsid w:val="411D1248"/>
    <w:rsid w:val="41432DC5"/>
    <w:rsid w:val="417D0085"/>
    <w:rsid w:val="41A76EB0"/>
    <w:rsid w:val="41E9571B"/>
    <w:rsid w:val="42043E9A"/>
    <w:rsid w:val="42243000"/>
    <w:rsid w:val="4247010E"/>
    <w:rsid w:val="42796B0B"/>
    <w:rsid w:val="428060AE"/>
    <w:rsid w:val="429A2DFF"/>
    <w:rsid w:val="42AB2039"/>
    <w:rsid w:val="42E873F9"/>
    <w:rsid w:val="432E715D"/>
    <w:rsid w:val="43495316"/>
    <w:rsid w:val="436239D7"/>
    <w:rsid w:val="43947908"/>
    <w:rsid w:val="43C1733D"/>
    <w:rsid w:val="43D83683"/>
    <w:rsid w:val="43FD36FF"/>
    <w:rsid w:val="44461ED1"/>
    <w:rsid w:val="44E47435"/>
    <w:rsid w:val="45171187"/>
    <w:rsid w:val="45292FA8"/>
    <w:rsid w:val="45315AC5"/>
    <w:rsid w:val="457F1EF2"/>
    <w:rsid w:val="45857BE0"/>
    <w:rsid w:val="458637C9"/>
    <w:rsid w:val="458D0A2C"/>
    <w:rsid w:val="45A030EC"/>
    <w:rsid w:val="45C60BCF"/>
    <w:rsid w:val="45CA7A30"/>
    <w:rsid w:val="45CB23C1"/>
    <w:rsid w:val="45CD1B48"/>
    <w:rsid w:val="45F54584"/>
    <w:rsid w:val="461773FF"/>
    <w:rsid w:val="46184820"/>
    <w:rsid w:val="46AC5F51"/>
    <w:rsid w:val="46D61A20"/>
    <w:rsid w:val="46DA7D28"/>
    <w:rsid w:val="46DB475C"/>
    <w:rsid w:val="46EE7824"/>
    <w:rsid w:val="46F36279"/>
    <w:rsid w:val="46F75CCC"/>
    <w:rsid w:val="46FC5E9B"/>
    <w:rsid w:val="470B6FA9"/>
    <w:rsid w:val="471F1BDF"/>
    <w:rsid w:val="47604374"/>
    <w:rsid w:val="479136D9"/>
    <w:rsid w:val="47B022A8"/>
    <w:rsid w:val="47B70069"/>
    <w:rsid w:val="48074B4D"/>
    <w:rsid w:val="48171AFB"/>
    <w:rsid w:val="482B6CCE"/>
    <w:rsid w:val="4835149E"/>
    <w:rsid w:val="48483AD3"/>
    <w:rsid w:val="48684EBF"/>
    <w:rsid w:val="489D725F"/>
    <w:rsid w:val="48C72C01"/>
    <w:rsid w:val="48EC4C8A"/>
    <w:rsid w:val="49355397"/>
    <w:rsid w:val="49796C54"/>
    <w:rsid w:val="499637FE"/>
    <w:rsid w:val="4999217F"/>
    <w:rsid w:val="49B82F39"/>
    <w:rsid w:val="49DC5B65"/>
    <w:rsid w:val="49F22495"/>
    <w:rsid w:val="4A0E311A"/>
    <w:rsid w:val="4A1D7200"/>
    <w:rsid w:val="4A477482"/>
    <w:rsid w:val="4A5E3966"/>
    <w:rsid w:val="4A640D3D"/>
    <w:rsid w:val="4A765D50"/>
    <w:rsid w:val="4B2F46C4"/>
    <w:rsid w:val="4B7B23E0"/>
    <w:rsid w:val="4B7D0C82"/>
    <w:rsid w:val="4B9C2C5E"/>
    <w:rsid w:val="4BF76C86"/>
    <w:rsid w:val="4C1054A6"/>
    <w:rsid w:val="4C3457E4"/>
    <w:rsid w:val="4C435E96"/>
    <w:rsid w:val="4C447326"/>
    <w:rsid w:val="4C5078FE"/>
    <w:rsid w:val="4C6C1422"/>
    <w:rsid w:val="4CCA7EF7"/>
    <w:rsid w:val="4CFB6302"/>
    <w:rsid w:val="4D480714"/>
    <w:rsid w:val="4D5E04AC"/>
    <w:rsid w:val="4DF06083"/>
    <w:rsid w:val="4DFB61FC"/>
    <w:rsid w:val="4E102281"/>
    <w:rsid w:val="4E47299C"/>
    <w:rsid w:val="4E801DE8"/>
    <w:rsid w:val="4F1C0D7A"/>
    <w:rsid w:val="4F71017B"/>
    <w:rsid w:val="4F752402"/>
    <w:rsid w:val="4FBF0C22"/>
    <w:rsid w:val="504F2CD4"/>
    <w:rsid w:val="50633081"/>
    <w:rsid w:val="50797CC1"/>
    <w:rsid w:val="50A82084"/>
    <w:rsid w:val="51322BBC"/>
    <w:rsid w:val="51566BAA"/>
    <w:rsid w:val="51A14196"/>
    <w:rsid w:val="51DC173E"/>
    <w:rsid w:val="51E62FEF"/>
    <w:rsid w:val="51E65D02"/>
    <w:rsid w:val="51FC6DA4"/>
    <w:rsid w:val="51FD2B1C"/>
    <w:rsid w:val="521606D0"/>
    <w:rsid w:val="522956BF"/>
    <w:rsid w:val="5231647A"/>
    <w:rsid w:val="52643326"/>
    <w:rsid w:val="527C5701"/>
    <w:rsid w:val="52D01FDF"/>
    <w:rsid w:val="52D3458B"/>
    <w:rsid w:val="52DA7D38"/>
    <w:rsid w:val="531B4B18"/>
    <w:rsid w:val="534E7B91"/>
    <w:rsid w:val="5362593B"/>
    <w:rsid w:val="53D1600F"/>
    <w:rsid w:val="53F97D01"/>
    <w:rsid w:val="54096145"/>
    <w:rsid w:val="54260D9E"/>
    <w:rsid w:val="542C05D8"/>
    <w:rsid w:val="547E1787"/>
    <w:rsid w:val="54905ECA"/>
    <w:rsid w:val="54B576DE"/>
    <w:rsid w:val="54BE4CA1"/>
    <w:rsid w:val="54DC0B21"/>
    <w:rsid w:val="54DE2DE2"/>
    <w:rsid w:val="54FF4546"/>
    <w:rsid w:val="553C3BC4"/>
    <w:rsid w:val="555B07B2"/>
    <w:rsid w:val="555D02CD"/>
    <w:rsid w:val="55774994"/>
    <w:rsid w:val="557C770E"/>
    <w:rsid w:val="55820182"/>
    <w:rsid w:val="55CC0A51"/>
    <w:rsid w:val="55D83684"/>
    <w:rsid w:val="55E678BF"/>
    <w:rsid w:val="560F765A"/>
    <w:rsid w:val="5630526E"/>
    <w:rsid w:val="56547E6E"/>
    <w:rsid w:val="56975989"/>
    <w:rsid w:val="569B5857"/>
    <w:rsid w:val="56E42C0C"/>
    <w:rsid w:val="57001653"/>
    <w:rsid w:val="570A5ABF"/>
    <w:rsid w:val="57911D41"/>
    <w:rsid w:val="57D936E4"/>
    <w:rsid w:val="57EE6CBE"/>
    <w:rsid w:val="58C00850"/>
    <w:rsid w:val="58CE248E"/>
    <w:rsid w:val="58D80B06"/>
    <w:rsid w:val="58DF37A3"/>
    <w:rsid w:val="58EC43C6"/>
    <w:rsid w:val="59380949"/>
    <w:rsid w:val="59515EF9"/>
    <w:rsid w:val="597148E0"/>
    <w:rsid w:val="59B531FF"/>
    <w:rsid w:val="59C363FA"/>
    <w:rsid w:val="5A3966BC"/>
    <w:rsid w:val="5A470DD9"/>
    <w:rsid w:val="5B545E5B"/>
    <w:rsid w:val="5BE70178"/>
    <w:rsid w:val="5BEF2C11"/>
    <w:rsid w:val="5BFE10C0"/>
    <w:rsid w:val="5C036F81"/>
    <w:rsid w:val="5C1E0545"/>
    <w:rsid w:val="5CB81A73"/>
    <w:rsid w:val="5CC06EA3"/>
    <w:rsid w:val="5CC93458"/>
    <w:rsid w:val="5CE5308E"/>
    <w:rsid w:val="5D094A6B"/>
    <w:rsid w:val="5D2C2D4D"/>
    <w:rsid w:val="5D570FA6"/>
    <w:rsid w:val="5D8646F8"/>
    <w:rsid w:val="5DCA244C"/>
    <w:rsid w:val="5E3D75FD"/>
    <w:rsid w:val="5E721B5C"/>
    <w:rsid w:val="5E776A60"/>
    <w:rsid w:val="5E802B0B"/>
    <w:rsid w:val="5E892B2C"/>
    <w:rsid w:val="5ECC2455"/>
    <w:rsid w:val="5EDD7916"/>
    <w:rsid w:val="5F0A0E0B"/>
    <w:rsid w:val="5F592AFE"/>
    <w:rsid w:val="5F6B30AD"/>
    <w:rsid w:val="5FAF6FEE"/>
    <w:rsid w:val="5FBC7B73"/>
    <w:rsid w:val="5FD67D35"/>
    <w:rsid w:val="5FEA7F0B"/>
    <w:rsid w:val="604C38E0"/>
    <w:rsid w:val="604D4C6F"/>
    <w:rsid w:val="605A2361"/>
    <w:rsid w:val="60B435AF"/>
    <w:rsid w:val="612B13A1"/>
    <w:rsid w:val="613034F2"/>
    <w:rsid w:val="617363B7"/>
    <w:rsid w:val="61CA3976"/>
    <w:rsid w:val="61E51C5E"/>
    <w:rsid w:val="61F27457"/>
    <w:rsid w:val="61F524AB"/>
    <w:rsid w:val="61FF7C84"/>
    <w:rsid w:val="62145A44"/>
    <w:rsid w:val="621F0147"/>
    <w:rsid w:val="62262BE0"/>
    <w:rsid w:val="627C7CFD"/>
    <w:rsid w:val="631303F2"/>
    <w:rsid w:val="638D6D14"/>
    <w:rsid w:val="63B27965"/>
    <w:rsid w:val="63E96724"/>
    <w:rsid w:val="642B3F8C"/>
    <w:rsid w:val="644D348F"/>
    <w:rsid w:val="6477605C"/>
    <w:rsid w:val="649B244D"/>
    <w:rsid w:val="64C95E7A"/>
    <w:rsid w:val="64EB1B22"/>
    <w:rsid w:val="650A5824"/>
    <w:rsid w:val="651A5A67"/>
    <w:rsid w:val="65291748"/>
    <w:rsid w:val="65B04D2F"/>
    <w:rsid w:val="65C63B99"/>
    <w:rsid w:val="65DD6613"/>
    <w:rsid w:val="65E505B2"/>
    <w:rsid w:val="65F23BAF"/>
    <w:rsid w:val="65FB3097"/>
    <w:rsid w:val="66025373"/>
    <w:rsid w:val="661D46E2"/>
    <w:rsid w:val="66CF2882"/>
    <w:rsid w:val="66FE5DFB"/>
    <w:rsid w:val="67206C39"/>
    <w:rsid w:val="673132B0"/>
    <w:rsid w:val="678338A5"/>
    <w:rsid w:val="67911991"/>
    <w:rsid w:val="67A41618"/>
    <w:rsid w:val="67AC6DD1"/>
    <w:rsid w:val="67DC1391"/>
    <w:rsid w:val="67E723FF"/>
    <w:rsid w:val="68012F0F"/>
    <w:rsid w:val="68117636"/>
    <w:rsid w:val="68B24209"/>
    <w:rsid w:val="68C713F2"/>
    <w:rsid w:val="68D157BD"/>
    <w:rsid w:val="68F05F69"/>
    <w:rsid w:val="697E0AA1"/>
    <w:rsid w:val="69892779"/>
    <w:rsid w:val="699B3314"/>
    <w:rsid w:val="69BA52E5"/>
    <w:rsid w:val="69D60E3B"/>
    <w:rsid w:val="6A260A0B"/>
    <w:rsid w:val="6A5214B3"/>
    <w:rsid w:val="6A5E5EC5"/>
    <w:rsid w:val="6A966661"/>
    <w:rsid w:val="6ADD44FB"/>
    <w:rsid w:val="6B136EB5"/>
    <w:rsid w:val="6B15282D"/>
    <w:rsid w:val="6C250584"/>
    <w:rsid w:val="6C545B9D"/>
    <w:rsid w:val="6C6E3A61"/>
    <w:rsid w:val="6CA70E8F"/>
    <w:rsid w:val="6CD009DE"/>
    <w:rsid w:val="6CD56CEF"/>
    <w:rsid w:val="6CE801F9"/>
    <w:rsid w:val="6D024C06"/>
    <w:rsid w:val="6D2A78D9"/>
    <w:rsid w:val="6D5911AE"/>
    <w:rsid w:val="6D8E5405"/>
    <w:rsid w:val="6DCA6796"/>
    <w:rsid w:val="6DDD7C9C"/>
    <w:rsid w:val="6E0948CB"/>
    <w:rsid w:val="6E873AFE"/>
    <w:rsid w:val="6E8E0FCC"/>
    <w:rsid w:val="6EBA7973"/>
    <w:rsid w:val="6EC41BFF"/>
    <w:rsid w:val="6EF121B8"/>
    <w:rsid w:val="6F0B01CF"/>
    <w:rsid w:val="6F3752B5"/>
    <w:rsid w:val="6FAA3687"/>
    <w:rsid w:val="6FCC795E"/>
    <w:rsid w:val="6FD44A31"/>
    <w:rsid w:val="70065AA8"/>
    <w:rsid w:val="702D0210"/>
    <w:rsid w:val="704936A5"/>
    <w:rsid w:val="70AC68CB"/>
    <w:rsid w:val="70F8039F"/>
    <w:rsid w:val="71236F3D"/>
    <w:rsid w:val="71581BF0"/>
    <w:rsid w:val="715B31D5"/>
    <w:rsid w:val="71755DD4"/>
    <w:rsid w:val="7231619E"/>
    <w:rsid w:val="723637B5"/>
    <w:rsid w:val="731834E3"/>
    <w:rsid w:val="73196236"/>
    <w:rsid w:val="7320390F"/>
    <w:rsid w:val="733A72D5"/>
    <w:rsid w:val="7344057C"/>
    <w:rsid w:val="734613DD"/>
    <w:rsid w:val="737E3B89"/>
    <w:rsid w:val="73816CB2"/>
    <w:rsid w:val="7385650C"/>
    <w:rsid w:val="738F0BCE"/>
    <w:rsid w:val="73A259E4"/>
    <w:rsid w:val="73C11280"/>
    <w:rsid w:val="73E90DE5"/>
    <w:rsid w:val="73EF0AB2"/>
    <w:rsid w:val="73F41B79"/>
    <w:rsid w:val="7447614D"/>
    <w:rsid w:val="74AB7BC8"/>
    <w:rsid w:val="74BE1C31"/>
    <w:rsid w:val="74BF03A7"/>
    <w:rsid w:val="74D309FE"/>
    <w:rsid w:val="74F31BEB"/>
    <w:rsid w:val="750F72AD"/>
    <w:rsid w:val="752244C4"/>
    <w:rsid w:val="757B4FA1"/>
    <w:rsid w:val="75E55C1E"/>
    <w:rsid w:val="76B90225"/>
    <w:rsid w:val="76DA1F2C"/>
    <w:rsid w:val="76FE5951"/>
    <w:rsid w:val="771066E9"/>
    <w:rsid w:val="776A63D7"/>
    <w:rsid w:val="7795775B"/>
    <w:rsid w:val="77C17CD1"/>
    <w:rsid w:val="77DC18CC"/>
    <w:rsid w:val="781126AE"/>
    <w:rsid w:val="784571EF"/>
    <w:rsid w:val="78576328"/>
    <w:rsid w:val="787E7BA9"/>
    <w:rsid w:val="789C002C"/>
    <w:rsid w:val="78C32771"/>
    <w:rsid w:val="79675392"/>
    <w:rsid w:val="797E2505"/>
    <w:rsid w:val="79893C49"/>
    <w:rsid w:val="79A17439"/>
    <w:rsid w:val="79E94D5A"/>
    <w:rsid w:val="7A090531"/>
    <w:rsid w:val="7A106FE1"/>
    <w:rsid w:val="7A2111EE"/>
    <w:rsid w:val="7A29339B"/>
    <w:rsid w:val="7AC026A2"/>
    <w:rsid w:val="7AFB1F86"/>
    <w:rsid w:val="7B191EC6"/>
    <w:rsid w:val="7B24244C"/>
    <w:rsid w:val="7BD02097"/>
    <w:rsid w:val="7BF546E1"/>
    <w:rsid w:val="7C3B2C04"/>
    <w:rsid w:val="7C452586"/>
    <w:rsid w:val="7C521E96"/>
    <w:rsid w:val="7C6151AF"/>
    <w:rsid w:val="7C765821"/>
    <w:rsid w:val="7C8021FC"/>
    <w:rsid w:val="7CCE35F1"/>
    <w:rsid w:val="7D1110A6"/>
    <w:rsid w:val="7D123CD2"/>
    <w:rsid w:val="7D884A57"/>
    <w:rsid w:val="7DAA2A29"/>
    <w:rsid w:val="7DE40569"/>
    <w:rsid w:val="7DF80CC1"/>
    <w:rsid w:val="7DFB6F13"/>
    <w:rsid w:val="7E0B5380"/>
    <w:rsid w:val="7E105802"/>
    <w:rsid w:val="7E1612D5"/>
    <w:rsid w:val="7E747479"/>
    <w:rsid w:val="7E747B3F"/>
    <w:rsid w:val="7E88253B"/>
    <w:rsid w:val="7E8B48A1"/>
    <w:rsid w:val="7EB05F55"/>
    <w:rsid w:val="7ECF3FA0"/>
    <w:rsid w:val="7F313853"/>
    <w:rsid w:val="7F315488"/>
    <w:rsid w:val="7F712AF3"/>
    <w:rsid w:val="7FD4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2"/>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4"/>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5"/>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6"/>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7"/>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8"/>
    <w:autoRedefine/>
    <w:unhideWhenUsed/>
    <w:qFormat/>
    <w:uiPriority w:val="99"/>
    <w:pPr>
      <w:jc w:val="left"/>
    </w:pPr>
  </w:style>
  <w:style w:type="paragraph" w:styleId="14">
    <w:name w:val="Body Text"/>
    <w:basedOn w:val="1"/>
    <w:link w:val="91"/>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50"/>
    <w:autoRedefine/>
    <w:unhideWhenUsed/>
    <w:qFormat/>
    <w:uiPriority w:val="99"/>
    <w:rPr>
      <w:sz w:val="18"/>
      <w:szCs w:val="18"/>
    </w:rPr>
  </w:style>
  <w:style w:type="paragraph" w:styleId="18">
    <w:name w:val="footer"/>
    <w:basedOn w:val="1"/>
    <w:link w:val="49"/>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8"/>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4"/>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3"/>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9"/>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paragraph" w:styleId="38">
    <w:name w:val="List Paragraph"/>
    <w:basedOn w:val="1"/>
    <w:qFormat/>
    <w:uiPriority w:val="34"/>
    <w:pPr>
      <w:ind w:firstLine="420" w:firstLineChars="200"/>
    </w:pPr>
  </w:style>
  <w:style w:type="character" w:customStyle="1" w:styleId="39">
    <w:name w:val="标题 1 字符"/>
    <w:link w:val="2"/>
    <w:autoRedefine/>
    <w:qFormat/>
    <w:uiPriority w:val="9"/>
    <w:rPr>
      <w:rFonts w:ascii="Times New Roman" w:hAnsi="Times New Roman" w:eastAsia="宋体" w:cs="Times New Roman"/>
      <w:b/>
      <w:bCs/>
      <w:kern w:val="44"/>
      <w:sz w:val="44"/>
      <w:szCs w:val="44"/>
    </w:rPr>
  </w:style>
  <w:style w:type="character" w:customStyle="1" w:styleId="40">
    <w:name w:val="标题 2 字符"/>
    <w:link w:val="3"/>
    <w:autoRedefine/>
    <w:qFormat/>
    <w:uiPriority w:val="0"/>
    <w:rPr>
      <w:rFonts w:ascii="Arial" w:hAnsi="Arial" w:eastAsia="黑体" w:cs="Times New Roman"/>
      <w:b/>
      <w:bCs/>
      <w:sz w:val="32"/>
      <w:szCs w:val="32"/>
    </w:rPr>
  </w:style>
  <w:style w:type="character" w:customStyle="1" w:styleId="41">
    <w:name w:val="标题 3 字符"/>
    <w:link w:val="4"/>
    <w:autoRedefine/>
    <w:qFormat/>
    <w:uiPriority w:val="0"/>
    <w:rPr>
      <w:rFonts w:ascii="Times New Roman" w:hAnsi="Times New Roman" w:eastAsia="宋体" w:cs="Times New Roman"/>
      <w:b/>
      <w:bCs/>
      <w:sz w:val="32"/>
      <w:szCs w:val="32"/>
    </w:rPr>
  </w:style>
  <w:style w:type="character" w:customStyle="1" w:styleId="42">
    <w:name w:val="标题 4 字符"/>
    <w:link w:val="5"/>
    <w:autoRedefine/>
    <w:qFormat/>
    <w:uiPriority w:val="9"/>
    <w:rPr>
      <w:rFonts w:ascii="Arial" w:hAnsi="Arial" w:eastAsia="黑体" w:cs="Times New Roman"/>
      <w:b/>
      <w:bCs/>
      <w:sz w:val="28"/>
      <w:szCs w:val="28"/>
    </w:rPr>
  </w:style>
  <w:style w:type="character" w:customStyle="1" w:styleId="43">
    <w:name w:val="标题 5 字符"/>
    <w:link w:val="6"/>
    <w:autoRedefine/>
    <w:qFormat/>
    <w:uiPriority w:val="0"/>
    <w:rPr>
      <w:rFonts w:ascii="Times New Roman" w:hAnsi="Times New Roman" w:eastAsia="宋体" w:cs="Times New Roman"/>
      <w:b/>
      <w:bCs/>
      <w:sz w:val="28"/>
      <w:szCs w:val="28"/>
    </w:rPr>
  </w:style>
  <w:style w:type="character" w:customStyle="1" w:styleId="44">
    <w:name w:val="标题 6 字符"/>
    <w:link w:val="7"/>
    <w:autoRedefine/>
    <w:qFormat/>
    <w:uiPriority w:val="0"/>
    <w:rPr>
      <w:rFonts w:ascii="Arial" w:hAnsi="Arial" w:eastAsia="黑体" w:cs="Times New Roman"/>
      <w:b/>
      <w:bCs/>
      <w:sz w:val="24"/>
      <w:szCs w:val="24"/>
    </w:rPr>
  </w:style>
  <w:style w:type="character" w:customStyle="1" w:styleId="45">
    <w:name w:val="标题 7 字符"/>
    <w:link w:val="8"/>
    <w:autoRedefine/>
    <w:qFormat/>
    <w:uiPriority w:val="0"/>
    <w:rPr>
      <w:rFonts w:ascii="Times New Roman" w:hAnsi="Times New Roman" w:eastAsia="宋体" w:cs="Times New Roman"/>
      <w:b/>
      <w:bCs/>
      <w:sz w:val="24"/>
      <w:szCs w:val="24"/>
    </w:rPr>
  </w:style>
  <w:style w:type="character" w:customStyle="1" w:styleId="46">
    <w:name w:val="标题 8 字符"/>
    <w:link w:val="9"/>
    <w:autoRedefine/>
    <w:qFormat/>
    <w:uiPriority w:val="0"/>
    <w:rPr>
      <w:rFonts w:ascii="Arial" w:hAnsi="Arial" w:eastAsia="黑体" w:cs="Times New Roman"/>
      <w:sz w:val="24"/>
      <w:szCs w:val="24"/>
    </w:rPr>
  </w:style>
  <w:style w:type="character" w:customStyle="1" w:styleId="47">
    <w:name w:val="标题 9 字符"/>
    <w:link w:val="10"/>
    <w:autoRedefine/>
    <w:qFormat/>
    <w:uiPriority w:val="0"/>
    <w:rPr>
      <w:rFonts w:ascii="Arial" w:hAnsi="Arial" w:eastAsia="黑体" w:cs="Times New Roman"/>
      <w:szCs w:val="21"/>
    </w:rPr>
  </w:style>
  <w:style w:type="character" w:customStyle="1" w:styleId="48">
    <w:name w:val="页眉 字符"/>
    <w:link w:val="19"/>
    <w:autoRedefine/>
    <w:qFormat/>
    <w:uiPriority w:val="99"/>
    <w:rPr>
      <w:rFonts w:ascii="Times New Roman" w:hAnsi="Times New Roman" w:eastAsia="宋体" w:cs="Times New Roman"/>
      <w:sz w:val="18"/>
      <w:szCs w:val="18"/>
    </w:rPr>
  </w:style>
  <w:style w:type="character" w:customStyle="1" w:styleId="49">
    <w:name w:val="页脚 字符"/>
    <w:link w:val="18"/>
    <w:autoRedefine/>
    <w:qFormat/>
    <w:uiPriority w:val="99"/>
    <w:rPr>
      <w:rFonts w:ascii="宋体" w:hAnsi="Times New Roman" w:eastAsia="宋体" w:cs="Times New Roman"/>
      <w:sz w:val="18"/>
      <w:szCs w:val="18"/>
    </w:rPr>
  </w:style>
  <w:style w:type="character" w:customStyle="1" w:styleId="50">
    <w:name w:val="批注框文本 字符"/>
    <w:link w:val="17"/>
    <w:autoRedefine/>
    <w:semiHidden/>
    <w:qFormat/>
    <w:uiPriority w:val="99"/>
    <w:rPr>
      <w:sz w:val="18"/>
      <w:szCs w:val="18"/>
    </w:rPr>
  </w:style>
  <w:style w:type="paragraph" w:customStyle="1" w:styleId="51">
    <w:name w:val="引用1"/>
    <w:basedOn w:val="1"/>
    <w:next w:val="1"/>
    <w:link w:val="52"/>
    <w:autoRedefine/>
    <w:qFormat/>
    <w:uiPriority w:val="29"/>
    <w:rPr>
      <w:i/>
      <w:iCs/>
      <w:color w:val="000000"/>
    </w:rPr>
  </w:style>
  <w:style w:type="character" w:customStyle="1" w:styleId="52">
    <w:name w:val="引用 字符"/>
    <w:link w:val="51"/>
    <w:autoRedefine/>
    <w:qFormat/>
    <w:uiPriority w:val="29"/>
    <w:rPr>
      <w:i/>
      <w:iCs/>
      <w:color w:val="000000"/>
    </w:rPr>
  </w:style>
  <w:style w:type="character" w:customStyle="1" w:styleId="53">
    <w:name w:val="标题 字符"/>
    <w:link w:val="27"/>
    <w:autoRedefine/>
    <w:qFormat/>
    <w:uiPriority w:val="0"/>
    <w:rPr>
      <w:rFonts w:ascii="Arial" w:hAnsi="Arial" w:eastAsia="宋体" w:cs="Arial"/>
      <w:b/>
      <w:bCs/>
      <w:sz w:val="32"/>
      <w:szCs w:val="32"/>
    </w:rPr>
  </w:style>
  <w:style w:type="paragraph" w:customStyle="1" w:styleId="54">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5">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6">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7">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8">
    <w:name w:val="标准书眉一"/>
    <w:autoRedefine/>
    <w:qFormat/>
    <w:uiPriority w:val="0"/>
    <w:pPr>
      <w:jc w:val="both"/>
    </w:pPr>
    <w:rPr>
      <w:rFonts w:ascii="Times New Roman" w:hAnsi="Times New Roman" w:eastAsia="宋体" w:cs="Times New Roman"/>
      <w:lang w:val="en-US" w:eastAsia="zh-CN" w:bidi="ar-SA"/>
    </w:rPr>
  </w:style>
  <w:style w:type="paragraph" w:customStyle="1" w:styleId="59">
    <w:name w:val="标准文件_ICS"/>
    <w:basedOn w:val="1"/>
    <w:autoRedefine/>
    <w:qFormat/>
    <w:uiPriority w:val="0"/>
    <w:pPr>
      <w:spacing w:line="0" w:lineRule="atLeast"/>
    </w:pPr>
    <w:rPr>
      <w:rFonts w:ascii="黑体" w:hAnsi="宋体" w:eastAsia="黑体"/>
    </w:rPr>
  </w:style>
  <w:style w:type="paragraph" w:customStyle="1" w:styleId="60">
    <w:name w:val="标准文件_标准正文"/>
    <w:basedOn w:val="1"/>
    <w:next w:val="61"/>
    <w:autoRedefine/>
    <w:qFormat/>
    <w:uiPriority w:val="0"/>
    <w:pPr>
      <w:snapToGrid w:val="0"/>
      <w:ind w:firstLine="200" w:firstLineChars="200"/>
    </w:pPr>
    <w:rPr>
      <w:kern w:val="0"/>
    </w:rPr>
  </w:style>
  <w:style w:type="paragraph" w:customStyle="1" w:styleId="61">
    <w:name w:val="标准文件_段"/>
    <w:link w:val="189"/>
    <w:autoRedefine/>
    <w:qFormat/>
    <w:uiPriority w:val="0"/>
    <w:pPr>
      <w:autoSpaceDE w:val="0"/>
      <w:autoSpaceDN w:val="0"/>
      <w:ind w:firstLine="420" w:firstLineChars="200"/>
      <w:jc w:val="both"/>
      <w:pPrChange w:id="0" w:author="柯 张" w:date="2026-07-05T12:15:00Z">
        <w:pPr>
          <w:autoSpaceDE w:val="0"/>
          <w:autoSpaceDN w:val="0"/>
          <w:ind w:firstLine="200" w:firstLineChars="200"/>
          <w:jc w:val="both"/>
        </w:pPr>
      </w:pPrChange>
    </w:pPr>
    <w:rPr>
      <w:rFonts w:ascii="宋体" w:hAnsi="Times New Roman" w:eastAsia="宋体" w:cs="Times New Roman"/>
      <w:sz w:val="21"/>
      <w:lang w:val="en-US" w:eastAsia="zh-CN" w:bidi="ar-SA"/>
      <w:rPrChange w:id="1" w:author="柯 张" w:date="2026-07-05T12:15:00Z">
        <w:rPr>
          <w:rFonts w:ascii="宋体" w:eastAsia="宋体"/>
          <w:sz w:val="21"/>
          <w:lang w:val="en-US" w:eastAsia="zh-CN" w:bidi="ar-SA"/>
        </w:rPr>
      </w:rPrChange>
    </w:rPr>
  </w:style>
  <w:style w:type="paragraph" w:customStyle="1" w:styleId="62">
    <w:name w:val="标准文件_版本"/>
    <w:basedOn w:val="60"/>
    <w:autoRedefine/>
    <w:qFormat/>
    <w:uiPriority w:val="0"/>
    <w:pPr>
      <w:adjustRightInd/>
      <w:snapToGrid/>
      <w:ind w:firstLine="0" w:firstLineChars="0"/>
    </w:pPr>
    <w:rPr>
      <w:rFonts w:ascii="宋体" w:hAnsi="宋体"/>
      <w:kern w:val="2"/>
    </w:rPr>
  </w:style>
  <w:style w:type="paragraph" w:customStyle="1" w:styleId="63">
    <w:name w:val="标准文件_标准部门"/>
    <w:basedOn w:val="1"/>
    <w:autoRedefine/>
    <w:qFormat/>
    <w:uiPriority w:val="0"/>
    <w:pPr>
      <w:jc w:val="center"/>
    </w:pPr>
    <w:rPr>
      <w:rFonts w:ascii="黑体" w:eastAsia="黑体"/>
      <w:kern w:val="0"/>
      <w:sz w:val="44"/>
    </w:rPr>
  </w:style>
  <w:style w:type="paragraph" w:customStyle="1" w:styleId="64">
    <w:name w:val="标准文件_标准代替"/>
    <w:basedOn w:val="1"/>
    <w:next w:val="1"/>
    <w:autoRedefine/>
    <w:qFormat/>
    <w:uiPriority w:val="0"/>
    <w:pPr>
      <w:spacing w:line="310" w:lineRule="exact"/>
      <w:jc w:val="right"/>
    </w:pPr>
    <w:rPr>
      <w:rFonts w:ascii="宋体" w:hAnsi="宋体"/>
      <w:kern w:val="0"/>
    </w:rPr>
  </w:style>
  <w:style w:type="paragraph" w:customStyle="1" w:styleId="65">
    <w:name w:val="标准文件_标准名称标题"/>
    <w:basedOn w:val="1"/>
    <w:next w:val="1"/>
    <w:link w:val="247"/>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autoRedefine/>
    <w:qFormat/>
    <w:uiPriority w:val="0"/>
    <w:pPr>
      <w:jc w:val="left"/>
    </w:pPr>
  </w:style>
  <w:style w:type="paragraph" w:customStyle="1" w:styleId="68">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9">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70">
    <w:name w:val="标准文件_二级条标题"/>
    <w:next w:val="61"/>
    <w:link w:val="248"/>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1">
    <w:name w:val="标准文件_发布"/>
    <w:autoRedefine/>
    <w:qFormat/>
    <w:uiPriority w:val="0"/>
    <w:rPr>
      <w:rFonts w:ascii="黑体" w:eastAsia="黑体"/>
      <w:spacing w:val="0"/>
      <w:w w:val="100"/>
      <w:position w:val="3"/>
      <w:sz w:val="28"/>
    </w:rPr>
  </w:style>
  <w:style w:type="paragraph" w:customStyle="1" w:styleId="72">
    <w:name w:val="标准文件_方框数字列项"/>
    <w:basedOn w:val="61"/>
    <w:autoRedefine/>
    <w:qFormat/>
    <w:uiPriority w:val="0"/>
    <w:pPr>
      <w:numPr>
        <w:ilvl w:val="0"/>
        <w:numId w:val="3"/>
      </w:numPr>
      <w:ind w:firstLine="0" w:firstLineChars="0"/>
    </w:pPr>
  </w:style>
  <w:style w:type="paragraph" w:customStyle="1" w:styleId="73">
    <w:name w:val="标准文件_封面标准编号"/>
    <w:basedOn w:val="1"/>
    <w:next w:val="64"/>
    <w:autoRedefine/>
    <w:qFormat/>
    <w:uiPriority w:val="0"/>
    <w:pPr>
      <w:spacing w:line="310" w:lineRule="exact"/>
      <w:jc w:val="right"/>
    </w:pPr>
    <w:rPr>
      <w:rFonts w:ascii="黑体" w:eastAsia="黑体"/>
      <w:kern w:val="0"/>
      <w:sz w:val="28"/>
    </w:rPr>
  </w:style>
  <w:style w:type="paragraph" w:customStyle="1" w:styleId="74">
    <w:name w:val="标准文件_封面标准分类号"/>
    <w:basedOn w:val="1"/>
    <w:autoRedefine/>
    <w:qFormat/>
    <w:uiPriority w:val="0"/>
    <w:rPr>
      <w:rFonts w:ascii="黑体" w:eastAsia="黑体"/>
      <w:b/>
      <w:kern w:val="0"/>
      <w:sz w:val="28"/>
    </w:rPr>
  </w:style>
  <w:style w:type="paragraph" w:customStyle="1" w:styleId="75">
    <w:name w:val="标准文件_封面标准名称"/>
    <w:basedOn w:val="1"/>
    <w:autoRedefine/>
    <w:qFormat/>
    <w:uiPriority w:val="0"/>
    <w:pPr>
      <w:spacing w:line="240" w:lineRule="auto"/>
      <w:jc w:val="center"/>
    </w:pPr>
    <w:rPr>
      <w:rFonts w:ascii="黑体" w:eastAsia="黑体"/>
      <w:kern w:val="0"/>
      <w:sz w:val="52"/>
    </w:rPr>
  </w:style>
  <w:style w:type="paragraph" w:customStyle="1" w:styleId="76">
    <w:name w:val="标准文件_封面标准英文名称"/>
    <w:basedOn w:val="1"/>
    <w:autoRedefine/>
    <w:qFormat/>
    <w:uiPriority w:val="0"/>
    <w:pPr>
      <w:spacing w:line="240" w:lineRule="auto"/>
      <w:jc w:val="center"/>
    </w:pPr>
    <w:rPr>
      <w:rFonts w:ascii="黑体" w:eastAsia="黑体"/>
      <w:b/>
      <w:sz w:val="28"/>
    </w:rPr>
  </w:style>
  <w:style w:type="paragraph" w:customStyle="1" w:styleId="77">
    <w:name w:val="标准文件_封面发布日期"/>
    <w:basedOn w:val="1"/>
    <w:autoRedefine/>
    <w:qFormat/>
    <w:uiPriority w:val="0"/>
    <w:pPr>
      <w:spacing w:line="310" w:lineRule="exact"/>
    </w:pPr>
    <w:rPr>
      <w:rFonts w:ascii="黑体" w:eastAsia="黑体"/>
      <w:kern w:val="0"/>
      <w:sz w:val="28"/>
    </w:rPr>
  </w:style>
  <w:style w:type="paragraph" w:customStyle="1" w:styleId="78">
    <w:name w:val="标准文件_封面密级"/>
    <w:basedOn w:val="1"/>
    <w:autoRedefine/>
    <w:qFormat/>
    <w:uiPriority w:val="0"/>
    <w:rPr>
      <w:rFonts w:eastAsia="黑体"/>
      <w:sz w:val="32"/>
    </w:rPr>
  </w:style>
  <w:style w:type="paragraph" w:customStyle="1" w:styleId="79">
    <w:name w:val="标准文件_封面实施日期"/>
    <w:basedOn w:val="1"/>
    <w:autoRedefine/>
    <w:qFormat/>
    <w:uiPriority w:val="0"/>
    <w:pPr>
      <w:spacing w:line="310" w:lineRule="exact"/>
      <w:jc w:val="right"/>
    </w:pPr>
    <w:rPr>
      <w:rFonts w:ascii="黑体" w:eastAsia="黑体"/>
      <w:sz w:val="28"/>
    </w:rPr>
  </w:style>
  <w:style w:type="paragraph" w:customStyle="1" w:styleId="80">
    <w:name w:val="标准文件_封面抬头"/>
    <w:basedOn w:val="61"/>
    <w:autoRedefine/>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61"/>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61"/>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61"/>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61"/>
    <w:autoRedefine/>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0"/>
    <w:next w:val="60"/>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6">
    <w:name w:val="标准文件_附录三级条标题"/>
    <w:next w:val="61"/>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61"/>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61"/>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9">
    <w:name w:val="标准文件_附录五级条标题"/>
    <w:next w:val="61"/>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字符"/>
    <w:link w:val="14"/>
    <w:autoRedefine/>
    <w:qFormat/>
    <w:uiPriority w:val="0"/>
    <w:rPr>
      <w:rFonts w:ascii="Times New Roman" w:hAnsi="Times New Roman" w:eastAsia="宋体" w:cs="Times New Roman"/>
      <w:szCs w:val="20"/>
    </w:rPr>
  </w:style>
  <w:style w:type="paragraph" w:customStyle="1" w:styleId="92">
    <w:name w:val="标准文件_附录章标题"/>
    <w:next w:val="61"/>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61"/>
    <w:next w:val="61"/>
    <w:autoRedefine/>
    <w:qFormat/>
    <w:uiPriority w:val="0"/>
    <w:pPr>
      <w:ind w:left="488" w:leftChars="200" w:hanging="289" w:hangingChars="290"/>
    </w:pPr>
  </w:style>
  <w:style w:type="paragraph" w:customStyle="1" w:styleId="94">
    <w:name w:val="标准文件_前言、引言标题"/>
    <w:next w:val="1"/>
    <w:link w:val="250"/>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61"/>
    <w:link w:val="249"/>
    <w:autoRedefine/>
    <w:qFormat/>
    <w:uiPriority w:val="0"/>
    <w:pPr>
      <w:spacing w:line="460" w:lineRule="exact"/>
    </w:pPr>
  </w:style>
  <w:style w:type="paragraph" w:customStyle="1" w:styleId="96">
    <w:name w:val="标准文件_目录标题"/>
    <w:basedOn w:val="1"/>
    <w:autoRedefine/>
    <w:qFormat/>
    <w:uiPriority w:val="0"/>
    <w:pPr>
      <w:spacing w:afterLines="150" w:line="240" w:lineRule="auto"/>
      <w:jc w:val="center"/>
    </w:pPr>
    <w:rPr>
      <w:rFonts w:ascii="黑体" w:eastAsia="黑体"/>
      <w:sz w:val="32"/>
    </w:rPr>
  </w:style>
  <w:style w:type="paragraph" w:customStyle="1" w:styleId="97">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autoRedefine/>
    <w:qFormat/>
    <w:uiPriority w:val="0"/>
    <w:pPr>
      <w:numPr>
        <w:numId w:val="10"/>
      </w:numPr>
      <w:ind w:left="0" w:firstLine="200"/>
    </w:pPr>
  </w:style>
  <w:style w:type="paragraph" w:customStyle="1" w:styleId="99">
    <w:name w:val="标准文件_三级条标题"/>
    <w:basedOn w:val="70"/>
    <w:next w:val="61"/>
    <w:link w:val="251"/>
    <w:autoRedefine/>
    <w:qFormat/>
    <w:uiPriority w:val="0"/>
    <w:pPr>
      <w:widowControl/>
      <w:numPr>
        <w:ilvl w:val="4"/>
      </w:numPr>
      <w:outlineLvl w:val="3"/>
    </w:pPr>
  </w:style>
  <w:style w:type="character" w:customStyle="1" w:styleId="100">
    <w:name w:val="不明显参考1"/>
    <w:autoRedefine/>
    <w:qFormat/>
    <w:uiPriority w:val="31"/>
    <w:rPr>
      <w:smallCaps/>
      <w:color w:val="C0504D"/>
      <w:u w:val="single"/>
    </w:rPr>
  </w:style>
  <w:style w:type="paragraph" w:customStyle="1" w:styleId="101">
    <w:name w:val="标准文件_示例后续"/>
    <w:basedOn w:val="1"/>
    <w:autoRedefine/>
    <w:qFormat/>
    <w:uiPriority w:val="0"/>
    <w:pPr>
      <w:adjustRightInd/>
      <w:spacing w:line="240" w:lineRule="auto"/>
      <w:ind w:firstLine="200" w:firstLineChars="200"/>
    </w:pPr>
    <w:rPr>
      <w:sz w:val="18"/>
      <w:szCs w:val="24"/>
    </w:rPr>
  </w:style>
  <w:style w:type="paragraph" w:customStyle="1" w:styleId="102">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3">
    <w:name w:val="标准文件_四级条标题"/>
    <w:next w:val="61"/>
    <w:link w:val="262"/>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4">
    <w:name w:val="脚注文本 字符"/>
    <w:link w:val="22"/>
    <w:autoRedefine/>
    <w:semiHidden/>
    <w:qFormat/>
    <w:uiPriority w:val="0"/>
    <w:rPr>
      <w:rFonts w:ascii="宋体" w:hAnsi="Times New Roman" w:eastAsia="宋体" w:cs="Times New Roman"/>
      <w:sz w:val="18"/>
      <w:szCs w:val="18"/>
    </w:rPr>
  </w:style>
  <w:style w:type="paragraph" w:customStyle="1" w:styleId="105">
    <w:name w:val="标准文件_条文脚注"/>
    <w:basedOn w:val="22"/>
    <w:link w:val="260"/>
    <w:autoRedefine/>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1"/>
    <w:link w:val="259"/>
    <w:autoRedefine/>
    <w:qFormat/>
    <w:uiPriority w:val="0"/>
    <w:pPr>
      <w:numPr>
        <w:ilvl w:val="0"/>
        <w:numId w:val="12"/>
      </w:numPr>
      <w:spacing w:line="240" w:lineRule="auto"/>
      <w:jc w:val="left"/>
    </w:pPr>
    <w:rPr>
      <w:rFonts w:ascii="宋体" w:hAnsi="宋体"/>
      <w:sz w:val="18"/>
    </w:rPr>
  </w:style>
  <w:style w:type="character" w:customStyle="1" w:styleId="107">
    <w:name w:val="标准文件_图表脚注内容"/>
    <w:autoRedefine/>
    <w:qFormat/>
    <w:uiPriority w:val="0"/>
    <w:rPr>
      <w:rFonts w:ascii="宋体" w:hAnsi="宋体" w:eastAsia="宋体" w:cs="Times New Roman"/>
      <w:spacing w:val="0"/>
      <w:sz w:val="18"/>
      <w:vertAlign w:val="superscript"/>
    </w:rPr>
  </w:style>
  <w:style w:type="paragraph" w:customStyle="1" w:styleId="108">
    <w:name w:val="标准文件_五级条标题"/>
    <w:next w:val="61"/>
    <w:link w:val="258"/>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61"/>
    <w:autoRedefine/>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61"/>
    <w:link w:val="252"/>
    <w:autoRedefine/>
    <w:qFormat/>
    <w:uiPriority w:val="0"/>
    <w:pPr>
      <w:numPr>
        <w:ilvl w:val="2"/>
      </w:numPr>
      <w:spacing w:beforeLines="50" w:afterLines="50"/>
      <w:outlineLvl w:val="1"/>
    </w:pPr>
  </w:style>
  <w:style w:type="paragraph" w:customStyle="1" w:styleId="111">
    <w:name w:val="标准文件_一致程度"/>
    <w:basedOn w:val="1"/>
    <w:link w:val="253"/>
    <w:autoRedefine/>
    <w:qFormat/>
    <w:uiPriority w:val="0"/>
    <w:pPr>
      <w:spacing w:line="440" w:lineRule="exact"/>
      <w:jc w:val="center"/>
    </w:pPr>
    <w:rPr>
      <w:sz w:val="28"/>
    </w:rPr>
  </w:style>
  <w:style w:type="paragraph" w:customStyle="1" w:styleId="112">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0"/>
    <w:link w:val="254"/>
    <w:autoRedefine/>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5">
    <w:name w:val="标准文件_英文注："/>
    <w:basedOn w:val="1"/>
    <w:next w:val="61"/>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7">
    <w:name w:val="标准文件_正文表标题"/>
    <w:next w:val="61"/>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公式"/>
    <w:basedOn w:val="1"/>
    <w:next w:val="60"/>
    <w:link w:val="256"/>
    <w:autoRedefine/>
    <w:qFormat/>
    <w:uiPriority w:val="0"/>
    <w:pPr>
      <w:tabs>
        <w:tab w:val="center" w:pos="4678"/>
        <w:tab w:val="right" w:leader="middleDot" w:pos="9356"/>
      </w:tabs>
      <w:spacing w:line="240" w:lineRule="auto"/>
    </w:pPr>
    <w:rPr>
      <w:rFonts w:ascii="宋体" w:hAnsi="宋体"/>
    </w:rPr>
  </w:style>
  <w:style w:type="paragraph" w:customStyle="1" w:styleId="119">
    <w:name w:val="标准文件_正文图标题"/>
    <w:next w:val="61"/>
    <w:link w:val="255"/>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0">
    <w:name w:val="标准文件_正文英文表标题"/>
    <w:next w:val="61"/>
    <w:link w:val="257"/>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1">
    <w:name w:val="标准文件_正文英文图标题"/>
    <w:next w:val="61"/>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2">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3">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4">
    <w:name w:val="发布部门"/>
    <w:next w:val="61"/>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5">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6">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9">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0">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2">
    <w:name w:val="封面正文"/>
    <w:autoRedefine/>
    <w:qFormat/>
    <w:uiPriority w:val="0"/>
    <w:pPr>
      <w:jc w:val="both"/>
    </w:pPr>
    <w:rPr>
      <w:rFonts w:ascii="Times New Roman" w:hAnsi="Times New Roman" w:eastAsia="宋体" w:cs="Times New Roman"/>
      <w:lang w:val="en-US" w:eastAsia="zh-CN" w:bidi="ar-SA"/>
    </w:rPr>
  </w:style>
  <w:style w:type="paragraph" w:customStyle="1" w:styleId="133">
    <w:name w:val="附录二级无标题条"/>
    <w:basedOn w:val="1"/>
    <w:next w:val="61"/>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4">
    <w:name w:val="附录三级无标题条"/>
    <w:basedOn w:val="133"/>
    <w:next w:val="61"/>
    <w:autoRedefine/>
    <w:qFormat/>
    <w:uiPriority w:val="0"/>
    <w:pPr>
      <w:outlineLvl w:val="4"/>
    </w:pPr>
  </w:style>
  <w:style w:type="paragraph" w:customStyle="1" w:styleId="135">
    <w:name w:val="附录四级无标题条"/>
    <w:basedOn w:val="134"/>
    <w:next w:val="61"/>
    <w:autoRedefine/>
    <w:qFormat/>
    <w:uiPriority w:val="0"/>
    <w:pPr>
      <w:outlineLvl w:val="5"/>
    </w:pPr>
  </w:style>
  <w:style w:type="paragraph" w:customStyle="1" w:styleId="136">
    <w:name w:val="附录图"/>
    <w:next w:val="61"/>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8">
    <w:name w:val="附录五级无标题条"/>
    <w:basedOn w:val="135"/>
    <w:next w:val="61"/>
    <w:autoRedefine/>
    <w:qFormat/>
    <w:uiPriority w:val="0"/>
    <w:pPr>
      <w:outlineLvl w:val="6"/>
    </w:pPr>
  </w:style>
  <w:style w:type="paragraph" w:customStyle="1" w:styleId="139">
    <w:name w:val="附录性质"/>
    <w:basedOn w:val="1"/>
    <w:autoRedefine/>
    <w:qFormat/>
    <w:uiPriority w:val="0"/>
    <w:pPr>
      <w:widowControl/>
      <w:adjustRightInd/>
      <w:jc w:val="center"/>
    </w:pPr>
    <w:rPr>
      <w:rFonts w:ascii="黑体" w:eastAsia="黑体"/>
    </w:rPr>
  </w:style>
  <w:style w:type="paragraph" w:customStyle="1" w:styleId="140">
    <w:name w:val="附录一级无标题条"/>
    <w:basedOn w:val="92"/>
    <w:next w:val="61"/>
    <w:autoRedefine/>
    <w:qFormat/>
    <w:uiPriority w:val="0"/>
    <w:pPr>
      <w:autoSpaceDN w:val="0"/>
      <w:outlineLvl w:val="2"/>
    </w:pPr>
    <w:rPr>
      <w:rFonts w:ascii="宋体" w:hAnsi="宋体" w:eastAsia="宋体"/>
    </w:rPr>
  </w:style>
  <w:style w:type="character" w:customStyle="1" w:styleId="141">
    <w:name w:val="个人答复风格"/>
    <w:autoRedefine/>
    <w:qFormat/>
    <w:uiPriority w:val="0"/>
    <w:rPr>
      <w:rFonts w:ascii="Arial" w:hAnsi="Arial" w:eastAsia="宋体" w:cs="Arial"/>
      <w:color w:val="auto"/>
      <w:spacing w:val="0"/>
      <w:sz w:val="20"/>
    </w:rPr>
  </w:style>
  <w:style w:type="character" w:customStyle="1" w:styleId="142">
    <w:name w:val="个人撰写风格"/>
    <w:autoRedefine/>
    <w:qFormat/>
    <w:uiPriority w:val="0"/>
    <w:rPr>
      <w:rFonts w:ascii="Arial" w:hAnsi="Arial" w:eastAsia="宋体" w:cs="Arial"/>
      <w:color w:val="auto"/>
      <w:spacing w:val="0"/>
      <w:sz w:val="20"/>
    </w:rPr>
  </w:style>
  <w:style w:type="paragraph" w:customStyle="1" w:styleId="143">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4">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5">
    <w:name w:val="列项·"/>
    <w:basedOn w:val="61"/>
    <w:autoRedefine/>
    <w:qFormat/>
    <w:uiPriority w:val="0"/>
    <w:pPr>
      <w:tabs>
        <w:tab w:val="left" w:pos="840"/>
      </w:tabs>
    </w:pPr>
  </w:style>
  <w:style w:type="paragraph" w:customStyle="1" w:styleId="146">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autoRedefine/>
    <w:semiHidden/>
    <w:qFormat/>
    <w:uiPriority w:val="0"/>
    <w:pPr>
      <w:adjustRightInd/>
      <w:spacing w:line="240" w:lineRule="auto"/>
      <w:jc w:val="left"/>
    </w:pPr>
    <w:rPr>
      <w:bCs/>
      <w:iCs/>
    </w:rPr>
  </w:style>
  <w:style w:type="paragraph" w:customStyle="1" w:styleId="148">
    <w:name w:val="目录 31"/>
    <w:basedOn w:val="1"/>
    <w:next w:val="1"/>
    <w:autoRedefine/>
    <w:semiHidden/>
    <w:qFormat/>
    <w:uiPriority w:val="0"/>
    <w:pPr>
      <w:spacing w:line="240" w:lineRule="auto"/>
    </w:pPr>
    <w:rPr>
      <w:rFonts w:ascii="宋体" w:hAnsi="宋体"/>
      <w:iCs/>
    </w:rPr>
  </w:style>
  <w:style w:type="paragraph" w:customStyle="1" w:styleId="149">
    <w:name w:val="目录 41"/>
    <w:basedOn w:val="1"/>
    <w:next w:val="1"/>
    <w:autoRedefine/>
    <w:semiHidden/>
    <w:qFormat/>
    <w:uiPriority w:val="0"/>
    <w:pPr>
      <w:adjustRightInd/>
      <w:spacing w:line="240" w:lineRule="auto"/>
      <w:jc w:val="left"/>
    </w:pPr>
  </w:style>
  <w:style w:type="paragraph" w:customStyle="1" w:styleId="150">
    <w:name w:val="目录 51"/>
    <w:basedOn w:val="1"/>
    <w:next w:val="1"/>
    <w:autoRedefine/>
    <w:semiHidden/>
    <w:qFormat/>
    <w:uiPriority w:val="0"/>
    <w:pPr>
      <w:spacing w:line="240" w:lineRule="auto"/>
    </w:pPr>
    <w:rPr>
      <w:rFonts w:ascii="宋体" w:hAnsi="宋体"/>
    </w:rPr>
  </w:style>
  <w:style w:type="paragraph" w:customStyle="1" w:styleId="151">
    <w:name w:val="目录 61"/>
    <w:basedOn w:val="1"/>
    <w:next w:val="1"/>
    <w:autoRedefine/>
    <w:semiHidden/>
    <w:qFormat/>
    <w:uiPriority w:val="0"/>
    <w:pPr>
      <w:adjustRightInd/>
      <w:spacing w:line="240" w:lineRule="auto"/>
      <w:jc w:val="left"/>
    </w:pPr>
  </w:style>
  <w:style w:type="paragraph" w:customStyle="1" w:styleId="152">
    <w:name w:val="目录 71"/>
    <w:basedOn w:val="151"/>
    <w:autoRedefine/>
    <w:semiHidden/>
    <w:qFormat/>
    <w:uiPriority w:val="0"/>
    <w:pPr>
      <w:ind w:left="1260"/>
    </w:pPr>
  </w:style>
  <w:style w:type="paragraph" w:customStyle="1" w:styleId="153">
    <w:name w:val="目录 81"/>
    <w:basedOn w:val="152"/>
    <w:autoRedefine/>
    <w:semiHidden/>
    <w:qFormat/>
    <w:uiPriority w:val="0"/>
    <w:pPr>
      <w:ind w:left="1470"/>
    </w:pPr>
  </w:style>
  <w:style w:type="paragraph" w:customStyle="1" w:styleId="154">
    <w:name w:val="目录 91"/>
    <w:basedOn w:val="153"/>
    <w:autoRedefine/>
    <w:semiHidden/>
    <w:qFormat/>
    <w:uiPriority w:val="0"/>
    <w:pPr>
      <w:ind w:left="1680"/>
    </w:pPr>
  </w:style>
  <w:style w:type="paragraph" w:customStyle="1" w:styleId="155">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6">
    <w:name w:val="其他发布部门"/>
    <w:basedOn w:val="124"/>
    <w:autoRedefine/>
    <w:qFormat/>
    <w:uiPriority w:val="0"/>
    <w:pPr>
      <w:framePr w:wrap="around"/>
      <w:spacing w:line="0" w:lineRule="atLeast"/>
    </w:pPr>
    <w:rPr>
      <w:rFonts w:ascii="黑体" w:eastAsia="黑体"/>
      <w:b w:val="0"/>
    </w:rPr>
  </w:style>
  <w:style w:type="paragraph" w:customStyle="1" w:styleId="157">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8">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9">
    <w:name w:val="实施日期"/>
    <w:basedOn w:val="125"/>
    <w:autoRedefine/>
    <w:qFormat/>
    <w:uiPriority w:val="0"/>
    <w:pPr>
      <w:framePr w:hSpace="0" w:wrap="around" w:xAlign="right"/>
      <w:jc w:val="right"/>
    </w:pPr>
  </w:style>
  <w:style w:type="paragraph" w:customStyle="1" w:styleId="160">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1">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61"/>
    <w:autoRedefine/>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autoRedefine/>
    <w:qFormat/>
    <w:uiPriority w:val="0"/>
    <w:pPr>
      <w:numPr>
        <w:ilvl w:val="6"/>
        <w:numId w:val="20"/>
      </w:numPr>
      <w:adjustRightInd/>
    </w:pPr>
    <w:rPr>
      <w:szCs w:val="24"/>
    </w:rPr>
  </w:style>
  <w:style w:type="paragraph" w:customStyle="1" w:styleId="164">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5">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autoRedefine/>
    <w:qFormat/>
    <w:uiPriority w:val="0"/>
    <w:pPr>
      <w:ind w:left="1406" w:leftChars="0" w:hanging="499" w:firstLineChars="0"/>
    </w:pPr>
  </w:style>
  <w:style w:type="paragraph" w:customStyle="1" w:styleId="167">
    <w:name w:val="标准文件_一级无标题"/>
    <w:basedOn w:val="110"/>
    <w:autoRedefine/>
    <w:qFormat/>
    <w:uiPriority w:val="0"/>
    <w:pPr>
      <w:spacing w:beforeLines="0" w:afterLines="0"/>
      <w:outlineLvl w:val="9"/>
    </w:pPr>
    <w:rPr>
      <w:rFonts w:ascii="宋体" w:eastAsia="宋体"/>
    </w:rPr>
  </w:style>
  <w:style w:type="paragraph" w:customStyle="1" w:styleId="168">
    <w:name w:val="标准文件_五级无标题"/>
    <w:basedOn w:val="108"/>
    <w:autoRedefine/>
    <w:qFormat/>
    <w:uiPriority w:val="0"/>
    <w:pPr>
      <w:spacing w:beforeLines="0" w:afterLines="0"/>
      <w:outlineLvl w:val="9"/>
    </w:pPr>
    <w:rPr>
      <w:rFonts w:ascii="宋体" w:eastAsia="宋体"/>
    </w:rPr>
  </w:style>
  <w:style w:type="paragraph" w:customStyle="1" w:styleId="169">
    <w:name w:val="标准文件_三级无标题"/>
    <w:basedOn w:val="99"/>
    <w:autoRedefine/>
    <w:qFormat/>
    <w:uiPriority w:val="0"/>
    <w:pPr>
      <w:spacing w:beforeLines="0" w:afterLines="0"/>
      <w:outlineLvl w:val="9"/>
    </w:pPr>
    <w:rPr>
      <w:rFonts w:ascii="宋体" w:eastAsia="宋体"/>
    </w:rPr>
  </w:style>
  <w:style w:type="paragraph" w:customStyle="1" w:styleId="170">
    <w:name w:val="标准文件_二级无标题"/>
    <w:basedOn w:val="70"/>
    <w:autoRedefine/>
    <w:qFormat/>
    <w:uiPriority w:val="0"/>
    <w:pPr>
      <w:spacing w:beforeLines="0" w:afterLines="0"/>
      <w:outlineLvl w:val="9"/>
    </w:pPr>
    <w:rPr>
      <w:rFonts w:ascii="宋体" w:eastAsia="宋体"/>
    </w:rPr>
  </w:style>
  <w:style w:type="paragraph" w:customStyle="1" w:styleId="171">
    <w:name w:val="标准_四级无标题"/>
    <w:basedOn w:val="103"/>
    <w:next w:val="61"/>
    <w:autoRedefine/>
    <w:qFormat/>
    <w:uiPriority w:val="0"/>
    <w:rPr>
      <w:rFonts w:eastAsia="宋体"/>
    </w:rPr>
  </w:style>
  <w:style w:type="paragraph" w:customStyle="1" w:styleId="172">
    <w:name w:val="标准文件_四级无标题"/>
    <w:basedOn w:val="103"/>
    <w:autoRedefine/>
    <w:qFormat/>
    <w:uiPriority w:val="0"/>
    <w:pPr>
      <w:spacing w:beforeLines="0" w:afterLines="0"/>
      <w:outlineLvl w:val="9"/>
    </w:pPr>
    <w:rPr>
      <w:rFonts w:ascii="宋体" w:hAnsi="黑体" w:eastAsia="宋体"/>
      <w:szCs w:val="52"/>
    </w:rPr>
  </w:style>
  <w:style w:type="paragraph" w:customStyle="1" w:styleId="173">
    <w:name w:val="标准文件_大写罗马数字编号列项"/>
    <w:basedOn w:val="61"/>
    <w:autoRedefine/>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61"/>
    <w:autoRedefine/>
    <w:qFormat/>
    <w:uiPriority w:val="0"/>
    <w:pPr>
      <w:numPr>
        <w:ilvl w:val="0"/>
        <w:numId w:val="24"/>
      </w:numPr>
      <w:ind w:firstLine="0" w:firstLineChars="0"/>
    </w:pPr>
    <w:rPr>
      <w:rFonts w:cs="Arial"/>
      <w:szCs w:val="28"/>
    </w:rPr>
  </w:style>
  <w:style w:type="paragraph" w:customStyle="1" w:styleId="175">
    <w:name w:val="标准文件_附录标题"/>
    <w:basedOn w:val="81"/>
    <w:autoRedefine/>
    <w:qFormat/>
    <w:uiPriority w:val="0"/>
    <w:pPr>
      <w:numPr>
        <w:numId w:val="0"/>
      </w:numPr>
      <w:spacing w:after="280"/>
      <w:outlineLvl w:val="9"/>
    </w:pPr>
  </w:style>
  <w:style w:type="paragraph" w:customStyle="1" w:styleId="176">
    <w:name w:val="标准文件_二级项"/>
    <w:link w:val="261"/>
    <w:autoRedefine/>
    <w:qFormat/>
    <w:uiPriority w:val="0"/>
    <w:rPr>
      <w:rFonts w:ascii="宋体" w:hAnsi="Times New Roman" w:eastAsia="宋体" w:cs="Times New Roman"/>
      <w:sz w:val="21"/>
      <w:lang w:val="en-US" w:eastAsia="zh-CN" w:bidi="ar-SA"/>
    </w:rPr>
  </w:style>
  <w:style w:type="paragraph" w:customStyle="1" w:styleId="177">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61"/>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9">
    <w:name w:val="标准文件_字母编号列项（一级）"/>
    <w:autoRedefine/>
    <w:qFormat/>
    <w:uiPriority w:val="0"/>
    <w:pPr>
      <w:numPr>
        <w:ilvl w:val="0"/>
        <w:numId w:val="13"/>
      </w:numPr>
      <w:jc w:val="both"/>
      <w:pPrChange w:id="2" w:author="柯 张" w:date="2026-07-05T12:15:00Z">
        <w:pPr>
          <w:numPr>
            <w:numId w:val="13"/>
          </w:numPr>
          <w:ind w:left="851" w:hanging="426"/>
          <w:jc w:val="both"/>
        </w:pPr>
      </w:pPrChange>
    </w:pPr>
    <w:rPr>
      <w:rFonts w:ascii="宋体" w:hAnsi="Times New Roman" w:eastAsia="宋体" w:cs="Times New Roman"/>
      <w:sz w:val="21"/>
      <w:lang w:val="en-US" w:eastAsia="zh-CN" w:bidi="ar-SA"/>
      <w:rPrChange w:id="3" w:author="柯 张" w:date="2026-07-05T12:15:00Z">
        <w:rPr>
          <w:rFonts w:ascii="宋体" w:eastAsia="宋体"/>
          <w:sz w:val="21"/>
          <w:lang w:val="en-US" w:eastAsia="zh-CN" w:bidi="ar-SA"/>
        </w:rPr>
      </w:rPrChange>
    </w:rPr>
  </w:style>
  <w:style w:type="paragraph" w:customStyle="1" w:styleId="180">
    <w:name w:val="标准文件_索引字母"/>
    <w:next w:val="61"/>
    <w:autoRedefine/>
    <w:qFormat/>
    <w:uiPriority w:val="0"/>
    <w:pPr>
      <w:jc w:val="center"/>
    </w:pPr>
    <w:rPr>
      <w:rFonts w:ascii="宋体" w:hAnsi="宋体" w:eastAsia="Times New Roman" w:cs="Times New Roman"/>
      <w:b/>
      <w:kern w:val="2"/>
      <w:sz w:val="21"/>
      <w:lang w:val="en-US" w:eastAsia="zh-CN" w:bidi="ar-SA"/>
    </w:rPr>
  </w:style>
  <w:style w:type="paragraph" w:customStyle="1" w:styleId="181">
    <w:name w:val="标准文件_附录前"/>
    <w:next w:val="61"/>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2">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1"/>
    <w:autoRedefine/>
    <w:qFormat/>
    <w:uiPriority w:val="0"/>
    <w:pPr>
      <w:ind w:firstLine="0" w:firstLineChars="0"/>
      <w:jc w:val="center"/>
    </w:pPr>
    <w:rPr>
      <w:sz w:val="18"/>
    </w:rPr>
  </w:style>
  <w:style w:type="paragraph" w:customStyle="1" w:styleId="184">
    <w:name w:val="标准文件_注："/>
    <w:next w:val="61"/>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示例："/>
    <w:next w:val="187"/>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7">
    <w:name w:val="标准文件_示例内容"/>
    <w:basedOn w:val="61"/>
    <w:autoRedefine/>
    <w:qFormat/>
    <w:uiPriority w:val="0"/>
    <w:rPr>
      <w:sz w:val="18"/>
    </w:rPr>
  </w:style>
  <w:style w:type="paragraph" w:customStyle="1" w:styleId="188">
    <w:name w:val="标准文件_示例×："/>
    <w:basedOn w:val="1"/>
    <w:next w:val="187"/>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9">
    <w:name w:val="标准文件_段 Char"/>
    <w:link w:val="61"/>
    <w:autoRedefine/>
    <w:qFormat/>
    <w:uiPriority w:val="0"/>
    <w:rPr>
      <w:rFonts w:ascii="宋体"/>
      <w:sz w:val="21"/>
    </w:rPr>
  </w:style>
  <w:style w:type="paragraph" w:customStyle="1" w:styleId="190">
    <w:name w:val="标准文件_表格续"/>
    <w:basedOn w:val="61"/>
    <w:next w:val="61"/>
    <w:autoRedefine/>
    <w:qFormat/>
    <w:uiPriority w:val="0"/>
    <w:pPr>
      <w:jc w:val="center"/>
    </w:pPr>
    <w:rPr>
      <w:rFonts w:ascii="黑体" w:hAnsi="黑体" w:eastAsia="黑体"/>
    </w:rPr>
  </w:style>
  <w:style w:type="character" w:customStyle="1" w:styleId="191">
    <w:name w:val="占位符文本1"/>
    <w:basedOn w:val="31"/>
    <w:autoRedefine/>
    <w:semiHidden/>
    <w:qFormat/>
    <w:uiPriority w:val="99"/>
    <w:rPr>
      <w:color w:val="808080"/>
    </w:rPr>
  </w:style>
  <w:style w:type="paragraph" w:customStyle="1" w:styleId="192">
    <w:name w:val="标准文件_二级项2"/>
    <w:basedOn w:val="61"/>
    <w:autoRedefine/>
    <w:qFormat/>
    <w:uiPriority w:val="0"/>
    <w:pPr>
      <w:numPr>
        <w:ilvl w:val="1"/>
        <w:numId w:val="21"/>
      </w:numPr>
      <w:ind w:left="1271" w:hanging="420" w:firstLineChars="0"/>
    </w:pPr>
  </w:style>
  <w:style w:type="paragraph" w:customStyle="1" w:styleId="193">
    <w:name w:val="标准文件_三级项2"/>
    <w:basedOn w:val="61"/>
    <w:autoRedefine/>
    <w:qFormat/>
    <w:uiPriority w:val="0"/>
    <w:pPr>
      <w:numPr>
        <w:ilvl w:val="0"/>
        <w:numId w:val="30"/>
      </w:numPr>
      <w:spacing w:line="300" w:lineRule="exact"/>
      <w:ind w:left="1276" w:hanging="425" w:firstLineChars="0"/>
    </w:pPr>
    <w:rPr>
      <w:rFonts w:ascii="Times New Roman"/>
    </w:rPr>
  </w:style>
  <w:style w:type="paragraph" w:customStyle="1" w:styleId="194">
    <w:name w:val="标准文件_一级项2"/>
    <w:basedOn w:val="61"/>
    <w:autoRedefine/>
    <w:qFormat/>
    <w:uiPriority w:val="0"/>
    <w:pPr>
      <w:numPr>
        <w:ilvl w:val="0"/>
        <w:numId w:val="31"/>
      </w:numPr>
      <w:spacing w:line="300" w:lineRule="exact"/>
      <w:ind w:left="1271" w:hanging="420" w:firstLineChars="0"/>
    </w:pPr>
    <w:rPr>
      <w:rFonts w:ascii="Times New Roman"/>
    </w:rPr>
  </w:style>
  <w:style w:type="paragraph" w:customStyle="1" w:styleId="195">
    <w:name w:val="标准文件_提示"/>
    <w:basedOn w:val="61"/>
    <w:next w:val="61"/>
    <w:autoRedefine/>
    <w:qFormat/>
    <w:uiPriority w:val="0"/>
    <w:rPr>
      <w:rFonts w:ascii="黑体" w:eastAsia="黑体"/>
    </w:rPr>
  </w:style>
  <w:style w:type="character" w:customStyle="1" w:styleId="196">
    <w:name w:val="标准文件_来源"/>
    <w:basedOn w:val="31"/>
    <w:autoRedefine/>
    <w:qFormat/>
    <w:uiPriority w:val="1"/>
    <w:rPr>
      <w:rFonts w:eastAsia="宋体"/>
      <w:sz w:val="21"/>
    </w:rPr>
  </w:style>
  <w:style w:type="paragraph" w:customStyle="1" w:styleId="197">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8">
    <w:name w:val="其他发布日期"/>
    <w:basedOn w:val="125"/>
    <w:autoRedefine/>
    <w:qFormat/>
    <w:uiPriority w:val="0"/>
    <w:pPr>
      <w:framePr w:w="3997" w:h="471" w:hRule="exact" w:hSpace="0" w:vSpace="181" w:wrap="around" w:vAnchor="page" w:hAnchor="page" w:x="1419" w:y="14097"/>
    </w:pPr>
  </w:style>
  <w:style w:type="paragraph" w:customStyle="1" w:styleId="199">
    <w:name w:val="其他实施日期"/>
    <w:basedOn w:val="159"/>
    <w:autoRedefine/>
    <w:qFormat/>
    <w:uiPriority w:val="0"/>
    <w:pPr>
      <w:framePr w:w="3997" w:h="471" w:hRule="exact" w:vSpace="181" w:wrap="around" w:vAnchor="page" w:hAnchor="page" w:x="7089" w:y="14097"/>
    </w:pPr>
  </w:style>
  <w:style w:type="paragraph" w:customStyle="1" w:styleId="200">
    <w:name w:val="标准文件_文件编号"/>
    <w:basedOn w:val="61"/>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autoRedefine/>
    <w:qFormat/>
    <w:uiPriority w:val="0"/>
    <w:pPr>
      <w:framePr w:wrap="around"/>
      <w:spacing w:before="57"/>
    </w:pPr>
    <w:rPr>
      <w:sz w:val="21"/>
    </w:rPr>
  </w:style>
  <w:style w:type="paragraph" w:customStyle="1" w:styleId="202">
    <w:name w:val="标准文件_文件名称"/>
    <w:basedOn w:val="61"/>
    <w:next w:val="61"/>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1"/>
    <w:next w:val="61"/>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1"/>
    <w:next w:val="61"/>
    <w:autoRedefine/>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1"/>
    <w:next w:val="61"/>
    <w:autoRedefine/>
    <w:qFormat/>
    <w:uiPriority w:val="0"/>
    <w:pPr>
      <w:numPr>
        <w:ilvl w:val="1"/>
        <w:numId w:val="8"/>
      </w:numPr>
      <w:spacing w:beforeLines="50" w:afterLines="50"/>
      <w:ind w:firstLineChars="0"/>
    </w:pPr>
    <w:rPr>
      <w:rFonts w:ascii="黑体" w:eastAsia="黑体"/>
    </w:rPr>
  </w:style>
  <w:style w:type="paragraph" w:customStyle="1" w:styleId="206">
    <w:name w:val="标准文件_引言二级条标题"/>
    <w:basedOn w:val="61"/>
    <w:next w:val="61"/>
    <w:autoRedefine/>
    <w:qFormat/>
    <w:uiPriority w:val="0"/>
    <w:pPr>
      <w:numPr>
        <w:ilvl w:val="2"/>
        <w:numId w:val="8"/>
      </w:numPr>
      <w:spacing w:beforeLines="50" w:afterLines="50"/>
      <w:ind w:firstLineChars="0"/>
    </w:pPr>
    <w:rPr>
      <w:rFonts w:ascii="黑体" w:eastAsia="黑体"/>
    </w:rPr>
  </w:style>
  <w:style w:type="paragraph" w:customStyle="1" w:styleId="207">
    <w:name w:val="标准文件_引言三级条标题"/>
    <w:basedOn w:val="61"/>
    <w:next w:val="61"/>
    <w:autoRedefine/>
    <w:qFormat/>
    <w:uiPriority w:val="0"/>
    <w:pPr>
      <w:numPr>
        <w:ilvl w:val="3"/>
        <w:numId w:val="8"/>
      </w:numPr>
      <w:spacing w:beforeLines="50" w:afterLines="50"/>
      <w:ind w:firstLineChars="0"/>
    </w:pPr>
    <w:rPr>
      <w:rFonts w:ascii="黑体" w:eastAsia="黑体"/>
    </w:rPr>
  </w:style>
  <w:style w:type="paragraph" w:customStyle="1" w:styleId="208">
    <w:name w:val="标准文件_引言四级条标题"/>
    <w:basedOn w:val="61"/>
    <w:next w:val="61"/>
    <w:autoRedefine/>
    <w:qFormat/>
    <w:uiPriority w:val="0"/>
    <w:pPr>
      <w:numPr>
        <w:ilvl w:val="4"/>
        <w:numId w:val="8"/>
      </w:numPr>
      <w:spacing w:beforeLines="50" w:afterLines="50"/>
      <w:ind w:firstLineChars="0"/>
    </w:pPr>
    <w:rPr>
      <w:rFonts w:ascii="黑体" w:eastAsia="黑体"/>
    </w:rPr>
  </w:style>
  <w:style w:type="paragraph" w:customStyle="1" w:styleId="209">
    <w:name w:val="标准文件_引言五级条标题"/>
    <w:basedOn w:val="61"/>
    <w:next w:val="61"/>
    <w:autoRedefine/>
    <w:qFormat/>
    <w:uiPriority w:val="0"/>
    <w:pPr>
      <w:numPr>
        <w:ilvl w:val="5"/>
        <w:numId w:val="8"/>
      </w:numPr>
      <w:spacing w:beforeLines="50" w:afterLines="50"/>
      <w:ind w:firstLineChars="0"/>
    </w:pPr>
    <w:rPr>
      <w:rFonts w:ascii="黑体" w:eastAsia="黑体"/>
    </w:rPr>
  </w:style>
  <w:style w:type="paragraph" w:customStyle="1" w:styleId="210">
    <w:name w:val="标准文件_注后"/>
    <w:basedOn w:val="61"/>
    <w:autoRedefine/>
    <w:qFormat/>
    <w:uiPriority w:val="0"/>
    <w:pPr>
      <w:ind w:left="811" w:firstLine="0" w:firstLineChars="0"/>
    </w:pPr>
    <w:rPr>
      <w:sz w:val="18"/>
    </w:rPr>
  </w:style>
  <w:style w:type="paragraph" w:customStyle="1" w:styleId="211">
    <w:name w:val="标准文件_注X后"/>
    <w:basedOn w:val="61"/>
    <w:autoRedefine/>
    <w:qFormat/>
    <w:uiPriority w:val="0"/>
    <w:pPr>
      <w:ind w:left="811" w:firstLine="0" w:firstLineChars="0"/>
    </w:pPr>
    <w:rPr>
      <w:sz w:val="18"/>
    </w:rPr>
  </w:style>
  <w:style w:type="paragraph" w:customStyle="1" w:styleId="212">
    <w:name w:val="标准文件_示例后"/>
    <w:basedOn w:val="61"/>
    <w:autoRedefine/>
    <w:qFormat/>
    <w:uiPriority w:val="0"/>
    <w:pPr>
      <w:ind w:left="964" w:firstLine="0" w:firstLineChars="0"/>
    </w:pPr>
    <w:rPr>
      <w:sz w:val="18"/>
    </w:rPr>
  </w:style>
  <w:style w:type="paragraph" w:customStyle="1" w:styleId="213">
    <w:name w:val="标准文件_示例X后"/>
    <w:basedOn w:val="61"/>
    <w:link w:val="214"/>
    <w:autoRedefine/>
    <w:qFormat/>
    <w:uiPriority w:val="0"/>
    <w:pPr>
      <w:ind w:left="1049" w:firstLine="0" w:firstLineChars="0"/>
    </w:pPr>
    <w:rPr>
      <w:sz w:val="18"/>
    </w:rPr>
  </w:style>
  <w:style w:type="character" w:customStyle="1" w:styleId="214">
    <w:name w:val="标准文件_示例X后 字符"/>
    <w:basedOn w:val="189"/>
    <w:link w:val="213"/>
    <w:autoRedefine/>
    <w:qFormat/>
    <w:uiPriority w:val="0"/>
    <w:rPr>
      <w:rFonts w:ascii="宋体" w:hAnsi="Times New Roman"/>
      <w:sz w:val="18"/>
    </w:rPr>
  </w:style>
  <w:style w:type="paragraph" w:customStyle="1" w:styleId="215">
    <w:name w:val="标准文件_索引项"/>
    <w:basedOn w:val="61"/>
    <w:next w:val="61"/>
    <w:autoRedefine/>
    <w:qFormat/>
    <w:uiPriority w:val="0"/>
    <w:pPr>
      <w:tabs>
        <w:tab w:val="right" w:leader="dot" w:pos="9356"/>
      </w:tabs>
      <w:ind w:left="210" w:hanging="210" w:firstLineChars="0"/>
      <w:jc w:val="left"/>
    </w:pPr>
  </w:style>
  <w:style w:type="paragraph" w:customStyle="1" w:styleId="216">
    <w:name w:val="标准文件_附录一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二级无标题"/>
    <w:basedOn w:val="84"/>
    <w:autoRedefine/>
    <w:qFormat/>
    <w:uiPriority w:val="0"/>
    <w:pPr>
      <w:spacing w:beforeLines="0" w:afterLines="0" w:line="276" w:lineRule="auto"/>
      <w:outlineLvl w:val="9"/>
    </w:pPr>
    <w:rPr>
      <w:rFonts w:ascii="宋体" w:eastAsia="宋体"/>
    </w:rPr>
  </w:style>
  <w:style w:type="paragraph" w:customStyle="1" w:styleId="218">
    <w:name w:val="标准文件_附录三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四级无标题"/>
    <w:basedOn w:val="87"/>
    <w:autoRedefine/>
    <w:qFormat/>
    <w:uiPriority w:val="0"/>
    <w:pPr>
      <w:spacing w:beforeLines="0" w:afterLines="0" w:line="276" w:lineRule="auto"/>
      <w:outlineLvl w:val="9"/>
    </w:pPr>
    <w:rPr>
      <w:rFonts w:ascii="宋体" w:eastAsia="宋体"/>
    </w:rPr>
  </w:style>
  <w:style w:type="paragraph" w:customStyle="1" w:styleId="220">
    <w:name w:val="标准文件_附录五级无标题"/>
    <w:basedOn w:val="89"/>
    <w:autoRedefine/>
    <w:qFormat/>
    <w:uiPriority w:val="0"/>
    <w:pPr>
      <w:spacing w:beforeLines="0" w:afterLines="0" w:line="276" w:lineRule="auto"/>
      <w:outlineLvl w:val="9"/>
    </w:pPr>
    <w:rPr>
      <w:rFonts w:ascii="宋体" w:eastAsia="宋体"/>
    </w:rPr>
  </w:style>
  <w:style w:type="paragraph" w:customStyle="1" w:styleId="221">
    <w:name w:val="标准文件_引言一级无标题"/>
    <w:basedOn w:val="205"/>
    <w:next w:val="61"/>
    <w:autoRedefine/>
    <w:qFormat/>
    <w:uiPriority w:val="0"/>
    <w:pPr>
      <w:spacing w:beforeLines="0" w:afterLines="0" w:line="276" w:lineRule="auto"/>
    </w:pPr>
    <w:rPr>
      <w:rFonts w:ascii="宋体" w:eastAsia="宋体"/>
    </w:rPr>
  </w:style>
  <w:style w:type="paragraph" w:customStyle="1" w:styleId="222">
    <w:name w:val="标准文件_引言二级无标题"/>
    <w:basedOn w:val="206"/>
    <w:next w:val="61"/>
    <w:autoRedefine/>
    <w:qFormat/>
    <w:uiPriority w:val="0"/>
    <w:pPr>
      <w:spacing w:beforeLines="0" w:afterLines="0" w:line="276" w:lineRule="auto"/>
    </w:pPr>
    <w:rPr>
      <w:rFonts w:ascii="宋体" w:eastAsia="宋体"/>
    </w:rPr>
  </w:style>
  <w:style w:type="paragraph" w:customStyle="1" w:styleId="223">
    <w:name w:val="标准文件_引言三级无标题"/>
    <w:basedOn w:val="207"/>
    <w:next w:val="61"/>
    <w:autoRedefine/>
    <w:qFormat/>
    <w:uiPriority w:val="0"/>
    <w:pPr>
      <w:spacing w:beforeLines="0" w:afterLines="0" w:line="276" w:lineRule="auto"/>
    </w:pPr>
    <w:rPr>
      <w:rFonts w:ascii="宋体" w:eastAsia="宋体"/>
    </w:rPr>
  </w:style>
  <w:style w:type="paragraph" w:customStyle="1" w:styleId="224">
    <w:name w:val="标准文件_引言四级无标题"/>
    <w:basedOn w:val="208"/>
    <w:next w:val="61"/>
    <w:autoRedefine/>
    <w:qFormat/>
    <w:uiPriority w:val="0"/>
    <w:pPr>
      <w:spacing w:beforeLines="0" w:afterLines="0" w:line="276" w:lineRule="auto"/>
    </w:pPr>
    <w:rPr>
      <w:rFonts w:ascii="宋体" w:eastAsia="宋体"/>
    </w:rPr>
  </w:style>
  <w:style w:type="paragraph" w:customStyle="1" w:styleId="225">
    <w:name w:val="标准文件_引言五级无标题"/>
    <w:basedOn w:val="209"/>
    <w:next w:val="61"/>
    <w:autoRedefine/>
    <w:qFormat/>
    <w:uiPriority w:val="0"/>
    <w:pPr>
      <w:spacing w:beforeLines="0" w:afterLines="0" w:line="276" w:lineRule="auto"/>
    </w:pPr>
    <w:rPr>
      <w:rFonts w:ascii="宋体" w:eastAsia="宋体"/>
    </w:rPr>
  </w:style>
  <w:style w:type="paragraph" w:customStyle="1" w:styleId="226">
    <w:name w:val="标准文件_索引标题"/>
    <w:basedOn w:val="68"/>
    <w:next w:val="61"/>
    <w:autoRedefine/>
    <w:qFormat/>
    <w:uiPriority w:val="0"/>
    <w:rPr>
      <w:rFonts w:hAnsi="黑体"/>
    </w:rPr>
  </w:style>
  <w:style w:type="paragraph" w:customStyle="1" w:styleId="227">
    <w:name w:val="标准文件_脚注内容"/>
    <w:basedOn w:val="61"/>
    <w:autoRedefine/>
    <w:qFormat/>
    <w:uiPriority w:val="0"/>
    <w:pPr>
      <w:ind w:left="400" w:leftChars="200" w:hanging="200" w:hangingChars="200"/>
    </w:pPr>
    <w:rPr>
      <w:sz w:val="15"/>
    </w:rPr>
  </w:style>
  <w:style w:type="paragraph" w:customStyle="1" w:styleId="228">
    <w:name w:val="标准文件_术语条一"/>
    <w:basedOn w:val="167"/>
    <w:next w:val="61"/>
    <w:autoRedefine/>
    <w:qFormat/>
    <w:uiPriority w:val="0"/>
  </w:style>
  <w:style w:type="paragraph" w:customStyle="1" w:styleId="229">
    <w:name w:val="标准文件_术语条二"/>
    <w:basedOn w:val="170"/>
    <w:next w:val="61"/>
    <w:autoRedefine/>
    <w:qFormat/>
    <w:uiPriority w:val="0"/>
  </w:style>
  <w:style w:type="paragraph" w:customStyle="1" w:styleId="230">
    <w:name w:val="标准文件_术语条三"/>
    <w:basedOn w:val="169"/>
    <w:next w:val="61"/>
    <w:autoRedefine/>
    <w:qFormat/>
    <w:uiPriority w:val="0"/>
  </w:style>
  <w:style w:type="paragraph" w:customStyle="1" w:styleId="231">
    <w:name w:val="标准文件_术语条四"/>
    <w:basedOn w:val="172"/>
    <w:next w:val="61"/>
    <w:autoRedefine/>
    <w:qFormat/>
    <w:uiPriority w:val="0"/>
  </w:style>
  <w:style w:type="paragraph" w:customStyle="1" w:styleId="232">
    <w:name w:val="标准文件_术语条五"/>
    <w:basedOn w:val="168"/>
    <w:next w:val="61"/>
    <w:autoRedefine/>
    <w:qFormat/>
    <w:uiPriority w:val="0"/>
  </w:style>
  <w:style w:type="paragraph" w:customStyle="1" w:styleId="233">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4">
    <w:name w:val="发布"/>
    <w:basedOn w:val="31"/>
    <w:autoRedefine/>
    <w:qFormat/>
    <w:uiPriority w:val="0"/>
    <w:rPr>
      <w:rFonts w:ascii="黑体" w:eastAsia="黑体"/>
      <w:spacing w:val="85"/>
      <w:w w:val="100"/>
      <w:position w:val="3"/>
      <w:sz w:val="28"/>
      <w:szCs w:val="28"/>
    </w:rPr>
  </w:style>
  <w:style w:type="paragraph" w:customStyle="1" w:styleId="235">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6">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7">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8">
    <w:name w:val="批注文字 字符"/>
    <w:basedOn w:val="31"/>
    <w:link w:val="13"/>
    <w:autoRedefine/>
    <w:semiHidden/>
    <w:qFormat/>
    <w:uiPriority w:val="99"/>
    <w:rPr>
      <w:kern w:val="2"/>
      <w:sz w:val="21"/>
      <w:szCs w:val="21"/>
    </w:rPr>
  </w:style>
  <w:style w:type="character" w:customStyle="1" w:styleId="239">
    <w:name w:val="批注主题 字符"/>
    <w:basedOn w:val="238"/>
    <w:link w:val="28"/>
    <w:autoRedefine/>
    <w:semiHidden/>
    <w:qFormat/>
    <w:uiPriority w:val="99"/>
    <w:rPr>
      <w:b/>
      <w:bCs/>
      <w:kern w:val="2"/>
      <w:sz w:val="21"/>
      <w:szCs w:val="21"/>
    </w:rPr>
  </w:style>
  <w:style w:type="character" w:customStyle="1" w:styleId="240">
    <w:name w:val="first-child"/>
    <w:basedOn w:val="31"/>
    <w:autoRedefine/>
    <w:qFormat/>
    <w:uiPriority w:val="0"/>
  </w:style>
  <w:style w:type="character" w:customStyle="1" w:styleId="241">
    <w:name w:val="layui-this"/>
    <w:basedOn w:val="31"/>
    <w:autoRedefine/>
    <w:qFormat/>
    <w:uiPriority w:val="0"/>
    <w:rPr>
      <w:bdr w:val="single" w:color="EEEEEE" w:sz="4" w:space="0"/>
      <w:shd w:val="clear" w:color="auto" w:fill="FFFFFF"/>
    </w:rPr>
  </w:style>
  <w:style w:type="table" w:customStyle="1" w:styleId="242">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3">
    <w:name w:val="Placeholder Text"/>
    <w:basedOn w:val="31"/>
    <w:autoRedefine/>
    <w:semiHidden/>
    <w:qFormat/>
    <w:uiPriority w:val="99"/>
    <w:rPr>
      <w:color w:val="808080"/>
    </w:rPr>
  </w:style>
  <w:style w:type="character" w:customStyle="1" w:styleId="244">
    <w:name w:val="15"/>
    <w:basedOn w:val="31"/>
    <w:autoRedefine/>
    <w:qFormat/>
    <w:uiPriority w:val="0"/>
    <w:rPr>
      <w:rFonts w:hint="eastAsia" w:ascii="黑体" w:hAnsi="黑体" w:eastAsia="黑体"/>
      <w:color w:val="000000"/>
      <w:sz w:val="46"/>
      <w:szCs w:val="46"/>
    </w:rPr>
  </w:style>
  <w:style w:type="paragraph" w:customStyle="1" w:styleId="245">
    <w:name w:val="3级"/>
    <w:basedOn w:val="5"/>
    <w:next w:val="1"/>
    <w:autoRedefine/>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6">
    <w:name w:val="4级"/>
    <w:basedOn w:val="6"/>
    <w:next w:val="1"/>
    <w:autoRedefine/>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7">
    <w:name w:val="标准文件_标准名称标题 Char"/>
    <w:link w:val="65"/>
    <w:autoRedefine/>
    <w:qFormat/>
    <w:uiPriority w:val="0"/>
    <w:rPr>
      <w:rFonts w:ascii="黑体" w:eastAsia="黑体"/>
      <w:kern w:val="0"/>
      <w:sz w:val="32"/>
    </w:rPr>
  </w:style>
  <w:style w:type="character" w:customStyle="1" w:styleId="248">
    <w:name w:val="标准文件_二级条标题 Char"/>
    <w:link w:val="70"/>
    <w:autoRedefine/>
    <w:qFormat/>
    <w:uiPriority w:val="0"/>
    <w:rPr>
      <w:rFonts w:ascii="黑体" w:hAnsi="Times New Roman" w:eastAsia="黑体" w:cs="Times New Roman"/>
      <w:sz w:val="21"/>
      <w:lang w:val="en-US" w:eastAsia="zh-CN" w:bidi="ar-SA"/>
    </w:rPr>
  </w:style>
  <w:style w:type="character" w:customStyle="1" w:styleId="249">
    <w:name w:val="标准文件_目次、标准名称标题 Char"/>
    <w:link w:val="95"/>
    <w:autoRedefine/>
    <w:qFormat/>
    <w:uiPriority w:val="0"/>
  </w:style>
  <w:style w:type="character" w:customStyle="1" w:styleId="250">
    <w:name w:val="标准文件_前言、引言标题 Char"/>
    <w:link w:val="94"/>
    <w:autoRedefine/>
    <w:qFormat/>
    <w:uiPriority w:val="0"/>
    <w:rPr>
      <w:rFonts w:ascii="黑体" w:hAnsi="Times New Roman" w:eastAsia="黑体" w:cs="Times New Roman"/>
      <w:sz w:val="32"/>
      <w:lang w:val="en-US" w:eastAsia="zh-CN" w:bidi="ar-SA"/>
    </w:rPr>
  </w:style>
  <w:style w:type="character" w:customStyle="1" w:styleId="251">
    <w:name w:val="标准文件_三级条标题 Char"/>
    <w:link w:val="99"/>
    <w:autoRedefine/>
    <w:qFormat/>
    <w:uiPriority w:val="0"/>
  </w:style>
  <w:style w:type="character" w:customStyle="1" w:styleId="252">
    <w:name w:val="标准文件_一级条标题 Char"/>
    <w:link w:val="110"/>
    <w:autoRedefine/>
    <w:qFormat/>
    <w:uiPriority w:val="0"/>
  </w:style>
  <w:style w:type="character" w:customStyle="1" w:styleId="253">
    <w:name w:val="标准文件_一致程度 Char"/>
    <w:link w:val="111"/>
    <w:autoRedefine/>
    <w:qFormat/>
    <w:uiPriority w:val="0"/>
    <w:rPr>
      <w:sz w:val="28"/>
    </w:rPr>
  </w:style>
  <w:style w:type="character" w:customStyle="1" w:styleId="254">
    <w:name w:val="标准文件_英文图表脚注 Char"/>
    <w:link w:val="113"/>
    <w:autoRedefine/>
    <w:qFormat/>
    <w:uiPriority w:val="0"/>
    <w:rPr>
      <w:rFonts w:ascii="宋体" w:hAnsi="宋体"/>
    </w:rPr>
  </w:style>
  <w:style w:type="character" w:customStyle="1" w:styleId="255">
    <w:name w:val="标准文件_正文图标题 Char"/>
    <w:link w:val="119"/>
    <w:autoRedefine/>
    <w:qFormat/>
    <w:uiPriority w:val="0"/>
    <w:rPr>
      <w:rFonts w:ascii="黑体" w:hAnsi="Times New Roman" w:eastAsia="黑体" w:cs="Times New Roman"/>
      <w:sz w:val="21"/>
      <w:lang w:val="en-US" w:eastAsia="zh-CN" w:bidi="ar-SA"/>
    </w:rPr>
  </w:style>
  <w:style w:type="character" w:customStyle="1" w:styleId="256">
    <w:name w:val="标准文件_正文公式 Char"/>
    <w:link w:val="118"/>
    <w:autoRedefine/>
    <w:qFormat/>
    <w:uiPriority w:val="0"/>
    <w:rPr>
      <w:rFonts w:ascii="宋体" w:hAnsi="宋体"/>
    </w:rPr>
  </w:style>
  <w:style w:type="character" w:customStyle="1" w:styleId="257">
    <w:name w:val="标准文件_正文英文表标题 Char"/>
    <w:link w:val="120"/>
    <w:autoRedefine/>
    <w:qFormat/>
    <w:uiPriority w:val="0"/>
    <w:rPr>
      <w:rFonts w:ascii="黑体" w:hAnsi="Times New Roman" w:eastAsia="黑体" w:cs="Times New Roman"/>
      <w:sz w:val="21"/>
      <w:lang w:val="en-US" w:eastAsia="zh-CN" w:bidi="ar-SA"/>
    </w:rPr>
  </w:style>
  <w:style w:type="character" w:customStyle="1" w:styleId="258">
    <w:name w:val="标准文件_五级条标题 Char"/>
    <w:link w:val="108"/>
    <w:autoRedefine/>
    <w:qFormat/>
    <w:uiPriority w:val="0"/>
    <w:rPr>
      <w:rFonts w:ascii="黑体" w:hAnsi="Times New Roman" w:eastAsia="黑体" w:cs="Times New Roman"/>
      <w:sz w:val="21"/>
      <w:lang w:val="en-US" w:eastAsia="zh-CN" w:bidi="ar-SA"/>
    </w:rPr>
  </w:style>
  <w:style w:type="character" w:customStyle="1" w:styleId="259">
    <w:name w:val="标准文件_图表脚注 Char"/>
    <w:link w:val="106"/>
    <w:autoRedefine/>
    <w:qFormat/>
    <w:uiPriority w:val="0"/>
    <w:rPr>
      <w:rFonts w:ascii="宋体" w:hAnsi="宋体"/>
      <w:sz w:val="18"/>
    </w:rPr>
  </w:style>
  <w:style w:type="character" w:customStyle="1" w:styleId="260">
    <w:name w:val="标准文件_条文脚注 Char"/>
    <w:link w:val="105"/>
    <w:autoRedefine/>
    <w:qFormat/>
    <w:uiPriority w:val="0"/>
    <w:rPr>
      <w:rFonts w:hAnsi="宋体"/>
    </w:rPr>
  </w:style>
  <w:style w:type="character" w:customStyle="1" w:styleId="261">
    <w:name w:val="标准文件_二级项 Char"/>
    <w:link w:val="176"/>
    <w:autoRedefine/>
    <w:qFormat/>
    <w:uiPriority w:val="0"/>
    <w:rPr>
      <w:rFonts w:ascii="宋体" w:hAnsi="Times New Roman" w:eastAsia="宋体" w:cs="Times New Roman"/>
      <w:sz w:val="21"/>
      <w:lang w:val="en-US" w:eastAsia="zh-CN" w:bidi="ar-SA"/>
    </w:rPr>
  </w:style>
  <w:style w:type="character" w:customStyle="1" w:styleId="262">
    <w:name w:val="标准文件_四级条标题 Char"/>
    <w:link w:val="103"/>
    <w:autoRedefine/>
    <w:qFormat/>
    <w:uiPriority w:val="0"/>
    <w:rPr>
      <w:rFonts w:ascii="黑体" w:hAnsi="Times New Roman" w:eastAsia="黑体" w:cs="Times New Roman"/>
      <w:sz w:val="21"/>
      <w:lang w:val="en-US" w:eastAsia="zh-CN" w:bidi="ar-SA"/>
    </w:rPr>
  </w:style>
  <w:style w:type="paragraph" w:customStyle="1" w:styleId="263">
    <w:name w:val="TableParagraph_mt_28"/>
    <w:basedOn w:val="1"/>
    <w:qFormat/>
    <w:uiPriority w:val="1"/>
    <w:pPr>
      <w:autoSpaceDE w:val="0"/>
      <w:autoSpaceDN w:val="0"/>
      <w:jc w:val="left"/>
    </w:pPr>
    <w:rPr>
      <w:rFonts w:ascii="Arial" w:hAnsi="Arial" w:eastAsia="Arial" w:cs="Arial"/>
      <w:kern w:val="0"/>
      <w:sz w:val="22"/>
      <w:szCs w:val="22"/>
      <w:lang w:eastAsia="en-US"/>
    </w:rPr>
  </w:style>
  <w:style w:type="paragraph" w:customStyle="1" w:styleId="264">
    <w:name w:val="TableParagraph_mt_30"/>
    <w:basedOn w:val="1"/>
    <w:qFormat/>
    <w:uiPriority w:val="1"/>
    <w:pPr>
      <w:autoSpaceDE w:val="0"/>
      <w:autoSpaceDN w:val="0"/>
      <w:jc w:val="left"/>
    </w:pPr>
    <w:rPr>
      <w:rFonts w:ascii="Arial" w:hAnsi="Arial" w:eastAsia="Arial" w:cs="Arial"/>
      <w:kern w:val="0"/>
      <w:sz w:val="22"/>
      <w:szCs w:val="22"/>
      <w:lang w:eastAsia="en-US"/>
    </w:rPr>
  </w:style>
  <w:style w:type="paragraph" w:customStyle="1" w:styleId="265">
    <w:name w:val="表题"/>
    <w:next w:val="1"/>
    <w:qFormat/>
    <w:uiPriority w:val="0"/>
    <w:pPr>
      <w:widowControl w:val="0"/>
      <w:tabs>
        <w:tab w:val="left" w:pos="709"/>
        <w:tab w:val="left" w:pos="4395"/>
      </w:tabs>
      <w:ind w:left="3686"/>
      <w:jc w:val="center"/>
    </w:pPr>
    <w:rPr>
      <w:rFonts w:ascii="宋体" w:hAnsi="Times New Roman" w:eastAsia="黑体" w:cs="Times New Roman"/>
      <w:sz w:val="24"/>
      <w:szCs w:val="22"/>
      <w:lang w:val="en-US" w:eastAsia="zh-CN" w:bidi="ar-SA"/>
    </w:rPr>
  </w:style>
  <w:style w:type="paragraph" w:customStyle="1" w:styleId="266">
    <w:name w:val="表首行"/>
    <w:qFormat/>
    <w:uiPriority w:val="0"/>
    <w:pPr>
      <w:jc w:val="center"/>
    </w:pPr>
    <w:rPr>
      <w:rFonts w:ascii="黑体" w:hAnsi="宋体" w:eastAsia="黑体" w:cs="Times New Roman"/>
      <w:sz w:val="24"/>
      <w:szCs w:val="24"/>
      <w:lang w:val="en-US" w:eastAsia="zh-CN" w:bidi="ar-SA"/>
    </w:rPr>
  </w:style>
  <w:style w:type="paragraph" w:customStyle="1" w:styleId="267">
    <w:name w:val="表内容"/>
    <w:qFormat/>
    <w:uiPriority w:val="0"/>
    <w:pPr>
      <w:adjustRightInd w:val="0"/>
      <w:snapToGrid w:val="0"/>
      <w:jc w:val="both"/>
    </w:pPr>
    <w:rPr>
      <w:rFonts w:ascii="Times New Roman" w:hAnsi="宋体" w:eastAsia="仿宋_GB2312" w:cs="Times New Roman"/>
      <w:sz w:val="24"/>
      <w:szCs w:val="21"/>
      <w:lang w:val="en-US" w:eastAsia="zh-CN" w:bidi="ar-SA"/>
    </w:rPr>
  </w:style>
  <w:style w:type="paragraph" w:customStyle="1" w:styleId="268">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0" Type="http://schemas.openxmlformats.org/officeDocument/2006/relationships/glossaryDocument" Target="glossary/document.xml"/><Relationship Id="rId3" Type="http://schemas.openxmlformats.org/officeDocument/2006/relationships/comments" Target="comments.xml"/><Relationship Id="rId29" Type="http://schemas.microsoft.com/office/2011/relationships/people" Target="people.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jpe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5.xml"/><Relationship Id="rId14" Type="http://schemas.openxmlformats.org/officeDocument/2006/relationships/footer" Target="footer4.xml"/><Relationship Id="rId13" Type="http://schemas.openxmlformats.org/officeDocument/2006/relationships/footer" Target="footer3.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0DCEE0CD">
          <w:pPr>
            <w:pStyle w:val="6"/>
            <w:rPr>
              <w:rFonts w:hint="eastAsia"/>
            </w:rPr>
          </w:pPr>
          <w:r>
            <w:rPr>
              <w:rStyle w:val="4"/>
              <w:rFonts w:hint="eastAsia"/>
            </w:rPr>
            <w:t>选择一项。</w:t>
          </w:r>
        </w:p>
      </w:docPartBody>
    </w:docPart>
    <w:docPart>
      <w:docPartPr>
        <w:name w:val="{bdb878a8-c7e8-47ec-83cf-f913e08e8096}"/>
        <w:style w:val=""/>
        <w:category>
          <w:name w:val="常规"/>
          <w:gallery w:val="placeholder"/>
        </w:category>
        <w:types>
          <w:type w:val="bbPlcHdr"/>
        </w:types>
        <w:behaviors>
          <w:behavior w:val="content"/>
        </w:behaviors>
        <w:description w:val=""/>
        <w:guid w:val="{BDB878A8-C7E8-47EC-83CF-F913E08E8096}"/>
      </w:docPartPr>
      <w:docPartBody>
        <w:p w14:paraId="3D487352">
          <w:pPr>
            <w:pStyle w:val="5"/>
            <w:rPr>
              <w:rFonts w:hint="eastAsia"/>
            </w:rPr>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061AB"/>
    <w:rsid w:val="00122383"/>
    <w:rsid w:val="00124EF0"/>
    <w:rsid w:val="001613CD"/>
    <w:rsid w:val="001678BC"/>
    <w:rsid w:val="0017532E"/>
    <w:rsid w:val="00181D60"/>
    <w:rsid w:val="001B4854"/>
    <w:rsid w:val="001C703A"/>
    <w:rsid w:val="00233E0B"/>
    <w:rsid w:val="00245410"/>
    <w:rsid w:val="00247E02"/>
    <w:rsid w:val="00250CE1"/>
    <w:rsid w:val="00252617"/>
    <w:rsid w:val="00292364"/>
    <w:rsid w:val="002A34EB"/>
    <w:rsid w:val="002A42F2"/>
    <w:rsid w:val="002B203B"/>
    <w:rsid w:val="002E79D5"/>
    <w:rsid w:val="00335557"/>
    <w:rsid w:val="00344A6E"/>
    <w:rsid w:val="003530CF"/>
    <w:rsid w:val="003568E3"/>
    <w:rsid w:val="003609A4"/>
    <w:rsid w:val="003A430A"/>
    <w:rsid w:val="003B0594"/>
    <w:rsid w:val="003E287A"/>
    <w:rsid w:val="004262C1"/>
    <w:rsid w:val="004709A1"/>
    <w:rsid w:val="0048438C"/>
    <w:rsid w:val="00506EFF"/>
    <w:rsid w:val="00552166"/>
    <w:rsid w:val="005662EB"/>
    <w:rsid w:val="00583AAB"/>
    <w:rsid w:val="00593537"/>
    <w:rsid w:val="00615B61"/>
    <w:rsid w:val="0063160F"/>
    <w:rsid w:val="006468C2"/>
    <w:rsid w:val="00654CD6"/>
    <w:rsid w:val="006642AD"/>
    <w:rsid w:val="00666D88"/>
    <w:rsid w:val="00672F74"/>
    <w:rsid w:val="00685923"/>
    <w:rsid w:val="007407CF"/>
    <w:rsid w:val="00781A74"/>
    <w:rsid w:val="007C3E32"/>
    <w:rsid w:val="007D2C4A"/>
    <w:rsid w:val="00813842"/>
    <w:rsid w:val="008256CB"/>
    <w:rsid w:val="00832824"/>
    <w:rsid w:val="008729C1"/>
    <w:rsid w:val="00883250"/>
    <w:rsid w:val="0091351B"/>
    <w:rsid w:val="00916263"/>
    <w:rsid w:val="00940BA1"/>
    <w:rsid w:val="009862F8"/>
    <w:rsid w:val="00997226"/>
    <w:rsid w:val="009C7B5F"/>
    <w:rsid w:val="009E760A"/>
    <w:rsid w:val="00A16A80"/>
    <w:rsid w:val="00A507E3"/>
    <w:rsid w:val="00A67B89"/>
    <w:rsid w:val="00A854CF"/>
    <w:rsid w:val="00AA7FCA"/>
    <w:rsid w:val="00AC6DD3"/>
    <w:rsid w:val="00AE75C1"/>
    <w:rsid w:val="00B0068D"/>
    <w:rsid w:val="00B22FC1"/>
    <w:rsid w:val="00BA077C"/>
    <w:rsid w:val="00BA51CF"/>
    <w:rsid w:val="00BC3695"/>
    <w:rsid w:val="00C0640D"/>
    <w:rsid w:val="00C5057C"/>
    <w:rsid w:val="00C8454F"/>
    <w:rsid w:val="00C96FD9"/>
    <w:rsid w:val="00CA724C"/>
    <w:rsid w:val="00CD2C45"/>
    <w:rsid w:val="00CE472C"/>
    <w:rsid w:val="00D22C93"/>
    <w:rsid w:val="00D434AD"/>
    <w:rsid w:val="00D52FF6"/>
    <w:rsid w:val="00D749D4"/>
    <w:rsid w:val="00D76227"/>
    <w:rsid w:val="00D84024"/>
    <w:rsid w:val="00D9103D"/>
    <w:rsid w:val="00D97AA5"/>
    <w:rsid w:val="00DF7A33"/>
    <w:rsid w:val="00E12032"/>
    <w:rsid w:val="00E6509C"/>
    <w:rsid w:val="00EC57C0"/>
    <w:rsid w:val="00F204AA"/>
    <w:rsid w:val="00F36ADA"/>
    <w:rsid w:val="00F57F9D"/>
    <w:rsid w:val="00F76CD6"/>
    <w:rsid w:val="00F83BC2"/>
    <w:rsid w:val="00F90694"/>
    <w:rsid w:val="00FA2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A340A7-281C-46CF-B3FB-071C385A64B4}">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18</Pages>
  <Words>4452</Words>
  <Characters>5403</Characters>
  <Lines>485</Lines>
  <Paragraphs>638</Paragraphs>
  <TotalTime>0</TotalTime>
  <ScaleCrop>false</ScaleCrop>
  <LinksUpToDate>false</LinksUpToDate>
  <CharactersWithSpaces>5663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2025-03-07T00:59:00Z</dcterms:created>
  <dc:creator>ZHH</dc:creator>
  <dc:description>&lt;config cover="true" show_menu="true" version="1.0.0" doctype="SDKXY"&gt;_x000d_
&lt;/config&gt;</dc:description>
  <cp:lastModifiedBy>标准部-李晓宇</cp:lastModifiedBy>
  <cp:lastPrinted>2023-10-19T05:03:00Z</cp:lastPrinted>
  <dcterms:modified xsi:type="dcterms:W3CDTF">2026-07-29T09:41:21Z</dcterms:modified>
  <dc:title>团体标准</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2052-12.1.0.26375</vt:lpwstr>
  </property>
  <property fmtid="{D5CDD505-2E9C-101B-9397-08002B2CF9AE}" pid="15" name="ICV">
    <vt:lpwstr>7A2180A45CC84D0B9B8CF6F985640086_13</vt:lpwstr>
  </property>
  <property fmtid="{D5CDD505-2E9C-101B-9397-08002B2CF9AE}" pid="16" name="KSOTemplateDocerSaveRecord">
    <vt:lpwstr>eyJoZGlkIjoiYThiY2VlNzg1Yjc5MmY1NDQ1YWQ1YTJhZWIxNWQ3YjciLCJ1c2VySWQiOiI1OTIzNDQ4MDEifQ==</vt:lpwstr>
  </property>
</Properties>
</file>