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CE64D8">
      <w:pPr>
        <w:pStyle w:val="139"/>
        <w:keepNext w:val="0"/>
        <w:keepLines w:val="0"/>
        <w:pageBreakBefore w:val="0"/>
        <w:widowControl/>
        <w:numPr>
          <w:ilvl w:val="0"/>
          <w:numId w:val="0"/>
        </w:numPr>
        <w:kinsoku/>
        <w:wordWrap/>
        <w:overflowPunct/>
        <w:topLinePunct w:val="0"/>
        <w:autoSpaceDE/>
        <w:autoSpaceDN/>
        <w:bidi w:val="0"/>
        <w:adjustRightInd/>
        <w:snapToGrid/>
        <w:spacing w:beforeLines="0" w:afterLines="0"/>
        <w:jc w:val="center"/>
        <w:textAlignment w:val="auto"/>
        <w:rPr>
          <w:rFonts w:hint="eastAsia" w:ascii="方正小标宋简体" w:hAnsi="方正小标宋简体" w:eastAsia="方正小标宋简体" w:cs="方正小标宋简体"/>
          <w:b w:val="0"/>
          <w:bCs w:val="0"/>
          <w:sz w:val="36"/>
          <w:szCs w:val="36"/>
          <w:highlight w:val="none"/>
        </w:rPr>
      </w:pPr>
      <w:bookmarkStart w:id="0" w:name="_Toc304824969"/>
      <w:bookmarkStart w:id="1" w:name="_Toc298937357"/>
      <w:bookmarkStart w:id="2" w:name="_Toc309994551"/>
      <w:bookmarkStart w:id="3" w:name="_Toc298937609"/>
      <w:bookmarkStart w:id="4" w:name="_Toc298936924"/>
      <w:bookmarkStart w:id="5" w:name="_Toc298936801"/>
      <w:bookmarkStart w:id="6" w:name="_Toc298938783"/>
      <w:bookmarkStart w:id="7" w:name="_Toc298937462"/>
      <w:bookmarkStart w:id="8" w:name="_Toc298938635"/>
      <w:bookmarkStart w:id="9" w:name="_Toc310002637"/>
      <w:bookmarkStart w:id="10" w:name="_Toc298937322"/>
      <w:bookmarkStart w:id="11" w:name="_Toc298923383"/>
      <w:bookmarkStart w:id="12" w:name="_Toc298937167"/>
      <w:bookmarkStart w:id="13" w:name="_Toc298937188"/>
      <w:bookmarkStart w:id="14" w:name="_Toc309995472"/>
      <w:bookmarkStart w:id="15" w:name="_Toc309997040"/>
      <w:bookmarkStart w:id="16" w:name="_Toc298937276"/>
      <w:bookmarkStart w:id="17" w:name="_Toc304828066"/>
      <w:bookmarkStart w:id="18" w:name="_Toc309993180"/>
      <w:bookmarkStart w:id="19" w:name="_Toc298937100"/>
      <w:bookmarkStart w:id="20" w:name="_Toc6138"/>
      <w:bookmarkStart w:id="21" w:name="_Toc298937152"/>
      <w:bookmarkStart w:id="22" w:name="_Toc309995578"/>
      <w:bookmarkStart w:id="23" w:name="_Toc37234703"/>
      <w:bookmarkStart w:id="24" w:name="_Toc304825081"/>
      <w:bookmarkStart w:id="25" w:name="_Toc309995999"/>
      <w:bookmarkStart w:id="26" w:name="_Toc499110426"/>
      <w:bookmarkStart w:id="27" w:name="_Toc304402664"/>
      <w:bookmarkStart w:id="28" w:name="_Toc309995390"/>
      <w:bookmarkStart w:id="29" w:name="_Toc304825008"/>
      <w:bookmarkStart w:id="30" w:name="_Toc298937419"/>
      <w:bookmarkStart w:id="31" w:name="_Toc298937201"/>
      <w:r>
        <w:rPr>
          <w:rFonts w:hint="eastAsia" w:ascii="方正小标宋简体" w:hAnsi="方正小标宋简体" w:eastAsia="方正小标宋简体" w:cs="方正小标宋简体"/>
          <w:b w:val="0"/>
          <w:bCs w:val="0"/>
          <w:sz w:val="36"/>
          <w:szCs w:val="36"/>
        </w:rPr>
        <w:t>《</w:t>
      </w:r>
      <w:sdt>
        <w:sdtPr>
          <w:rPr>
            <w:rFonts w:hint="eastAsia" w:ascii="方正小标宋简体" w:hAnsi="方正小标宋简体" w:eastAsia="方正小标宋简体" w:cs="方正小标宋简体"/>
            <w:b w:val="0"/>
            <w:bCs w:val="0"/>
            <w:sz w:val="36"/>
            <w:szCs w:val="36"/>
          </w:rPr>
          <w:tag w:val="NEW_STAND_NAME"/>
          <w:id w:val="595910757"/>
          <w:placeholder>
            <w:docPart w:val="{bdec89b2-61f7-4ca6-98e2-c36374a47443}"/>
          </w:placeholder>
        </w:sdtPr>
        <w:sdtEndPr>
          <w:rPr>
            <w:rFonts w:hint="eastAsia" w:ascii="方正小标宋简体" w:hAnsi="方正小标宋简体" w:eastAsia="方正小标宋简体" w:cs="方正小标宋简体"/>
            <w:b w:val="0"/>
            <w:bCs w:val="0"/>
            <w:sz w:val="36"/>
            <w:szCs w:val="36"/>
            <w:highlight w:val="none"/>
            <w:lang w:val="en-US" w:eastAsia="zh-CN"/>
          </w:rPr>
        </w:sdtEndPr>
        <w:sdtContent>
          <w:r>
            <w:rPr>
              <w:rFonts w:hint="eastAsia" w:ascii="方正小标宋简体" w:hAnsi="方正小标宋简体" w:eastAsia="方正小标宋简体" w:cs="方正小标宋简体"/>
              <w:b w:val="0"/>
              <w:bCs w:val="0"/>
              <w:sz w:val="36"/>
              <w:szCs w:val="36"/>
              <w:lang w:val="en-US" w:eastAsia="zh-CN"/>
            </w:rPr>
            <w:t>甲烷干重整(DRM)催化剂</w:t>
          </w:r>
        </w:sdtContent>
      </w:sdt>
      <w:r>
        <w:rPr>
          <w:rFonts w:hint="eastAsia" w:ascii="方正小标宋简体" w:hAnsi="方正小标宋简体" w:eastAsia="方正小标宋简体" w:cs="方正小标宋简体"/>
          <w:b w:val="0"/>
          <w:bCs w:val="0"/>
          <w:sz w:val="36"/>
          <w:szCs w:val="36"/>
          <w:highlight w:val="none"/>
        </w:rPr>
        <w:t>》</w:t>
      </w:r>
      <w:r>
        <w:rPr>
          <w:rFonts w:hint="eastAsia" w:ascii="方正小标宋简体" w:hAnsi="方正小标宋简体" w:eastAsia="方正小标宋简体" w:cs="方正小标宋简体"/>
          <w:b w:val="0"/>
          <w:bCs w:val="0"/>
          <w:sz w:val="36"/>
          <w:szCs w:val="36"/>
          <w:highlight w:val="none"/>
        </w:rPr>
        <w:br w:type="textWrapping"/>
      </w:r>
      <w:r>
        <w:rPr>
          <w:rFonts w:hint="eastAsia" w:ascii="方正小标宋简体" w:hAnsi="方正小标宋简体" w:eastAsia="方正小标宋简体" w:cs="方正小标宋简体"/>
          <w:b w:val="0"/>
          <w:bCs w:val="0"/>
          <w:sz w:val="36"/>
          <w:szCs w:val="36"/>
          <w:highlight w:val="none"/>
          <w:lang w:eastAsia="zh-CN"/>
        </w:rPr>
        <w:t>征求意见稿</w:t>
      </w:r>
      <w:r>
        <w:rPr>
          <w:rFonts w:hint="eastAsia" w:ascii="方正小标宋简体" w:hAnsi="方正小标宋简体" w:eastAsia="方正小标宋简体" w:cs="方正小标宋简体"/>
          <w:b w:val="0"/>
          <w:bCs w:val="0"/>
          <w:sz w:val="36"/>
          <w:szCs w:val="36"/>
          <w:highlight w:val="none"/>
        </w:rPr>
        <w:t>团体标准编制说明</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7C42FC17">
      <w:pPr>
        <w:pStyle w:val="139"/>
        <w:numPr>
          <w:ilvl w:val="0"/>
          <w:numId w:val="0"/>
        </w:numPr>
        <w:spacing w:before="312" w:after="312"/>
        <w:rPr>
          <w:rFonts w:ascii="仿宋" w:hAnsi="仿宋" w:eastAsia="仿宋" w:cs="仿宋"/>
          <w:b/>
          <w:bCs/>
          <w:color w:val="000000"/>
          <w:sz w:val="32"/>
          <w:szCs w:val="32"/>
          <w:highlight w:val="none"/>
        </w:rPr>
      </w:pPr>
      <w:bookmarkStart w:id="32" w:name="BT1"/>
      <w:bookmarkEnd w:id="32"/>
      <w:bookmarkStart w:id="33" w:name="_Toc298937549"/>
      <w:bookmarkEnd w:id="33"/>
      <w:r>
        <w:rPr>
          <w:rFonts w:hint="eastAsia" w:ascii="仿宋" w:hAnsi="仿宋" w:eastAsia="仿宋" w:cs="仿宋"/>
          <w:b/>
          <w:bCs/>
          <w:color w:val="000000"/>
          <w:sz w:val="32"/>
          <w:szCs w:val="32"/>
          <w:highlight w:val="none"/>
        </w:rPr>
        <w:t>一、任务来源</w:t>
      </w:r>
    </w:p>
    <w:p w14:paraId="6FF73A8E">
      <w:pPr>
        <w:pStyle w:val="36"/>
        <w:keepNext w:val="0"/>
        <w:keepLines w:val="0"/>
        <w:pageBreakBefore w:val="0"/>
        <w:widowControl w:val="0"/>
        <w:numPr>
          <w:ilvl w:val="0"/>
          <w:numId w:val="0"/>
        </w:numPr>
        <w:kinsoku/>
        <w:wordWrap/>
        <w:overflowPunct/>
        <w:topLinePunct w:val="0"/>
        <w:autoSpaceDE/>
        <w:autoSpaceDN/>
        <w:bidi w:val="0"/>
        <w:adjustRightInd/>
        <w:snapToGrid/>
        <w:spacing w:after="0"/>
        <w:ind w:firstLine="640" w:firstLineChars="200"/>
        <w:textAlignment w:val="auto"/>
        <w:rPr>
          <w:rFonts w:hint="eastAsia" w:ascii="仿宋" w:hAnsi="仿宋" w:eastAsia="仿宋" w:cs="仿宋"/>
          <w:kern w:val="2"/>
          <w:sz w:val="32"/>
          <w:szCs w:val="32"/>
          <w:highlight w:val="none"/>
          <w:lang w:val="en-US" w:eastAsia="zh-CN" w:bidi="ar-SA"/>
        </w:rPr>
      </w:pPr>
      <w:r>
        <w:rPr>
          <w:rFonts w:hint="eastAsia" w:ascii="仿宋" w:hAnsi="仿宋" w:eastAsia="仿宋" w:cs="仿宋"/>
          <w:kern w:val="2"/>
          <w:sz w:val="32"/>
          <w:szCs w:val="32"/>
          <w:highlight w:val="none"/>
          <w:lang w:val="en-US" w:eastAsia="zh-CN" w:bidi="ar-SA"/>
        </w:rPr>
        <w:t>甲烷干重整（DRM）技术能够同时转化甲烷（CH₄）与二氧化碳（CO₂）两种温室气体，生成高附加值的合成气（一氧化碳和氢气），是实现碳资源循环利用、达成“双碳”目标的重要技术路径。催化剂作为DRM技术的核心，其性能直接决定了反应效率、产物质量及装置运行的稳定性。当前，DRM催化剂主要包括镍系催化剂和镍基复合金属催化剂，相较于传统化工催化剂，其在抗积碳、高温稳定性等方面具有特殊要求。随着绿色化工产业的快速发展，DRM催化剂的市场需求日益增长</w:t>
      </w:r>
      <w:r>
        <w:rPr>
          <w:rFonts w:hint="eastAsia" w:ascii="仿宋" w:hAnsi="仿宋" w:eastAsia="仿宋" w:cs="仿宋"/>
          <w:kern w:val="2"/>
          <w:sz w:val="32"/>
          <w:szCs w:val="32"/>
          <w:highlight w:val="none"/>
          <w:lang w:val="en-US" w:eastAsia="zh-CN" w:bidi="ar-SA"/>
        </w:rPr>
        <w:t>。</w:t>
      </w:r>
    </w:p>
    <w:p w14:paraId="5D691F5B">
      <w:pPr>
        <w:pStyle w:val="36"/>
        <w:keepNext w:val="0"/>
        <w:keepLines w:val="0"/>
        <w:pageBreakBefore w:val="0"/>
        <w:widowControl w:val="0"/>
        <w:numPr>
          <w:ilvl w:val="0"/>
          <w:numId w:val="0"/>
        </w:numPr>
        <w:kinsoku/>
        <w:wordWrap/>
        <w:overflowPunct/>
        <w:topLinePunct w:val="0"/>
        <w:autoSpaceDE/>
        <w:autoSpaceDN/>
        <w:bidi w:val="0"/>
        <w:adjustRightInd/>
        <w:snapToGrid/>
        <w:spacing w:after="0"/>
        <w:ind w:firstLine="640" w:firstLineChars="200"/>
        <w:textAlignment w:val="auto"/>
        <w:rPr>
          <w:rFonts w:hint="eastAsia" w:ascii="仿宋" w:hAnsi="仿宋" w:eastAsia="仿宋" w:cs="仿宋"/>
          <w:kern w:val="2"/>
          <w:sz w:val="32"/>
          <w:szCs w:val="32"/>
          <w:highlight w:val="none"/>
          <w:lang w:val="en-US" w:eastAsia="zh-CN" w:bidi="ar-SA"/>
        </w:rPr>
      </w:pPr>
      <w:r>
        <w:rPr>
          <w:rFonts w:hint="default" w:ascii="仿宋" w:hAnsi="仿宋" w:eastAsia="仿宋" w:cs="仿宋"/>
          <w:kern w:val="2"/>
          <w:sz w:val="32"/>
          <w:szCs w:val="32"/>
          <w:highlight w:val="none"/>
          <w:lang w:val="en-US" w:eastAsia="zh-CN" w:bidi="ar-SA"/>
        </w:rPr>
        <w:t>然而，目前行业内缺乏针对甲烷干重整催化剂的统一标准，各生产企业在活性组分含量、物理结构参数、催化性能评价指标及试验方法等方面存在较大差异，导致市场产品良莠不齐，下游用户难以科学评估产品质量，严重制约了该类催化剂的工业化推广与规范化应用。</w:t>
      </w:r>
    </w:p>
    <w:p w14:paraId="0EE6B66E">
      <w:pPr>
        <w:pStyle w:val="36"/>
        <w:keepNext w:val="0"/>
        <w:keepLines w:val="0"/>
        <w:pageBreakBefore w:val="0"/>
        <w:widowControl w:val="0"/>
        <w:numPr>
          <w:ilvl w:val="0"/>
          <w:numId w:val="0"/>
        </w:numPr>
        <w:kinsoku/>
        <w:wordWrap/>
        <w:overflowPunct/>
        <w:topLinePunct w:val="0"/>
        <w:autoSpaceDE/>
        <w:autoSpaceDN/>
        <w:bidi w:val="0"/>
        <w:adjustRightInd/>
        <w:snapToGrid/>
        <w:spacing w:after="0"/>
        <w:ind w:firstLine="640" w:firstLineChars="200"/>
        <w:textAlignment w:val="auto"/>
        <w:rPr>
          <w:rFonts w:hint="eastAsia" w:ascii="仿宋" w:hAnsi="仿宋" w:eastAsia="仿宋" w:cs="仿宋"/>
          <w:kern w:val="2"/>
          <w:sz w:val="32"/>
          <w:szCs w:val="32"/>
          <w:highlight w:val="none"/>
          <w:lang w:val="en-US" w:eastAsia="zh-CN" w:bidi="ar-SA"/>
        </w:rPr>
      </w:pPr>
      <w:r>
        <w:rPr>
          <w:rFonts w:hint="default" w:ascii="仿宋" w:hAnsi="仿宋" w:eastAsia="仿宋" w:cs="仿宋"/>
          <w:kern w:val="2"/>
          <w:sz w:val="32"/>
          <w:szCs w:val="32"/>
          <w:highlight w:val="none"/>
          <w:lang w:val="en-US" w:eastAsia="zh-CN" w:bidi="ar-SA"/>
        </w:rPr>
        <w:t>近年来，国家相继出台《关于完整准确全面贯彻新发展理念做好碳达峰碳中和工作的意见》、《工业领域碳达峰实施方案》等政策文件，明确提出要推动二氧化碳资源化利用，研发推广低碳零碳技术。甲烷干重整技术作为典型的碳减排与资源化利用技术，符合国家绿色低碳发展的战略方向。这些政策为DRM催化剂的标准化建设提供了明确指引。</w:t>
      </w:r>
    </w:p>
    <w:p w14:paraId="2021A9BA">
      <w:pPr>
        <w:pStyle w:val="36"/>
        <w:keepNext w:val="0"/>
        <w:keepLines w:val="0"/>
        <w:pageBreakBefore w:val="0"/>
        <w:widowControl w:val="0"/>
        <w:numPr>
          <w:ilvl w:val="0"/>
          <w:numId w:val="0"/>
        </w:numPr>
        <w:kinsoku/>
        <w:wordWrap/>
        <w:overflowPunct/>
        <w:topLinePunct w:val="0"/>
        <w:autoSpaceDE/>
        <w:autoSpaceDN/>
        <w:bidi w:val="0"/>
        <w:adjustRightInd/>
        <w:snapToGrid/>
        <w:spacing w:after="0"/>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通过本团体标准的制定与实施，可统一甲烷干重整催化剂的技术要求及测试评价方法，明确产品在理化性能、初始活性、热稳定性及安全性等方面的关键指标，助力企业规范生产、提升产品一致性，指导下游用户科学选材，推动甲烷干重整催化剂产业的标准化、高质量发展。</w:t>
      </w:r>
      <w:r>
        <w:rPr>
          <w:rFonts w:hint="eastAsia" w:ascii="仿宋" w:hAnsi="仿宋" w:eastAsia="仿宋" w:cs="仿宋"/>
          <w:sz w:val="32"/>
          <w:szCs w:val="32"/>
          <w:highlight w:val="none"/>
          <w:lang w:val="en-US" w:eastAsia="zh-CN"/>
        </w:rPr>
        <w:t>根据《团体标准管理规定》、《</w:t>
      </w:r>
      <w:r>
        <w:rPr>
          <w:rFonts w:hint="eastAsia" w:ascii="仿宋" w:hAnsi="仿宋" w:eastAsia="仿宋" w:cs="仿宋"/>
          <w:color w:val="auto"/>
          <w:sz w:val="32"/>
          <w:szCs w:val="32"/>
          <w:highlight w:val="none"/>
          <w:lang w:eastAsia="zh-CN"/>
        </w:rPr>
        <w:t>中国西部开发促进会</w:t>
      </w:r>
      <w:r>
        <w:rPr>
          <w:rFonts w:hint="eastAsia" w:ascii="仿宋" w:hAnsi="仿宋" w:eastAsia="仿宋" w:cs="仿宋"/>
          <w:sz w:val="32"/>
          <w:szCs w:val="32"/>
          <w:highlight w:val="none"/>
          <w:lang w:val="en-US" w:eastAsia="zh-CN"/>
        </w:rPr>
        <w:t>团体标准管理办法》有关规定，特立项本标准。本标准项目计划编号为：2026-399-CWDPA。</w:t>
      </w:r>
    </w:p>
    <w:p w14:paraId="75F60046">
      <w:pPr>
        <w:pStyle w:val="139"/>
        <w:numPr>
          <w:ilvl w:val="0"/>
          <w:numId w:val="11"/>
        </w:numPr>
        <w:spacing w:before="312" w:after="312"/>
        <w:rPr>
          <w:rFonts w:ascii="仿宋" w:hAnsi="仿宋" w:eastAsia="仿宋" w:cs="仿宋"/>
          <w:b/>
          <w:bCs/>
          <w:color w:val="000000"/>
          <w:sz w:val="32"/>
          <w:szCs w:val="32"/>
          <w:highlight w:val="none"/>
        </w:rPr>
      </w:pPr>
      <w:bookmarkStart w:id="34" w:name="BT3"/>
      <w:bookmarkEnd w:id="34"/>
      <w:r>
        <w:rPr>
          <w:rFonts w:hint="eastAsia" w:ascii="仿宋" w:hAnsi="仿宋" w:eastAsia="仿宋" w:cs="仿宋"/>
          <w:b/>
          <w:bCs/>
          <w:color w:val="000000"/>
          <w:sz w:val="32"/>
          <w:szCs w:val="32"/>
          <w:highlight w:val="none"/>
        </w:rPr>
        <w:t>起草单位</w:t>
      </w:r>
    </w:p>
    <w:p w14:paraId="6EE4183C">
      <w:pPr>
        <w:pStyle w:val="26"/>
        <w:spacing w:line="360" w:lineRule="auto"/>
        <w:ind w:firstLine="640"/>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本标准由</w:t>
      </w:r>
      <w:r>
        <w:rPr>
          <w:rFonts w:hint="eastAsia" w:ascii="仿宋" w:hAnsi="仿宋" w:eastAsia="仿宋" w:cs="仿宋"/>
          <w:sz w:val="32"/>
          <w:szCs w:val="32"/>
          <w:highlight w:val="none"/>
          <w:lang w:eastAsia="zh-CN"/>
        </w:rPr>
        <w:t>湖北荟煌科技股份有限公司</w:t>
      </w:r>
      <w:r>
        <w:rPr>
          <w:rFonts w:hint="eastAsia" w:ascii="仿宋" w:hAnsi="仿宋" w:eastAsia="仿宋" w:cs="仿宋"/>
          <w:sz w:val="32"/>
          <w:szCs w:val="32"/>
          <w:highlight w:val="none"/>
          <w:lang w:val="en-US" w:eastAsia="zh-CN"/>
        </w:rPr>
        <w:t>、</w:t>
      </w:r>
      <w:r>
        <w:rPr>
          <w:rFonts w:hint="eastAsia" w:ascii="仿宋" w:hAnsi="仿宋" w:eastAsia="仿宋" w:cs="仿宋"/>
          <w:sz w:val="32"/>
          <w:szCs w:val="32"/>
          <w:highlight w:val="none"/>
          <w:lang w:eastAsia="zh-CN"/>
        </w:rPr>
        <w:t>太原理工大学</w:t>
      </w:r>
      <w:r>
        <w:rPr>
          <w:rFonts w:hint="eastAsia" w:ascii="仿宋" w:hAnsi="仿宋" w:eastAsia="仿宋" w:cs="仿宋"/>
          <w:sz w:val="32"/>
          <w:szCs w:val="32"/>
          <w:highlight w:val="none"/>
          <w:lang w:val="en-US" w:eastAsia="zh-CN"/>
        </w:rPr>
        <w:t>、</w:t>
      </w:r>
      <w:r>
        <w:rPr>
          <w:rFonts w:hint="eastAsia" w:ascii="仿宋" w:hAnsi="仿宋" w:eastAsia="仿宋" w:cs="仿宋"/>
          <w:sz w:val="32"/>
          <w:szCs w:val="32"/>
          <w:highlight w:val="none"/>
          <w:lang w:eastAsia="zh-CN"/>
        </w:rPr>
        <w:t>中集安瑞科工程科技有限公司</w:t>
      </w:r>
      <w:r>
        <w:rPr>
          <w:rFonts w:hint="eastAsia" w:ascii="仿宋" w:hAnsi="仿宋" w:eastAsia="仿宋" w:cs="仿宋"/>
          <w:sz w:val="32"/>
          <w:szCs w:val="32"/>
          <w:highlight w:val="none"/>
          <w:lang w:val="en-US" w:eastAsia="zh-CN"/>
        </w:rPr>
        <w:t>、</w:t>
      </w:r>
      <w:r>
        <w:rPr>
          <w:rFonts w:hint="eastAsia" w:ascii="仿宋" w:hAnsi="仿宋" w:eastAsia="仿宋" w:cs="仿宋"/>
          <w:sz w:val="32"/>
          <w:szCs w:val="32"/>
          <w:highlight w:val="none"/>
          <w:lang w:eastAsia="zh-CN"/>
        </w:rPr>
        <w:t>中海油化工与新材料科学研究院(北京)有限公司</w:t>
      </w:r>
      <w:r>
        <w:rPr>
          <w:rFonts w:hint="eastAsia" w:ascii="仿宋" w:hAnsi="仿宋" w:eastAsia="仿宋" w:cs="仿宋"/>
          <w:sz w:val="32"/>
          <w:szCs w:val="32"/>
          <w:highlight w:val="none"/>
          <w:lang w:val="en-US" w:eastAsia="zh-CN"/>
        </w:rPr>
        <w:t>、</w:t>
      </w:r>
      <w:r>
        <w:rPr>
          <w:rFonts w:hint="eastAsia" w:ascii="仿宋" w:hAnsi="仿宋" w:eastAsia="仿宋" w:cs="仿宋"/>
          <w:sz w:val="32"/>
          <w:szCs w:val="32"/>
          <w:highlight w:val="none"/>
          <w:lang w:eastAsia="zh-CN"/>
        </w:rPr>
        <w:t>南京理工大学</w:t>
      </w:r>
      <w:r>
        <w:rPr>
          <w:rFonts w:hint="eastAsia" w:ascii="仿宋" w:hAnsi="仿宋" w:eastAsia="仿宋" w:cs="仿宋"/>
          <w:sz w:val="32"/>
          <w:szCs w:val="32"/>
          <w:highlight w:val="none"/>
          <w:lang w:val="en-US" w:eastAsia="zh-CN"/>
        </w:rPr>
        <w:t>等共同起草。</w:t>
      </w:r>
    </w:p>
    <w:p w14:paraId="7F2A67D6">
      <w:pPr>
        <w:pStyle w:val="56"/>
        <w:numPr>
          <w:ilvl w:val="1"/>
          <w:numId w:val="0"/>
        </w:numPr>
        <w:spacing w:before="156" w:after="156"/>
        <w:rPr>
          <w:rFonts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rPr>
        <w:t>三、标准的编制原则</w:t>
      </w:r>
    </w:p>
    <w:p w14:paraId="0FC59A89">
      <w:pPr>
        <w:pStyle w:val="26"/>
        <w:spacing w:line="360" w:lineRule="auto"/>
        <w:ind w:firstLine="640"/>
        <w:rPr>
          <w:rFonts w:ascii="仿宋" w:hAnsi="仿宋" w:eastAsia="仿宋" w:cs="仿宋"/>
          <w:sz w:val="32"/>
          <w:szCs w:val="32"/>
          <w:highlight w:val="none"/>
        </w:rPr>
      </w:pPr>
      <w:r>
        <w:rPr>
          <w:rFonts w:hint="eastAsia" w:ascii="仿宋" w:hAnsi="仿宋" w:eastAsia="仿宋" w:cs="仿宋"/>
          <w:sz w:val="32"/>
          <w:szCs w:val="32"/>
          <w:highlight w:val="none"/>
        </w:rPr>
        <w:t>标准起草小组在编制标准过程中，以国家现行化工催化剂相关法律法规及产业政策为基础，结合我国甲烷干重整（DRM）催化剂行业生产现状、市场需求及企业实际生产技术水平，</w:t>
      </w:r>
      <w:r>
        <w:rPr>
          <w:rFonts w:hint="eastAsia" w:ascii="仿宋" w:hAnsi="仿宋" w:eastAsia="仿宋" w:cs="仿宋"/>
          <w:sz w:val="32"/>
          <w:szCs w:val="32"/>
          <w:highlight w:val="none"/>
        </w:rPr>
        <w:t>按照GB/T 1.1</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2020《标准化工作导则 第1部分：标准化文件的结构和起草规则》的规定及相关要求编制。</w:t>
      </w:r>
    </w:p>
    <w:p w14:paraId="12A108E8">
      <w:pPr>
        <w:pStyle w:val="56"/>
        <w:numPr>
          <w:ilvl w:val="1"/>
          <w:numId w:val="0"/>
        </w:numPr>
        <w:spacing w:before="156" w:after="156"/>
        <w:rPr>
          <w:rFonts w:ascii="仿宋" w:hAnsi="仿宋" w:eastAsia="仿宋" w:cs="仿宋"/>
          <w:b/>
          <w:bCs/>
          <w:color w:val="000000"/>
          <w:sz w:val="32"/>
          <w:szCs w:val="32"/>
          <w:highlight w:val="none"/>
        </w:rPr>
      </w:pPr>
      <w:r>
        <w:rPr>
          <w:rFonts w:hint="eastAsia" w:ascii="仿宋" w:hAnsi="仿宋" w:eastAsia="仿宋" w:cs="仿宋"/>
          <w:b/>
          <w:bCs/>
          <w:color w:val="000000"/>
          <w:sz w:val="32"/>
          <w:szCs w:val="32"/>
          <w:highlight w:val="none"/>
        </w:rPr>
        <w:t>四、标准编制过程</w:t>
      </w:r>
    </w:p>
    <w:p w14:paraId="1650E19B">
      <w:pPr>
        <w:pStyle w:val="26"/>
        <w:spacing w:line="360" w:lineRule="auto"/>
        <w:ind w:firstLine="640"/>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1、项目调研阶段</w:t>
      </w:r>
    </w:p>
    <w:p w14:paraId="56F1D1D6">
      <w:pPr>
        <w:pStyle w:val="26"/>
        <w:spacing w:line="360" w:lineRule="auto"/>
        <w:ind w:firstLine="64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2</w:t>
      </w:r>
      <w:r>
        <w:rPr>
          <w:rFonts w:hint="default" w:ascii="仿宋" w:hAnsi="仿宋" w:eastAsia="仿宋" w:cs="仿宋"/>
          <w:sz w:val="32"/>
          <w:szCs w:val="32"/>
          <w:highlight w:val="none"/>
          <w:lang w:eastAsia="zh-CN"/>
        </w:rPr>
        <w:t>026年2月，标准起草工作组启动前期调研工作，全面梳理国内外甲烷干重整（DRM）催化剂及工业催化剂相关标准、技术文献与研究报告，深入调研国内主流DRM催化剂生产企业（包括镍系及镍基复合金属催化剂）的原材料选择、制备工艺流程、质量控制指标、检测评价方法及产品现状；调研合成气制备、化工环保等下游应用领域对催化剂初始转化率、抗积碳性能、热稳定性及机械强度等性能的实际需求；收集市场流通产品及研发阶段产品的性能测试数据，分析不同载体、助剂及制备工艺对催化剂活性与寿命影响的核心因素，完成调研资料汇总与技术比对分析，为标准编制奠定扎实的数据与技术基础</w:t>
      </w:r>
      <w:r>
        <w:rPr>
          <w:rFonts w:hint="eastAsia" w:ascii="仿宋" w:hAnsi="仿宋" w:eastAsia="仿宋" w:cs="仿宋"/>
          <w:sz w:val="32"/>
          <w:szCs w:val="32"/>
          <w:highlight w:val="none"/>
          <w:lang w:eastAsia="zh-CN"/>
        </w:rPr>
        <w:t>。</w:t>
      </w:r>
    </w:p>
    <w:p w14:paraId="7A3CFD09">
      <w:pPr>
        <w:pStyle w:val="26"/>
        <w:spacing w:line="360" w:lineRule="auto"/>
        <w:ind w:firstLine="640"/>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2、项目立项阶段</w:t>
      </w:r>
    </w:p>
    <w:p w14:paraId="7A36A6FB">
      <w:pPr>
        <w:pStyle w:val="26"/>
        <w:spacing w:line="360" w:lineRule="auto"/>
        <w:ind w:firstLine="64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2026</w:t>
      </w:r>
      <w:r>
        <w:rPr>
          <w:rFonts w:hint="eastAsia" w:ascii="仿宋" w:hAnsi="仿宋" w:eastAsia="仿宋" w:cs="仿宋"/>
          <w:sz w:val="32"/>
          <w:szCs w:val="32"/>
          <w:highlight w:val="none"/>
          <w:lang w:val="en-US" w:eastAsia="zh-CN"/>
        </w:rPr>
        <w:t>年6月8日</w:t>
      </w:r>
      <w:r>
        <w:rPr>
          <w:rFonts w:hint="eastAsia" w:ascii="仿宋" w:hAnsi="仿宋" w:eastAsia="仿宋" w:cs="仿宋"/>
          <w:sz w:val="32"/>
          <w:szCs w:val="32"/>
          <w:highlight w:val="none"/>
          <w:lang w:eastAsia="zh-CN"/>
        </w:rPr>
        <w:t>，中国西部开发促进会正式立项《甲烷干重整（DRM）催化剂</w:t>
      </w:r>
      <w:r>
        <w:rPr>
          <w:rFonts w:hint="eastAsia" w:ascii="仿宋" w:hAnsi="仿宋" w:eastAsia="仿宋" w:cs="仿宋"/>
          <w:sz w:val="32"/>
          <w:szCs w:val="32"/>
          <w:highlight w:val="none"/>
          <w:lang w:eastAsia="zh-CN"/>
        </w:rPr>
        <w:t>》团体标准，明确标准立项获批，正式启动该团体标准的规范化编制流程。</w:t>
      </w:r>
    </w:p>
    <w:p w14:paraId="27D74635">
      <w:pPr>
        <w:pStyle w:val="26"/>
        <w:spacing w:line="360" w:lineRule="auto"/>
        <w:ind w:firstLine="640"/>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3、标准起草阶段</w:t>
      </w:r>
    </w:p>
    <w:p w14:paraId="7387EC18">
      <w:pPr>
        <w:pStyle w:val="26"/>
        <w:spacing w:line="360" w:lineRule="auto"/>
        <w:ind w:firstLine="640"/>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lang w:eastAsia="zh-CN"/>
        </w:rPr>
        <w:t>立项后，成立标准编制工作起草小组，全面统筹标准编制组织工作，同步开展标准起草单位的筹备与征集，经严格征集、评审与筛选，确定标准起草工作组核心成员单位。工作组基于前期调研成果，于202</w:t>
      </w:r>
      <w:r>
        <w:rPr>
          <w:rFonts w:hint="eastAsia" w:ascii="仿宋" w:hAnsi="仿宋" w:eastAsia="仿宋" w:cs="仿宋"/>
          <w:sz w:val="32"/>
          <w:szCs w:val="32"/>
          <w:highlight w:val="none"/>
          <w:lang w:val="en-US" w:eastAsia="zh-CN"/>
        </w:rPr>
        <w:t>6</w:t>
      </w:r>
      <w:r>
        <w:rPr>
          <w:rFonts w:hint="eastAsia" w:ascii="仿宋" w:hAnsi="仿宋" w:eastAsia="仿宋" w:cs="仿宋"/>
          <w:sz w:val="32"/>
          <w:szCs w:val="32"/>
          <w:highlight w:val="none"/>
          <w:lang w:eastAsia="zh-CN"/>
        </w:rPr>
        <w:t>年</w:t>
      </w:r>
      <w:r>
        <w:rPr>
          <w:rFonts w:hint="eastAsia" w:ascii="仿宋" w:hAnsi="仿宋" w:eastAsia="仿宋" w:cs="仿宋"/>
          <w:sz w:val="32"/>
          <w:szCs w:val="32"/>
          <w:highlight w:val="none"/>
          <w:lang w:val="en-US" w:eastAsia="zh-CN"/>
        </w:rPr>
        <w:t>6</w:t>
      </w:r>
      <w:r>
        <w:rPr>
          <w:rFonts w:hint="eastAsia" w:ascii="仿宋" w:hAnsi="仿宋" w:eastAsia="仿宋" w:cs="仿宋"/>
          <w:sz w:val="32"/>
          <w:szCs w:val="32"/>
          <w:highlight w:val="none"/>
          <w:lang w:eastAsia="zh-CN"/>
        </w:rPr>
        <w:t>月完成《</w:t>
      </w:r>
      <w:r>
        <w:rPr>
          <w:rFonts w:hint="eastAsia" w:ascii="仿宋" w:hAnsi="仿宋" w:eastAsia="仿宋" w:cs="仿宋"/>
          <w:sz w:val="32"/>
          <w:szCs w:val="32"/>
          <w:highlight w:val="none"/>
          <w:lang w:val="en-US" w:eastAsia="zh-CN"/>
        </w:rPr>
        <w:t>生</w:t>
      </w:r>
      <w:r>
        <w:rPr>
          <w:rFonts w:hint="eastAsia" w:ascii="仿宋" w:hAnsi="仿宋" w:eastAsia="仿宋" w:cs="仿宋"/>
          <w:sz w:val="32"/>
          <w:szCs w:val="32"/>
          <w:highlight w:val="none"/>
          <w:lang w:eastAsia="zh-CN"/>
        </w:rPr>
        <w:t>甲烷干重整（DRM）催化剂》团体标准草案稿编写；并于</w:t>
      </w:r>
      <w:r>
        <w:rPr>
          <w:rFonts w:hint="eastAsia" w:ascii="仿宋" w:hAnsi="仿宋" w:eastAsia="仿宋" w:cs="仿宋"/>
          <w:sz w:val="32"/>
          <w:szCs w:val="32"/>
          <w:highlight w:val="none"/>
          <w:lang w:val="en-US" w:eastAsia="zh-CN"/>
        </w:rPr>
        <w:t>6月24日</w:t>
      </w:r>
      <w:r>
        <w:rPr>
          <w:rFonts w:hint="eastAsia" w:ascii="仿宋" w:hAnsi="仿宋" w:eastAsia="仿宋" w:cs="仿宋"/>
          <w:sz w:val="32"/>
          <w:szCs w:val="32"/>
          <w:highlight w:val="none"/>
          <w:lang w:eastAsia="zh-CN"/>
        </w:rPr>
        <w:t>召开标准</w:t>
      </w:r>
      <w:r>
        <w:rPr>
          <w:rFonts w:hint="eastAsia" w:ascii="仿宋" w:hAnsi="仿宋" w:eastAsia="仿宋" w:cs="仿宋"/>
          <w:sz w:val="32"/>
          <w:szCs w:val="32"/>
          <w:highlight w:val="none"/>
          <w:lang w:val="en-US" w:eastAsia="zh-CN"/>
        </w:rPr>
        <w:t>启动</w:t>
      </w:r>
      <w:r>
        <w:rPr>
          <w:rFonts w:hint="eastAsia" w:ascii="仿宋" w:hAnsi="仿宋" w:eastAsia="仿宋" w:cs="仿宋"/>
          <w:sz w:val="32"/>
          <w:szCs w:val="32"/>
          <w:highlight w:val="none"/>
          <w:lang w:eastAsia="zh-CN"/>
        </w:rPr>
        <w:t>会议，针对草案稿内容研讨优化，完善标准框架与核心条款。</w:t>
      </w:r>
    </w:p>
    <w:p w14:paraId="3A1619F7">
      <w:pPr>
        <w:pStyle w:val="26"/>
        <w:spacing w:line="360" w:lineRule="auto"/>
        <w:ind w:firstLine="640"/>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4、意见征集阶段</w:t>
      </w:r>
    </w:p>
    <w:p w14:paraId="10CC5300">
      <w:pPr>
        <w:pStyle w:val="26"/>
        <w:spacing w:line="360" w:lineRule="auto"/>
        <w:ind w:firstLine="640"/>
        <w:rPr>
          <w:rFonts w:hint="eastAsia" w:ascii="仿宋" w:hAnsi="仿宋" w:eastAsia="仿宋" w:cs="仿宋"/>
          <w:sz w:val="32"/>
          <w:szCs w:val="32"/>
          <w:lang w:val="en-US" w:eastAsia="zh-CN"/>
        </w:rPr>
      </w:pPr>
      <w:r>
        <w:rPr>
          <w:rFonts w:hint="eastAsia" w:ascii="仿宋" w:hAnsi="仿宋" w:eastAsia="仿宋" w:cs="仿宋"/>
          <w:sz w:val="32"/>
          <w:szCs w:val="32"/>
          <w:highlight w:val="none"/>
          <w:lang w:val="en-US" w:eastAsia="zh-CN"/>
        </w:rPr>
        <w:t>2026年7月30日，中国西部开发促进会标准化工作委员会发布通知，面向行业</w:t>
      </w:r>
      <w:r>
        <w:rPr>
          <w:rFonts w:hint="eastAsia" w:ascii="仿宋" w:hAnsi="仿宋" w:eastAsia="仿宋" w:cs="仿宋"/>
          <w:sz w:val="32"/>
          <w:szCs w:val="32"/>
          <w:lang w:val="en-US" w:eastAsia="zh-CN"/>
        </w:rPr>
        <w:t>公开征集《</w:t>
      </w:r>
      <w:r>
        <w:rPr>
          <w:rFonts w:hint="eastAsia" w:ascii="仿宋" w:hAnsi="仿宋" w:eastAsia="仿宋" w:cs="仿宋"/>
          <w:sz w:val="32"/>
          <w:szCs w:val="32"/>
          <w:highlight w:val="none"/>
          <w:lang w:eastAsia="zh-CN"/>
        </w:rPr>
        <w:t>甲烷干重整（DRM）催化剂</w:t>
      </w:r>
      <w:r>
        <w:rPr>
          <w:rFonts w:hint="eastAsia" w:ascii="仿宋" w:hAnsi="仿宋" w:eastAsia="仿宋" w:cs="仿宋"/>
          <w:sz w:val="32"/>
          <w:szCs w:val="32"/>
          <w:lang w:val="en-US" w:eastAsia="zh-CN"/>
        </w:rPr>
        <w:t>》团体标准修改意见，广泛吸纳各方专业建议，对标准内容进行全面优化完善。</w:t>
      </w:r>
    </w:p>
    <w:p w14:paraId="6B9AD321">
      <w:pPr>
        <w:pStyle w:val="26"/>
        <w:keepNext w:val="0"/>
        <w:keepLines w:val="0"/>
        <w:pageBreakBefore w:val="0"/>
        <w:widowControl w:val="0"/>
        <w:kinsoku/>
        <w:wordWrap/>
        <w:overflowPunct/>
        <w:topLinePunct w:val="0"/>
        <w:autoSpaceDE w:val="0"/>
        <w:autoSpaceDN w:val="0"/>
        <w:bidi w:val="0"/>
        <w:adjustRightInd/>
        <w:snapToGrid/>
        <w:spacing w:line="360" w:lineRule="auto"/>
        <w:ind w:firstLine="64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后续，标准起草工作组将结合意见征集阶段收集的反馈建议，对标准草案稿进行修订完善，并按流程进行送审及报批等工作。</w:t>
      </w:r>
    </w:p>
    <w:p w14:paraId="2E71ACF5">
      <w:pPr>
        <w:pStyle w:val="56"/>
        <w:numPr>
          <w:ilvl w:val="0"/>
          <w:numId w:val="12"/>
        </w:numPr>
        <w:spacing w:before="156" w:after="156"/>
        <w:rPr>
          <w:rFonts w:hint="eastAsia" w:ascii="仿宋" w:hAnsi="仿宋" w:eastAsia="仿宋" w:cs="仿宋"/>
          <w:b/>
          <w:bCs/>
          <w:color w:val="000000"/>
          <w:sz w:val="32"/>
          <w:szCs w:val="32"/>
        </w:rPr>
      </w:pPr>
      <w:r>
        <w:rPr>
          <w:rFonts w:hint="eastAsia" w:ascii="仿宋" w:hAnsi="仿宋" w:eastAsia="仿宋" w:cs="仿宋"/>
          <w:b/>
          <w:bCs/>
          <w:color w:val="000000"/>
          <w:sz w:val="32"/>
          <w:szCs w:val="32"/>
        </w:rPr>
        <w:t>标准主要内容</w:t>
      </w:r>
    </w:p>
    <w:p w14:paraId="23FCB520">
      <w:pPr>
        <w:numPr>
          <w:ilvl w:val="0"/>
          <w:numId w:val="0"/>
        </w:numPr>
        <w:rPr>
          <w:rFonts w:hint="eastAsia" w:ascii="仿宋" w:hAnsi="仿宋" w:eastAsia="仿宋" w:cs="仿宋"/>
          <w:kern w:val="0"/>
          <w:sz w:val="32"/>
          <w:szCs w:val="32"/>
          <w:highlight w:val="none"/>
          <w:lang w:val="en-US" w:eastAsia="zh-CN" w:bidi="ar-SA"/>
        </w:rPr>
      </w:pPr>
      <w:r>
        <w:rPr>
          <w:rFonts w:hint="eastAsia" w:ascii="仿宋" w:hAnsi="仿宋" w:eastAsia="仿宋" w:cs="仿宋"/>
          <w:kern w:val="0"/>
          <w:sz w:val="32"/>
          <w:szCs w:val="32"/>
          <w:highlight w:val="none"/>
          <w:lang w:val="en-US" w:eastAsia="zh-CN" w:bidi="ar-SA"/>
        </w:rPr>
        <w:t>标准立项名称：《</w:t>
      </w:r>
      <w:r>
        <w:rPr>
          <w:rFonts w:hint="eastAsia" w:ascii="仿宋" w:hAnsi="仿宋" w:eastAsia="仿宋" w:cs="仿宋"/>
          <w:sz w:val="32"/>
          <w:szCs w:val="32"/>
          <w:highlight w:val="none"/>
          <w:lang w:eastAsia="zh-CN"/>
        </w:rPr>
        <w:t>甲烷干重整（DRM）催化剂</w:t>
      </w:r>
      <w:r>
        <w:rPr>
          <w:rFonts w:hint="eastAsia" w:ascii="仿宋" w:hAnsi="仿宋" w:eastAsia="仿宋" w:cs="仿宋"/>
          <w:kern w:val="0"/>
          <w:sz w:val="32"/>
          <w:szCs w:val="32"/>
          <w:highlight w:val="none"/>
          <w:lang w:val="en-US" w:eastAsia="zh-CN" w:bidi="ar-SA"/>
        </w:rPr>
        <w:t>》</w:t>
      </w:r>
    </w:p>
    <w:p w14:paraId="59A9668A">
      <w:pPr>
        <w:numPr>
          <w:ilvl w:val="0"/>
          <w:numId w:val="0"/>
        </w:numPr>
        <w:rPr>
          <w:rFonts w:hint="default" w:ascii="仿宋" w:hAnsi="仿宋" w:eastAsia="仿宋" w:cs="仿宋"/>
          <w:kern w:val="0"/>
          <w:sz w:val="32"/>
          <w:szCs w:val="32"/>
          <w:highlight w:val="none"/>
          <w:lang w:val="en-US" w:eastAsia="zh-CN" w:bidi="ar-SA"/>
        </w:rPr>
      </w:pPr>
      <w:r>
        <w:rPr>
          <w:rFonts w:hint="eastAsia" w:ascii="仿宋" w:hAnsi="仿宋" w:eastAsia="仿宋" w:cs="仿宋"/>
          <w:kern w:val="0"/>
          <w:sz w:val="32"/>
          <w:szCs w:val="32"/>
          <w:highlight w:val="none"/>
          <w:lang w:val="en-US" w:eastAsia="zh-CN" w:bidi="ar-SA"/>
        </w:rPr>
        <w:t>标准名称：《</w:t>
      </w:r>
      <w:r>
        <w:rPr>
          <w:rFonts w:hint="eastAsia" w:ascii="仿宋" w:hAnsi="仿宋" w:eastAsia="仿宋" w:cs="仿宋"/>
          <w:sz w:val="32"/>
          <w:szCs w:val="32"/>
          <w:highlight w:val="none"/>
          <w:lang w:eastAsia="zh-CN"/>
        </w:rPr>
        <w:t>甲烷干重整（DRM）催化剂</w:t>
      </w:r>
      <w:r>
        <w:rPr>
          <w:rFonts w:hint="eastAsia" w:ascii="仿宋" w:hAnsi="仿宋" w:eastAsia="仿宋" w:cs="仿宋"/>
          <w:kern w:val="0"/>
          <w:sz w:val="32"/>
          <w:szCs w:val="32"/>
          <w:highlight w:val="none"/>
          <w:lang w:val="en-US" w:eastAsia="zh-CN" w:bidi="ar-SA"/>
        </w:rPr>
        <w:t>》</w:t>
      </w:r>
    </w:p>
    <w:p w14:paraId="472B0CAB">
      <w:pPr>
        <w:pStyle w:val="26"/>
        <w:ind w:firstLine="0" w:firstLineChars="0"/>
        <w:rPr>
          <w:rFonts w:ascii="仿宋" w:hAnsi="仿宋" w:eastAsia="仿宋" w:cs="仿宋"/>
          <w:b/>
          <w:bCs/>
          <w:sz w:val="32"/>
          <w:szCs w:val="32"/>
        </w:rPr>
      </w:pPr>
      <w:r>
        <w:rPr>
          <w:rFonts w:hint="eastAsia" w:ascii="仿宋" w:hAnsi="仿宋" w:eastAsia="仿宋" w:cs="仿宋"/>
          <w:b/>
          <w:bCs/>
          <w:sz w:val="32"/>
          <w:szCs w:val="32"/>
        </w:rPr>
        <w:t>1、范围</w:t>
      </w:r>
    </w:p>
    <w:p w14:paraId="70669EDA">
      <w:pPr>
        <w:pStyle w:val="26"/>
        <w:numPr>
          <w:ilvl w:val="0"/>
          <w:numId w:val="0"/>
        </w:numPr>
        <w:ind w:firstLine="640" w:firstLineChars="200"/>
        <w:rPr>
          <w:rFonts w:hint="eastAsia" w:ascii="仿宋" w:hAnsi="仿宋" w:eastAsia="仿宋" w:cs="仿宋"/>
          <w:color w:val="auto"/>
          <w:kern w:val="0"/>
          <w:sz w:val="32"/>
          <w:szCs w:val="32"/>
          <w:highlight w:val="none"/>
          <w:lang w:val="en-US" w:eastAsia="zh-CN" w:bidi="zh-CN"/>
        </w:rPr>
      </w:pPr>
      <w:bookmarkStart w:id="35" w:name="_Toc304402665"/>
      <w:bookmarkStart w:id="36" w:name="_Toc298937610"/>
      <w:bookmarkStart w:id="37" w:name="_Toc309994552"/>
      <w:bookmarkStart w:id="38" w:name="_Toc298937277"/>
      <w:bookmarkStart w:id="39" w:name="_Toc298937323"/>
      <w:bookmarkStart w:id="40" w:name="_Toc304825082"/>
      <w:bookmarkStart w:id="41" w:name="_Toc17330"/>
      <w:bookmarkStart w:id="42" w:name="_Toc298937463"/>
      <w:bookmarkStart w:id="43" w:name="_Toc298937168"/>
      <w:bookmarkStart w:id="44" w:name="_Toc309997041"/>
      <w:bookmarkStart w:id="45" w:name="_Toc298937420"/>
      <w:bookmarkStart w:id="46" w:name="_Toc309996000"/>
      <w:bookmarkStart w:id="47" w:name="_Toc298937550"/>
      <w:bookmarkStart w:id="48" w:name="_Toc298937358"/>
      <w:bookmarkStart w:id="49" w:name="_Toc304828067"/>
      <w:bookmarkStart w:id="50" w:name="_Toc298938636"/>
      <w:bookmarkStart w:id="51" w:name="_Toc309995391"/>
      <w:bookmarkStart w:id="52" w:name="_Toc298938784"/>
      <w:bookmarkStart w:id="53" w:name="_Toc15783"/>
      <w:bookmarkStart w:id="54" w:name="_Toc298937202"/>
      <w:bookmarkStart w:id="55" w:name="_Toc304825009"/>
      <w:bookmarkStart w:id="56" w:name="_Toc298936925"/>
      <w:bookmarkStart w:id="57" w:name="_Toc298937189"/>
      <w:bookmarkStart w:id="58" w:name="_Toc309995473"/>
      <w:bookmarkStart w:id="59" w:name="_Toc499110427"/>
      <w:bookmarkStart w:id="60" w:name="_Toc298937101"/>
      <w:bookmarkStart w:id="61" w:name="_Toc298937153"/>
      <w:bookmarkStart w:id="62" w:name="_Toc309993181"/>
      <w:bookmarkStart w:id="63" w:name="_Toc309995579"/>
      <w:bookmarkStart w:id="64" w:name="_Toc310002638"/>
      <w:bookmarkStart w:id="65" w:name="_Toc298923384"/>
      <w:bookmarkStart w:id="66" w:name="_Toc304824970"/>
      <w:bookmarkStart w:id="67" w:name="_Toc298936802"/>
      <w:r>
        <w:rPr>
          <w:rFonts w:hint="eastAsia" w:ascii="仿宋" w:hAnsi="仿宋" w:eastAsia="仿宋" w:cs="仿宋"/>
          <w:color w:val="auto"/>
          <w:kern w:val="0"/>
          <w:sz w:val="32"/>
          <w:szCs w:val="32"/>
          <w:highlight w:val="none"/>
          <w:lang w:val="en-US" w:eastAsia="zh-CN" w:bidi="zh-CN"/>
        </w:rPr>
        <w:t>本文件规定了</w:t>
      </w:r>
      <w:sdt>
        <w:sdtPr>
          <w:rPr>
            <w:rFonts w:hint="eastAsia" w:ascii="仿宋" w:hAnsi="仿宋" w:eastAsia="仿宋" w:cs="仿宋"/>
            <w:color w:val="auto"/>
            <w:kern w:val="0"/>
            <w:sz w:val="32"/>
            <w:szCs w:val="32"/>
            <w:highlight w:val="none"/>
            <w:lang w:val="en-US" w:eastAsia="zh-CN" w:bidi="zh-CN"/>
          </w:rPr>
          <w:tag w:val="NEW_STAND_NAME"/>
          <w:id w:val="147480222"/>
          <w:lock w:val="sdtLocked"/>
          <w:placeholder>
            <w:docPart w:val="{895c72ff-94f7-448d-a500-46cc375d9f57}"/>
          </w:placeholder>
        </w:sdtPr>
        <w:sdtEndPr>
          <w:rPr>
            <w:rFonts w:hint="eastAsia" w:ascii="仿宋" w:hAnsi="仿宋" w:eastAsia="仿宋" w:cs="仿宋"/>
            <w:color w:val="auto"/>
            <w:kern w:val="0"/>
            <w:sz w:val="32"/>
            <w:szCs w:val="32"/>
            <w:highlight w:val="none"/>
            <w:lang w:val="en-US" w:eastAsia="zh-CN" w:bidi="zh-CN"/>
          </w:rPr>
        </w:sdtEndPr>
        <w:sdtContent>
          <w:r>
            <w:rPr>
              <w:rFonts w:hint="eastAsia" w:ascii="仿宋" w:hAnsi="仿宋" w:eastAsia="仿宋" w:cs="仿宋"/>
              <w:color w:val="auto"/>
              <w:kern w:val="0"/>
              <w:sz w:val="32"/>
              <w:szCs w:val="32"/>
              <w:highlight w:val="none"/>
              <w:lang w:val="en-US" w:eastAsia="zh-CN" w:bidi="zh-CN"/>
            </w:rPr>
            <w:t>甲烷干重整（DRM）催化剂</w:t>
          </w:r>
        </w:sdtContent>
      </w:sdt>
      <w:r>
        <w:rPr>
          <w:rFonts w:hint="eastAsia" w:ascii="仿宋" w:hAnsi="仿宋" w:eastAsia="仿宋" w:cs="仿宋"/>
          <w:color w:val="auto"/>
          <w:kern w:val="0"/>
          <w:sz w:val="32"/>
          <w:szCs w:val="32"/>
          <w:highlight w:val="none"/>
          <w:lang w:val="en-US" w:eastAsia="zh-CN" w:bidi="zh-CN"/>
        </w:rPr>
        <w:t>的技术要求、试验方法、检验规则、标志、包装、运输和贮存。</w:t>
      </w:r>
    </w:p>
    <w:p w14:paraId="4073DBD2">
      <w:pPr>
        <w:pStyle w:val="26"/>
        <w:numPr>
          <w:ilvl w:val="0"/>
          <w:numId w:val="0"/>
        </w:numPr>
        <w:ind w:firstLine="640" w:firstLineChars="200"/>
        <w:rPr>
          <w:rFonts w:hint="eastAsia" w:ascii="仿宋" w:hAnsi="仿宋" w:eastAsia="仿宋" w:cs="仿宋"/>
          <w:color w:val="auto"/>
          <w:kern w:val="0"/>
          <w:sz w:val="32"/>
          <w:szCs w:val="32"/>
          <w:highlight w:val="none"/>
          <w:lang w:val="zh-CN" w:eastAsia="zh-CN" w:bidi="zh-CN"/>
        </w:rPr>
      </w:pPr>
      <w:r>
        <w:rPr>
          <w:rFonts w:hint="eastAsia" w:ascii="仿宋" w:hAnsi="仿宋" w:eastAsia="仿宋" w:cs="仿宋"/>
          <w:color w:val="auto"/>
          <w:kern w:val="0"/>
          <w:sz w:val="32"/>
          <w:szCs w:val="32"/>
          <w:highlight w:val="none"/>
          <w:lang w:val="en-US" w:eastAsia="zh-CN" w:bidi="zh-CN"/>
        </w:rPr>
        <w:t>本文件适用于甲烷干重整（DRM）催化剂的生产、检验与应用，催化剂类型包含镍系催化剂和镍基复合金属催化剂。</w:t>
      </w:r>
    </w:p>
    <w:p w14:paraId="0A84BCA1">
      <w:pPr>
        <w:pStyle w:val="26"/>
        <w:numPr>
          <w:ilvl w:val="0"/>
          <w:numId w:val="0"/>
        </w:numPr>
        <w:rPr>
          <w:rFonts w:hint="eastAsia" w:ascii="仿宋" w:hAnsi="仿宋" w:eastAsia="仿宋" w:cs="仿宋"/>
          <w:b/>
          <w:bCs/>
          <w:sz w:val="32"/>
          <w:szCs w:val="32"/>
          <w:highlight w:val="none"/>
        </w:rPr>
      </w:pPr>
      <w:r>
        <w:rPr>
          <w:rFonts w:hint="eastAsia" w:ascii="仿宋" w:hAnsi="仿宋" w:eastAsia="仿宋" w:cs="仿宋"/>
          <w:b/>
          <w:bCs/>
          <w:sz w:val="32"/>
          <w:szCs w:val="32"/>
          <w:highlight w:val="none"/>
          <w:lang w:val="en-US" w:eastAsia="zh-CN"/>
        </w:rPr>
        <w:t>2、</w:t>
      </w:r>
      <w:r>
        <w:rPr>
          <w:rFonts w:hint="eastAsia" w:ascii="仿宋" w:hAnsi="仿宋" w:eastAsia="仿宋" w:cs="仿宋"/>
          <w:b/>
          <w:bCs/>
          <w:sz w:val="32"/>
          <w:szCs w:val="32"/>
          <w:highlight w:val="none"/>
        </w:rPr>
        <w:t>规范性引用文件</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Start w:id="68" w:name="BT2"/>
      <w:bookmarkEnd w:id="68"/>
      <w:bookmarkStart w:id="69" w:name="_Toc298937551"/>
      <w:bookmarkStart w:id="70" w:name="_Toc298937278"/>
      <w:bookmarkStart w:id="71" w:name="_Toc298937359"/>
      <w:bookmarkStart w:id="72" w:name="_Toc298937421"/>
      <w:bookmarkStart w:id="73" w:name="_Toc298937102"/>
      <w:bookmarkStart w:id="74" w:name="_Toc298936803"/>
      <w:bookmarkStart w:id="75" w:name="_Toc309995580"/>
      <w:bookmarkStart w:id="76" w:name="_Toc304402666"/>
      <w:bookmarkStart w:id="77" w:name="_Toc499110428"/>
      <w:bookmarkStart w:id="78" w:name="_Toc304825010"/>
      <w:bookmarkStart w:id="79" w:name="_Toc298937611"/>
      <w:bookmarkStart w:id="80" w:name="_Toc309995392"/>
      <w:bookmarkStart w:id="81" w:name="_Toc304825083"/>
      <w:bookmarkStart w:id="82" w:name="_Toc310002639"/>
      <w:bookmarkStart w:id="83" w:name="_Toc298937464"/>
      <w:bookmarkStart w:id="84" w:name="_Toc298937154"/>
      <w:bookmarkStart w:id="85" w:name="_Toc304828068"/>
      <w:bookmarkStart w:id="86" w:name="_Toc298938785"/>
      <w:bookmarkStart w:id="87" w:name="_Toc298936926"/>
      <w:bookmarkStart w:id="88" w:name="_Toc298937203"/>
      <w:bookmarkStart w:id="89" w:name="_Toc309993182"/>
      <w:bookmarkStart w:id="90" w:name="_Toc304824971"/>
      <w:bookmarkStart w:id="91" w:name="_Toc309996001"/>
      <w:bookmarkStart w:id="92" w:name="_Toc298937324"/>
      <w:bookmarkStart w:id="93" w:name="_Toc309995474"/>
      <w:bookmarkStart w:id="94" w:name="_Toc309994553"/>
      <w:bookmarkStart w:id="95" w:name="_Toc298937190"/>
      <w:bookmarkStart w:id="96" w:name="_Toc309997042"/>
      <w:bookmarkStart w:id="97" w:name="_Toc298937169"/>
      <w:bookmarkStart w:id="98" w:name="_Toc14492"/>
      <w:bookmarkStart w:id="99" w:name="_Toc298938637"/>
      <w:bookmarkStart w:id="100" w:name="_Toc20407"/>
    </w:p>
    <w:p w14:paraId="1C403973">
      <w:pPr>
        <w:pStyle w:val="26"/>
        <w:numPr>
          <w:ilvl w:val="0"/>
          <w:numId w:val="0"/>
        </w:numPr>
        <w:ind w:firstLine="640" w:firstLineChars="200"/>
        <w:rPr>
          <w:rFonts w:hint="eastAsia" w:ascii="仿宋" w:hAnsi="仿宋" w:eastAsia="仿宋" w:cs="仿宋"/>
          <w:color w:val="auto"/>
          <w:kern w:val="0"/>
          <w:sz w:val="32"/>
          <w:szCs w:val="32"/>
          <w:highlight w:val="none"/>
          <w:lang w:val="en-US" w:eastAsia="zh-CN" w:bidi="zh-CN"/>
        </w:rPr>
      </w:pPr>
      <w:r>
        <w:rPr>
          <w:rFonts w:hint="eastAsia" w:ascii="仿宋" w:hAnsi="仿宋" w:eastAsia="仿宋" w:cs="仿宋"/>
          <w:color w:val="auto"/>
          <w:kern w:val="0"/>
          <w:sz w:val="32"/>
          <w:szCs w:val="32"/>
          <w:highlight w:val="none"/>
          <w:lang w:val="en-US" w:eastAsia="zh-CN" w:bidi="zh-CN"/>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3FA05B73">
      <w:pPr>
        <w:pStyle w:val="26"/>
        <w:numPr>
          <w:ilvl w:val="0"/>
          <w:numId w:val="0"/>
        </w:numPr>
        <w:ind w:firstLine="640" w:firstLineChars="200"/>
        <w:rPr>
          <w:rFonts w:hint="eastAsia" w:ascii="仿宋" w:hAnsi="仿宋" w:eastAsia="仿宋" w:cs="仿宋"/>
          <w:color w:val="auto"/>
          <w:kern w:val="0"/>
          <w:sz w:val="32"/>
          <w:szCs w:val="32"/>
          <w:highlight w:val="none"/>
          <w:lang w:val="en-US" w:eastAsia="zh-CN" w:bidi="zh-CN"/>
        </w:rPr>
      </w:pPr>
      <w:r>
        <w:rPr>
          <w:rFonts w:hint="eastAsia" w:ascii="仿宋" w:hAnsi="仿宋" w:eastAsia="仿宋" w:cs="仿宋"/>
          <w:color w:val="auto"/>
          <w:kern w:val="0"/>
          <w:sz w:val="32"/>
          <w:szCs w:val="32"/>
          <w:highlight w:val="none"/>
          <w:lang w:val="en-US" w:eastAsia="zh-CN" w:bidi="zh-CN"/>
        </w:rPr>
        <w:t>GB/T 5085.3  危险废物鉴别标准  浸出毒性鉴别</w:t>
      </w:r>
    </w:p>
    <w:p w14:paraId="05E1322F">
      <w:pPr>
        <w:pStyle w:val="26"/>
        <w:numPr>
          <w:ilvl w:val="0"/>
          <w:numId w:val="0"/>
        </w:numPr>
        <w:ind w:firstLine="640" w:firstLineChars="200"/>
        <w:rPr>
          <w:rFonts w:hint="eastAsia" w:ascii="仿宋" w:hAnsi="仿宋" w:eastAsia="仿宋" w:cs="仿宋"/>
          <w:color w:val="auto"/>
          <w:kern w:val="0"/>
          <w:sz w:val="32"/>
          <w:szCs w:val="32"/>
          <w:highlight w:val="none"/>
          <w:lang w:val="en-US" w:eastAsia="zh-CN" w:bidi="zh-CN"/>
        </w:rPr>
      </w:pPr>
      <w:r>
        <w:rPr>
          <w:rFonts w:hint="eastAsia" w:ascii="仿宋" w:hAnsi="仿宋" w:eastAsia="仿宋" w:cs="仿宋"/>
          <w:color w:val="auto"/>
          <w:kern w:val="0"/>
          <w:sz w:val="32"/>
          <w:szCs w:val="32"/>
          <w:highlight w:val="none"/>
          <w:lang w:val="en-US" w:eastAsia="zh-CN" w:bidi="zh-CN"/>
        </w:rPr>
        <w:t>GB/T 19587  气体吸附BET法测定固态物质比表面积</w:t>
      </w:r>
    </w:p>
    <w:p w14:paraId="2B4EDBAA">
      <w:pPr>
        <w:pStyle w:val="26"/>
        <w:numPr>
          <w:ilvl w:val="0"/>
          <w:numId w:val="0"/>
        </w:numPr>
        <w:ind w:firstLine="640" w:firstLineChars="200"/>
        <w:rPr>
          <w:rFonts w:hint="eastAsia" w:ascii="仿宋" w:hAnsi="仿宋" w:eastAsia="仿宋" w:cs="仿宋"/>
          <w:color w:val="auto"/>
          <w:kern w:val="0"/>
          <w:sz w:val="32"/>
          <w:szCs w:val="32"/>
          <w:highlight w:val="none"/>
          <w:lang w:val="en-US" w:eastAsia="zh-CN" w:bidi="zh-CN"/>
        </w:rPr>
      </w:pPr>
      <w:r>
        <w:rPr>
          <w:rFonts w:hint="eastAsia" w:ascii="仿宋" w:hAnsi="仿宋" w:eastAsia="仿宋" w:cs="仿宋"/>
          <w:color w:val="auto"/>
          <w:kern w:val="0"/>
          <w:sz w:val="32"/>
          <w:szCs w:val="32"/>
          <w:highlight w:val="none"/>
          <w:lang w:val="en-US" w:eastAsia="zh-CN" w:bidi="zh-CN"/>
        </w:rPr>
        <w:t>GB/T 23413  纳米材料晶粒尺寸及微观应变的测定  X射线衍射线宽化法</w:t>
      </w:r>
    </w:p>
    <w:p w14:paraId="0B4DD124">
      <w:pPr>
        <w:pStyle w:val="26"/>
        <w:numPr>
          <w:ilvl w:val="0"/>
          <w:numId w:val="0"/>
        </w:numPr>
        <w:ind w:firstLine="640" w:firstLineChars="200"/>
        <w:rPr>
          <w:rFonts w:hint="eastAsia" w:ascii="仿宋" w:hAnsi="仿宋" w:eastAsia="仿宋" w:cs="仿宋"/>
          <w:color w:val="auto"/>
          <w:kern w:val="0"/>
          <w:sz w:val="32"/>
          <w:szCs w:val="32"/>
          <w:highlight w:val="none"/>
          <w:lang w:val="en-US" w:eastAsia="zh-CN" w:bidi="zh-CN"/>
        </w:rPr>
      </w:pPr>
      <w:r>
        <w:rPr>
          <w:rFonts w:hint="eastAsia" w:ascii="仿宋" w:hAnsi="仿宋" w:eastAsia="仿宋" w:cs="仿宋"/>
          <w:color w:val="auto"/>
          <w:kern w:val="0"/>
          <w:sz w:val="32"/>
          <w:szCs w:val="32"/>
          <w:highlight w:val="none"/>
          <w:lang w:val="en-US" w:eastAsia="zh-CN" w:bidi="zh-CN"/>
        </w:rPr>
        <w:t>HG/T 2273.4  天然气一、二段转化催化剂试验方法</w:t>
      </w:r>
    </w:p>
    <w:p w14:paraId="435D1763">
      <w:pPr>
        <w:pStyle w:val="26"/>
        <w:numPr>
          <w:ilvl w:val="0"/>
          <w:numId w:val="0"/>
        </w:numPr>
        <w:ind w:firstLine="640" w:firstLineChars="200"/>
        <w:rPr>
          <w:rFonts w:hint="eastAsia" w:ascii="仿宋" w:hAnsi="仿宋" w:eastAsia="仿宋" w:cs="仿宋"/>
          <w:color w:val="auto"/>
          <w:kern w:val="0"/>
          <w:sz w:val="32"/>
          <w:szCs w:val="32"/>
          <w:highlight w:val="none"/>
          <w:lang w:val="en-US" w:eastAsia="zh-CN" w:bidi="zh-CN"/>
        </w:rPr>
      </w:pPr>
      <w:r>
        <w:rPr>
          <w:rFonts w:hint="eastAsia" w:ascii="仿宋" w:hAnsi="仿宋" w:eastAsia="仿宋" w:cs="仿宋"/>
          <w:color w:val="auto"/>
          <w:kern w:val="0"/>
          <w:sz w:val="32"/>
          <w:szCs w:val="32"/>
          <w:highlight w:val="none"/>
          <w:lang w:val="en-US" w:eastAsia="zh-CN" w:bidi="zh-CN"/>
        </w:rPr>
        <w:t>HG/T 2511  甲烷化催化剂化学成分分析方法</w:t>
      </w:r>
    </w:p>
    <w:p w14:paraId="65570B7A">
      <w:pPr>
        <w:pStyle w:val="26"/>
        <w:numPr>
          <w:ilvl w:val="0"/>
          <w:numId w:val="0"/>
        </w:numPr>
        <w:ind w:firstLine="640" w:firstLineChars="200"/>
        <w:rPr>
          <w:rFonts w:hint="eastAsia" w:ascii="仿宋" w:hAnsi="仿宋" w:eastAsia="仿宋" w:cs="仿宋"/>
          <w:color w:val="auto"/>
          <w:kern w:val="0"/>
          <w:sz w:val="32"/>
          <w:szCs w:val="32"/>
          <w:highlight w:val="none"/>
          <w:lang w:val="en-US" w:eastAsia="zh-CN" w:bidi="zh-CN"/>
        </w:rPr>
      </w:pPr>
      <w:r>
        <w:rPr>
          <w:rFonts w:hint="eastAsia" w:ascii="仿宋" w:hAnsi="仿宋" w:eastAsia="仿宋" w:cs="仿宋"/>
          <w:color w:val="auto"/>
          <w:kern w:val="0"/>
          <w:sz w:val="32"/>
          <w:szCs w:val="32"/>
          <w:highlight w:val="none"/>
          <w:lang w:val="en-US" w:eastAsia="zh-CN" w:bidi="zh-CN"/>
        </w:rPr>
        <w:t>HG/T 2782  化工催化剂颗粒抗压碎力的测定</w:t>
      </w:r>
    </w:p>
    <w:p w14:paraId="4554F2CE">
      <w:pPr>
        <w:pStyle w:val="26"/>
        <w:numPr>
          <w:ilvl w:val="0"/>
          <w:numId w:val="0"/>
        </w:numPr>
        <w:ind w:firstLine="640" w:firstLineChars="200"/>
        <w:rPr>
          <w:rFonts w:hint="eastAsia" w:ascii="仿宋" w:hAnsi="仿宋" w:eastAsia="仿宋" w:cs="仿宋"/>
          <w:color w:val="auto"/>
          <w:kern w:val="0"/>
          <w:sz w:val="32"/>
          <w:szCs w:val="32"/>
          <w:highlight w:val="none"/>
          <w:lang w:val="en-US" w:eastAsia="zh-CN" w:bidi="zh-CN"/>
        </w:rPr>
      </w:pPr>
      <w:r>
        <w:rPr>
          <w:rFonts w:hint="eastAsia" w:ascii="仿宋" w:hAnsi="仿宋" w:eastAsia="仿宋" w:cs="仿宋"/>
          <w:color w:val="auto"/>
          <w:kern w:val="0"/>
          <w:sz w:val="32"/>
          <w:szCs w:val="32"/>
          <w:highlight w:val="none"/>
          <w:lang w:val="en-US" w:eastAsia="zh-CN" w:bidi="zh-CN"/>
        </w:rPr>
        <w:t>HG/T 2976  化肥催化剂磨耗率的测定</w:t>
      </w:r>
    </w:p>
    <w:p w14:paraId="512B5F76">
      <w:pPr>
        <w:pStyle w:val="139"/>
        <w:numPr>
          <w:ilvl w:val="0"/>
          <w:numId w:val="13"/>
        </w:numPr>
        <w:spacing w:before="312" w:after="312"/>
        <w:rPr>
          <w:rFonts w:hint="eastAsia" w:ascii="仿宋" w:hAnsi="仿宋" w:eastAsia="仿宋" w:cs="仿宋"/>
          <w:b/>
          <w:bCs/>
          <w:sz w:val="32"/>
          <w:szCs w:val="32"/>
          <w:highlight w:val="none"/>
          <w:lang w:val="en-US" w:eastAsia="zh-CN" w:bidi="ar-SA"/>
        </w:rPr>
      </w:pPr>
      <w:r>
        <w:rPr>
          <w:rFonts w:hint="eastAsia" w:ascii="仿宋" w:hAnsi="仿宋" w:eastAsia="仿宋" w:cs="仿宋"/>
          <w:b/>
          <w:bCs/>
          <w:sz w:val="32"/>
          <w:szCs w:val="32"/>
          <w:highlight w:val="none"/>
          <w:lang w:val="en-US" w:eastAsia="zh-CN" w:bidi="ar-SA"/>
        </w:rPr>
        <w:t>术语和定义</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Start w:id="101" w:name="_Toc31824"/>
      <w:bookmarkEnd w:id="101"/>
      <w:bookmarkStart w:id="102" w:name="_Toc24305"/>
      <w:bookmarkEnd w:id="102"/>
      <w:bookmarkStart w:id="103" w:name="_Toc28815"/>
      <w:bookmarkEnd w:id="103"/>
      <w:bookmarkStart w:id="104" w:name="_Toc23010"/>
      <w:bookmarkStart w:id="105" w:name="_Toc53480861"/>
      <w:bookmarkStart w:id="106" w:name="_Toc27503"/>
      <w:bookmarkStart w:id="107" w:name="_Toc53501691"/>
      <w:bookmarkStart w:id="108" w:name="_Toc53575559"/>
      <w:bookmarkStart w:id="109" w:name="_Hlk53576250"/>
      <w:bookmarkStart w:id="110" w:name="_Toc53587167"/>
      <w:bookmarkStart w:id="111" w:name="_Toc24216"/>
      <w:bookmarkStart w:id="112" w:name="_Toc10606"/>
      <w:bookmarkStart w:id="113" w:name="_Toc53480577"/>
    </w:p>
    <w:bookmarkEnd w:id="104"/>
    <w:bookmarkEnd w:id="105"/>
    <w:bookmarkEnd w:id="106"/>
    <w:bookmarkEnd w:id="107"/>
    <w:bookmarkEnd w:id="108"/>
    <w:bookmarkEnd w:id="109"/>
    <w:bookmarkEnd w:id="110"/>
    <w:bookmarkEnd w:id="111"/>
    <w:bookmarkEnd w:id="112"/>
    <w:bookmarkEnd w:id="113"/>
    <w:p w14:paraId="13DF8AB1">
      <w:pPr>
        <w:pStyle w:val="26"/>
        <w:keepNext w:val="0"/>
        <w:keepLines w:val="0"/>
        <w:pageBreakBefore w:val="0"/>
        <w:widowControl/>
        <w:numPr>
          <w:ilvl w:val="0"/>
          <w:numId w:val="0"/>
        </w:numPr>
        <w:kinsoku/>
        <w:wordWrap/>
        <w:overflowPunct/>
        <w:topLinePunct w:val="0"/>
        <w:autoSpaceDE w:val="0"/>
        <w:autoSpaceDN w:val="0"/>
        <w:bidi w:val="0"/>
        <w:adjustRightInd/>
        <w:snapToGrid/>
        <w:ind w:firstLine="640" w:firstLineChars="200"/>
        <w:textAlignment w:val="auto"/>
        <w:rPr>
          <w:rFonts w:hint="eastAsia" w:ascii="仿宋" w:hAnsi="仿宋" w:eastAsia="仿宋" w:cs="仿宋"/>
          <w:kern w:val="0"/>
          <w:sz w:val="32"/>
          <w:szCs w:val="32"/>
          <w:highlight w:val="none"/>
          <w:lang w:val="en-US" w:eastAsia="zh-CN" w:bidi="ar-SA"/>
        </w:rPr>
      </w:pPr>
      <w:r>
        <w:rPr>
          <w:rFonts w:hint="eastAsia" w:ascii="仿宋" w:hAnsi="仿宋" w:eastAsia="仿宋" w:cs="仿宋"/>
          <w:kern w:val="0"/>
          <w:sz w:val="32"/>
          <w:szCs w:val="32"/>
          <w:highlight w:val="none"/>
          <w:lang w:val="en-US" w:eastAsia="zh-CN" w:bidi="ar-SA"/>
        </w:rPr>
        <w:t>下列术语和定义适用于本文件。</w:t>
      </w:r>
    </w:p>
    <w:p w14:paraId="2E249533">
      <w:pPr>
        <w:pStyle w:val="26"/>
        <w:numPr>
          <w:ilvl w:val="0"/>
          <w:numId w:val="0"/>
        </w:numPr>
        <w:ind w:left="638" w:leftChars="304" w:firstLine="0" w:firstLineChars="0"/>
        <w:rPr>
          <w:rFonts w:hint="eastAsia" w:ascii="仿宋" w:hAnsi="仿宋" w:eastAsia="仿宋" w:cs="仿宋"/>
          <w:kern w:val="0"/>
          <w:sz w:val="32"/>
          <w:szCs w:val="32"/>
          <w:highlight w:val="none"/>
          <w:lang w:val="en-US" w:eastAsia="zh-CN" w:bidi="ar-SA"/>
        </w:rPr>
      </w:pPr>
      <w:r>
        <w:rPr>
          <w:rFonts w:hint="eastAsia" w:ascii="仿宋" w:hAnsi="仿宋" w:eastAsia="仿宋" w:cs="仿宋"/>
          <w:kern w:val="0"/>
          <w:sz w:val="32"/>
          <w:szCs w:val="32"/>
          <w:highlight w:val="none"/>
          <w:lang w:val="en-US" w:eastAsia="zh-CN" w:bidi="ar-SA"/>
        </w:rPr>
        <w:t>3.1</w:t>
      </w:r>
      <w:r>
        <w:rPr>
          <w:rFonts w:hint="eastAsia" w:ascii="仿宋" w:hAnsi="仿宋" w:eastAsia="仿宋" w:cs="仿宋"/>
          <w:kern w:val="0"/>
          <w:sz w:val="32"/>
          <w:szCs w:val="32"/>
          <w:highlight w:val="none"/>
          <w:lang w:val="en-US" w:eastAsia="zh-CN" w:bidi="ar-SA"/>
        </w:rPr>
        <w:br w:type="textWrapping"/>
      </w:r>
      <w:r>
        <w:rPr>
          <w:rFonts w:hint="eastAsia" w:ascii="仿宋" w:hAnsi="仿宋" w:eastAsia="仿宋" w:cs="仿宋"/>
          <w:kern w:val="0"/>
          <w:sz w:val="32"/>
          <w:szCs w:val="32"/>
          <w:highlight w:val="none"/>
          <w:lang w:val="en-US" w:eastAsia="zh-CN" w:bidi="ar-SA"/>
        </w:rPr>
        <w:t>甲烷干重整  dry reforming of methane；DRM</w:t>
      </w:r>
    </w:p>
    <w:p w14:paraId="4C7C97E0">
      <w:pPr>
        <w:pStyle w:val="26"/>
        <w:numPr>
          <w:ilvl w:val="0"/>
          <w:numId w:val="0"/>
        </w:numPr>
        <w:ind w:leftChars="0" w:firstLine="640" w:firstLineChars="200"/>
        <w:rPr>
          <w:rFonts w:hint="eastAsia" w:ascii="仿宋" w:hAnsi="仿宋" w:eastAsia="仿宋" w:cs="仿宋"/>
          <w:kern w:val="0"/>
          <w:sz w:val="32"/>
          <w:szCs w:val="32"/>
          <w:highlight w:val="none"/>
          <w:lang w:val="en-US" w:eastAsia="zh-CN" w:bidi="ar-SA"/>
        </w:rPr>
      </w:pPr>
      <w:bookmarkStart w:id="114" w:name="_Toc193453216"/>
      <w:r>
        <w:rPr>
          <w:rFonts w:hint="eastAsia" w:ascii="仿宋" w:hAnsi="仿宋" w:eastAsia="仿宋" w:cs="仿宋"/>
          <w:kern w:val="0"/>
          <w:sz w:val="32"/>
          <w:szCs w:val="32"/>
          <w:highlight w:val="none"/>
          <w:lang w:val="en-US" w:eastAsia="zh-CN" w:bidi="ar-SA"/>
        </w:rPr>
        <w:t>在催化剂作用下，甲烷</w:t>
      </w:r>
      <w:bookmarkStart w:id="115" w:name="OLE_LINK2"/>
      <w:r>
        <w:rPr>
          <w:rFonts w:hint="eastAsia" w:ascii="仿宋" w:hAnsi="仿宋" w:eastAsia="仿宋" w:cs="仿宋"/>
          <w:kern w:val="0"/>
          <w:sz w:val="32"/>
          <w:szCs w:val="32"/>
          <w:highlight w:val="none"/>
          <w:lang w:val="en-US" w:eastAsia="zh-CN" w:bidi="ar-SA"/>
        </w:rPr>
        <w:t>（CH₄）</w:t>
      </w:r>
      <w:bookmarkEnd w:id="115"/>
      <w:r>
        <w:rPr>
          <w:rFonts w:hint="eastAsia" w:ascii="仿宋" w:hAnsi="仿宋" w:eastAsia="仿宋" w:cs="仿宋"/>
          <w:kern w:val="0"/>
          <w:sz w:val="32"/>
          <w:szCs w:val="32"/>
          <w:highlight w:val="none"/>
          <w:lang w:val="en-US" w:eastAsia="zh-CN" w:bidi="ar-SA"/>
        </w:rPr>
        <w:t>与二氧化碳（CO₂）在高温下反应，生成合成气一氧化碳（CO）和氢气（H2）的强吸热过程。其主反应为：CH₄＋CO₂→2CO＋2H₂。</w:t>
      </w:r>
    </w:p>
    <w:p w14:paraId="62DB37C0">
      <w:pPr>
        <w:pStyle w:val="26"/>
        <w:numPr>
          <w:ilvl w:val="0"/>
          <w:numId w:val="0"/>
        </w:numPr>
        <w:ind w:left="638" w:leftChars="304" w:firstLine="0" w:firstLineChars="0"/>
        <w:rPr>
          <w:rFonts w:hint="eastAsia" w:ascii="仿宋" w:hAnsi="仿宋" w:eastAsia="仿宋" w:cs="仿宋"/>
          <w:kern w:val="0"/>
          <w:sz w:val="32"/>
          <w:szCs w:val="32"/>
          <w:highlight w:val="none"/>
          <w:lang w:val="en-US" w:eastAsia="zh-CN" w:bidi="ar-SA"/>
        </w:rPr>
      </w:pPr>
      <w:r>
        <w:rPr>
          <w:rFonts w:hint="eastAsia" w:ascii="仿宋" w:hAnsi="仿宋" w:eastAsia="仿宋" w:cs="仿宋"/>
          <w:kern w:val="0"/>
          <w:sz w:val="32"/>
          <w:szCs w:val="32"/>
          <w:highlight w:val="none"/>
          <w:lang w:val="en-US" w:eastAsia="zh-CN" w:bidi="ar-SA"/>
        </w:rPr>
        <w:t>3.2</w:t>
      </w:r>
      <w:r>
        <w:rPr>
          <w:rFonts w:hint="eastAsia" w:ascii="仿宋" w:hAnsi="仿宋" w:eastAsia="仿宋" w:cs="仿宋"/>
          <w:kern w:val="0"/>
          <w:sz w:val="32"/>
          <w:szCs w:val="32"/>
          <w:highlight w:val="none"/>
          <w:lang w:val="en-US" w:eastAsia="zh-CN" w:bidi="ar-SA"/>
        </w:rPr>
        <w:br w:type="textWrapping"/>
      </w:r>
      <w:r>
        <w:rPr>
          <w:rFonts w:hint="eastAsia" w:ascii="仿宋" w:hAnsi="仿宋" w:eastAsia="仿宋" w:cs="仿宋"/>
          <w:kern w:val="0"/>
          <w:sz w:val="32"/>
          <w:szCs w:val="32"/>
          <w:highlight w:val="none"/>
          <w:lang w:val="en-US" w:eastAsia="zh-CN" w:bidi="ar-SA"/>
        </w:rPr>
        <w:t>甲烷干重整催化剂  dry reforming of methane catalyst</w:t>
      </w:r>
    </w:p>
    <w:bookmarkEnd w:id="114"/>
    <w:p w14:paraId="0EF6B69E">
      <w:pPr>
        <w:pStyle w:val="26"/>
        <w:numPr>
          <w:ilvl w:val="0"/>
          <w:numId w:val="0"/>
        </w:numPr>
        <w:ind w:leftChars="0" w:firstLine="640" w:firstLineChars="200"/>
        <w:rPr>
          <w:rFonts w:hint="eastAsia" w:ascii="仿宋" w:hAnsi="仿宋" w:eastAsia="仿宋" w:cs="仿宋"/>
          <w:kern w:val="0"/>
          <w:sz w:val="32"/>
          <w:szCs w:val="32"/>
          <w:highlight w:val="none"/>
          <w:lang w:val="en-US" w:eastAsia="zh-CN" w:bidi="ar-SA"/>
        </w:rPr>
      </w:pPr>
      <w:r>
        <w:rPr>
          <w:rFonts w:hint="eastAsia" w:ascii="仿宋" w:hAnsi="仿宋" w:eastAsia="仿宋" w:cs="仿宋"/>
          <w:kern w:val="0"/>
          <w:sz w:val="32"/>
          <w:szCs w:val="32"/>
          <w:highlight w:val="none"/>
          <w:lang w:val="en-US" w:eastAsia="zh-CN" w:bidi="ar-SA"/>
        </w:rPr>
        <w:t>用于加速甲烷干重整反应的催化材料。</w:t>
      </w:r>
    </w:p>
    <w:p w14:paraId="29C87429">
      <w:pPr>
        <w:pStyle w:val="26"/>
        <w:numPr>
          <w:ilvl w:val="0"/>
          <w:numId w:val="0"/>
        </w:numPr>
        <w:ind w:left="638" w:leftChars="304" w:firstLine="0" w:firstLineChars="0"/>
        <w:rPr>
          <w:rFonts w:hint="eastAsia" w:ascii="仿宋" w:hAnsi="仿宋" w:eastAsia="仿宋" w:cs="仿宋"/>
          <w:kern w:val="0"/>
          <w:sz w:val="32"/>
          <w:szCs w:val="32"/>
          <w:highlight w:val="none"/>
          <w:lang w:val="en-US" w:eastAsia="zh-CN" w:bidi="ar-SA"/>
        </w:rPr>
      </w:pPr>
      <w:r>
        <w:rPr>
          <w:rFonts w:hint="eastAsia" w:ascii="仿宋" w:hAnsi="仿宋" w:eastAsia="仿宋" w:cs="仿宋"/>
          <w:kern w:val="0"/>
          <w:sz w:val="32"/>
          <w:szCs w:val="32"/>
          <w:highlight w:val="none"/>
          <w:lang w:val="en-US" w:eastAsia="zh-CN" w:bidi="ar-SA"/>
        </w:rPr>
        <w:t>3.3</w:t>
      </w:r>
      <w:r>
        <w:rPr>
          <w:rFonts w:hint="eastAsia" w:ascii="仿宋" w:hAnsi="仿宋" w:eastAsia="仿宋" w:cs="仿宋"/>
          <w:kern w:val="0"/>
          <w:sz w:val="32"/>
          <w:szCs w:val="32"/>
          <w:highlight w:val="none"/>
          <w:lang w:val="en-US" w:eastAsia="zh-CN" w:bidi="ar-SA"/>
        </w:rPr>
        <w:br w:type="textWrapping"/>
      </w:r>
      <w:r>
        <w:rPr>
          <w:rFonts w:hint="eastAsia" w:ascii="仿宋" w:hAnsi="仿宋" w:eastAsia="仿宋" w:cs="仿宋"/>
          <w:kern w:val="0"/>
          <w:sz w:val="32"/>
          <w:szCs w:val="32"/>
          <w:highlight w:val="none"/>
          <w:lang w:val="en-US" w:eastAsia="zh-CN" w:bidi="ar-SA"/>
        </w:rPr>
        <w:t>镍系催化剂  nickel-based catalyst</w:t>
      </w:r>
    </w:p>
    <w:p w14:paraId="0A1D1B8B">
      <w:pPr>
        <w:pStyle w:val="26"/>
        <w:numPr>
          <w:ilvl w:val="0"/>
          <w:numId w:val="0"/>
        </w:numPr>
        <w:ind w:leftChars="0" w:firstLine="640" w:firstLineChars="200"/>
        <w:rPr>
          <w:rFonts w:hint="eastAsia" w:ascii="仿宋" w:hAnsi="仿宋" w:eastAsia="仿宋" w:cs="仿宋"/>
          <w:kern w:val="0"/>
          <w:sz w:val="32"/>
          <w:szCs w:val="32"/>
          <w:highlight w:val="none"/>
          <w:lang w:val="en-US" w:eastAsia="zh-CN" w:bidi="ar-SA"/>
        </w:rPr>
      </w:pPr>
      <w:r>
        <w:rPr>
          <w:rFonts w:hint="eastAsia" w:ascii="仿宋" w:hAnsi="仿宋" w:eastAsia="仿宋" w:cs="仿宋"/>
          <w:kern w:val="0"/>
          <w:sz w:val="32"/>
          <w:szCs w:val="32"/>
          <w:highlight w:val="none"/>
          <w:lang w:val="en-US" w:eastAsia="zh-CN" w:bidi="ar-SA"/>
        </w:rPr>
        <w:t>以金属镍（Ni）为唯一核心活性组分，负载于载体上，辅以助剂制成的甲烷干重整催化剂。</w:t>
      </w:r>
    </w:p>
    <w:p w14:paraId="19B66463">
      <w:pPr>
        <w:pStyle w:val="26"/>
        <w:numPr>
          <w:ilvl w:val="0"/>
          <w:numId w:val="0"/>
        </w:numPr>
        <w:ind w:left="638" w:leftChars="304" w:firstLine="0" w:firstLineChars="0"/>
        <w:rPr>
          <w:rFonts w:hint="eastAsia" w:ascii="仿宋" w:hAnsi="仿宋" w:eastAsia="仿宋" w:cs="仿宋"/>
          <w:kern w:val="0"/>
          <w:sz w:val="32"/>
          <w:szCs w:val="32"/>
          <w:highlight w:val="none"/>
          <w:lang w:val="en-US" w:eastAsia="zh-CN" w:bidi="ar-SA"/>
        </w:rPr>
      </w:pPr>
      <w:r>
        <w:rPr>
          <w:rFonts w:hint="eastAsia" w:ascii="仿宋" w:hAnsi="仿宋" w:eastAsia="仿宋" w:cs="仿宋"/>
          <w:kern w:val="0"/>
          <w:sz w:val="32"/>
          <w:szCs w:val="32"/>
          <w:highlight w:val="none"/>
          <w:lang w:val="en-US" w:eastAsia="zh-CN" w:bidi="ar-SA"/>
        </w:rPr>
        <w:t>3.4</w:t>
      </w:r>
      <w:r>
        <w:rPr>
          <w:rFonts w:hint="eastAsia" w:ascii="仿宋" w:hAnsi="仿宋" w:eastAsia="仿宋" w:cs="仿宋"/>
          <w:kern w:val="0"/>
          <w:sz w:val="32"/>
          <w:szCs w:val="32"/>
          <w:highlight w:val="none"/>
          <w:lang w:val="en-US" w:eastAsia="zh-CN" w:bidi="ar-SA"/>
        </w:rPr>
        <w:br w:type="textWrapping"/>
      </w:r>
      <w:r>
        <w:rPr>
          <w:rFonts w:hint="eastAsia" w:ascii="仿宋" w:hAnsi="仿宋" w:eastAsia="仿宋" w:cs="仿宋"/>
          <w:kern w:val="0"/>
          <w:sz w:val="32"/>
          <w:szCs w:val="32"/>
          <w:highlight w:val="none"/>
          <w:lang w:val="en-US" w:eastAsia="zh-CN" w:bidi="ar-SA"/>
        </w:rPr>
        <w:t>镍基复合金属催化剂  nickel-based composite metal catalyst</w:t>
      </w:r>
    </w:p>
    <w:p w14:paraId="0535E8FC">
      <w:pPr>
        <w:pStyle w:val="26"/>
        <w:numPr>
          <w:ilvl w:val="0"/>
          <w:numId w:val="0"/>
        </w:numPr>
        <w:ind w:leftChars="0" w:firstLine="640" w:firstLineChars="200"/>
        <w:rPr>
          <w:rFonts w:hint="eastAsia" w:ascii="仿宋" w:hAnsi="仿宋" w:eastAsia="仿宋" w:cs="仿宋"/>
          <w:kern w:val="0"/>
          <w:sz w:val="32"/>
          <w:szCs w:val="32"/>
          <w:highlight w:val="none"/>
          <w:lang w:val="en-US" w:eastAsia="zh-CN" w:bidi="ar-SA"/>
        </w:rPr>
      </w:pPr>
      <w:r>
        <w:rPr>
          <w:rFonts w:hint="eastAsia" w:ascii="仿宋" w:hAnsi="仿宋" w:eastAsia="仿宋" w:cs="仿宋"/>
          <w:kern w:val="0"/>
          <w:sz w:val="32"/>
          <w:szCs w:val="32"/>
          <w:highlight w:val="none"/>
          <w:lang w:val="en-US" w:eastAsia="zh-CN" w:bidi="ar-SA"/>
        </w:rPr>
        <w:t>以镍（Ni）为核心活性组分，引入一种或多种其他金属形成复合活性体系，负载于载体上并添加助剂制成的甲烷干重整催化剂。</w:t>
      </w:r>
    </w:p>
    <w:p w14:paraId="0037B5D0">
      <w:pPr>
        <w:pStyle w:val="26"/>
        <w:numPr>
          <w:ilvl w:val="0"/>
          <w:numId w:val="0"/>
        </w:numPr>
        <w:ind w:left="638" w:leftChars="304" w:firstLine="0" w:firstLineChars="0"/>
        <w:rPr>
          <w:rFonts w:hint="eastAsia" w:ascii="仿宋" w:hAnsi="仿宋" w:eastAsia="仿宋" w:cs="仿宋"/>
          <w:kern w:val="0"/>
          <w:sz w:val="32"/>
          <w:szCs w:val="32"/>
          <w:highlight w:val="none"/>
          <w:lang w:val="en-US" w:eastAsia="zh-CN" w:bidi="ar-SA"/>
        </w:rPr>
      </w:pPr>
      <w:r>
        <w:rPr>
          <w:rFonts w:hint="eastAsia" w:ascii="仿宋" w:hAnsi="仿宋" w:eastAsia="仿宋" w:cs="仿宋"/>
          <w:kern w:val="0"/>
          <w:sz w:val="32"/>
          <w:szCs w:val="32"/>
          <w:highlight w:val="none"/>
          <w:lang w:val="en-US" w:eastAsia="zh-CN" w:bidi="ar-SA"/>
        </w:rPr>
        <w:t>3.5</w:t>
      </w:r>
      <w:r>
        <w:rPr>
          <w:rFonts w:hint="eastAsia" w:ascii="仿宋" w:hAnsi="仿宋" w:eastAsia="仿宋" w:cs="仿宋"/>
          <w:kern w:val="0"/>
          <w:sz w:val="32"/>
          <w:szCs w:val="32"/>
          <w:highlight w:val="none"/>
          <w:lang w:val="en-US" w:eastAsia="zh-CN" w:bidi="ar-SA"/>
        </w:rPr>
        <w:br w:type="textWrapping"/>
      </w:r>
      <w:r>
        <w:rPr>
          <w:rFonts w:hint="eastAsia" w:ascii="仿宋" w:hAnsi="仿宋" w:eastAsia="仿宋" w:cs="仿宋"/>
          <w:kern w:val="0"/>
          <w:sz w:val="32"/>
          <w:szCs w:val="32"/>
          <w:highlight w:val="none"/>
          <w:lang w:val="en-US" w:eastAsia="zh-CN" w:bidi="ar-SA"/>
        </w:rPr>
        <w:t>甲烷（CH₄）转化率  methane conversion</w:t>
      </w:r>
    </w:p>
    <w:p w14:paraId="74468AC1">
      <w:pPr>
        <w:pStyle w:val="26"/>
        <w:numPr>
          <w:ilvl w:val="0"/>
          <w:numId w:val="0"/>
        </w:numPr>
        <w:ind w:leftChars="0" w:firstLine="640" w:firstLineChars="200"/>
        <w:rPr>
          <w:rFonts w:hint="eastAsia" w:ascii="仿宋" w:hAnsi="仿宋" w:eastAsia="仿宋" w:cs="仿宋"/>
          <w:kern w:val="0"/>
          <w:sz w:val="32"/>
          <w:szCs w:val="32"/>
          <w:highlight w:val="none"/>
          <w:lang w:val="en-US" w:eastAsia="zh-CN" w:bidi="ar-SA"/>
        </w:rPr>
      </w:pPr>
      <w:r>
        <w:rPr>
          <w:rFonts w:hint="eastAsia" w:ascii="仿宋" w:hAnsi="仿宋" w:eastAsia="仿宋" w:cs="仿宋"/>
          <w:kern w:val="0"/>
          <w:sz w:val="32"/>
          <w:szCs w:val="32"/>
          <w:highlight w:val="none"/>
          <w:lang w:val="en-US" w:eastAsia="zh-CN" w:bidi="ar-SA"/>
        </w:rPr>
        <w:t>甲烷干重整反应中，转化的甲烷量与进料甲烷量的百分比。</w:t>
      </w:r>
    </w:p>
    <w:p w14:paraId="51461609">
      <w:pPr>
        <w:pStyle w:val="26"/>
        <w:numPr>
          <w:ilvl w:val="0"/>
          <w:numId w:val="0"/>
        </w:numPr>
        <w:ind w:left="638" w:leftChars="304" w:firstLine="0" w:firstLineChars="0"/>
        <w:rPr>
          <w:rFonts w:hint="eastAsia" w:ascii="仿宋" w:hAnsi="仿宋" w:eastAsia="仿宋" w:cs="仿宋"/>
          <w:kern w:val="0"/>
          <w:sz w:val="32"/>
          <w:szCs w:val="32"/>
          <w:highlight w:val="none"/>
          <w:lang w:val="en-US" w:eastAsia="zh-CN" w:bidi="ar-SA"/>
        </w:rPr>
      </w:pPr>
      <w:r>
        <w:rPr>
          <w:rFonts w:hint="eastAsia" w:ascii="仿宋" w:hAnsi="仿宋" w:eastAsia="仿宋" w:cs="仿宋"/>
          <w:kern w:val="0"/>
          <w:sz w:val="32"/>
          <w:szCs w:val="32"/>
          <w:highlight w:val="none"/>
          <w:lang w:val="en-US" w:eastAsia="zh-CN" w:bidi="ar-SA"/>
        </w:rPr>
        <w:t>3.6</w:t>
      </w:r>
      <w:r>
        <w:rPr>
          <w:rFonts w:hint="eastAsia" w:ascii="仿宋" w:hAnsi="仿宋" w:eastAsia="仿宋" w:cs="仿宋"/>
          <w:kern w:val="0"/>
          <w:sz w:val="32"/>
          <w:szCs w:val="32"/>
          <w:highlight w:val="none"/>
          <w:lang w:val="en-US" w:eastAsia="zh-CN" w:bidi="ar-SA"/>
        </w:rPr>
        <w:br w:type="textWrapping"/>
      </w:r>
      <w:r>
        <w:rPr>
          <w:rFonts w:hint="eastAsia" w:ascii="仿宋" w:hAnsi="仿宋" w:eastAsia="仿宋" w:cs="仿宋"/>
          <w:kern w:val="0"/>
          <w:sz w:val="32"/>
          <w:szCs w:val="32"/>
          <w:highlight w:val="none"/>
          <w:lang w:val="en-US" w:eastAsia="zh-CN" w:bidi="ar-SA"/>
        </w:rPr>
        <w:t>二氧化碳转化率  carbon dioxide conversion</w:t>
      </w:r>
    </w:p>
    <w:p w14:paraId="08C82C2B">
      <w:pPr>
        <w:pStyle w:val="26"/>
        <w:numPr>
          <w:ilvl w:val="0"/>
          <w:numId w:val="0"/>
        </w:numPr>
        <w:ind w:leftChars="0" w:firstLine="640" w:firstLineChars="200"/>
        <w:rPr>
          <w:rFonts w:hint="eastAsia" w:ascii="仿宋" w:hAnsi="仿宋" w:eastAsia="仿宋" w:cs="仿宋"/>
          <w:kern w:val="0"/>
          <w:sz w:val="32"/>
          <w:szCs w:val="32"/>
          <w:highlight w:val="none"/>
          <w:lang w:val="en-US" w:eastAsia="zh-CN" w:bidi="ar-SA"/>
        </w:rPr>
      </w:pPr>
      <w:r>
        <w:rPr>
          <w:rFonts w:hint="eastAsia" w:ascii="仿宋" w:hAnsi="仿宋" w:eastAsia="仿宋" w:cs="仿宋"/>
          <w:kern w:val="0"/>
          <w:sz w:val="32"/>
          <w:szCs w:val="32"/>
          <w:highlight w:val="none"/>
          <w:lang w:val="en-US" w:eastAsia="zh-CN" w:bidi="ar-SA"/>
        </w:rPr>
        <w:t>甲烷干重整反应中，转化的二氧化碳量与进料二氧化碳量的百分比。</w:t>
      </w:r>
    </w:p>
    <w:p w14:paraId="55CEBD78">
      <w:pPr>
        <w:pStyle w:val="26"/>
        <w:numPr>
          <w:ilvl w:val="0"/>
          <w:numId w:val="13"/>
        </w:numPr>
        <w:ind w:left="0" w:leftChars="0" w:firstLine="0" w:firstLineChars="0"/>
        <w:rPr>
          <w:rFonts w:hint="eastAsia" w:ascii="仿宋" w:hAnsi="仿宋" w:eastAsia="仿宋" w:cs="仿宋"/>
          <w:b/>
          <w:bCs/>
          <w:kern w:val="2"/>
          <w:sz w:val="32"/>
          <w:szCs w:val="32"/>
          <w:highlight w:val="none"/>
          <w:lang w:val="en-US" w:eastAsia="zh-CN" w:bidi="ar-SA"/>
        </w:rPr>
      </w:pPr>
      <w:r>
        <w:rPr>
          <w:rFonts w:hint="eastAsia" w:ascii="仿宋" w:hAnsi="仿宋" w:eastAsia="仿宋" w:cs="仿宋"/>
          <w:b/>
          <w:bCs/>
          <w:kern w:val="2"/>
          <w:sz w:val="32"/>
          <w:szCs w:val="32"/>
          <w:highlight w:val="none"/>
          <w:lang w:val="en-US" w:eastAsia="zh-CN" w:bidi="ar-SA"/>
        </w:rPr>
        <w:t>技术要求</w:t>
      </w:r>
    </w:p>
    <w:p w14:paraId="216A46AA">
      <w:pPr>
        <w:pStyle w:val="26"/>
        <w:numPr>
          <w:ilvl w:val="0"/>
          <w:numId w:val="0"/>
        </w:numPr>
        <w:ind w:leftChars="0" w:firstLine="640" w:firstLineChars="200"/>
        <w:rPr>
          <w:rFonts w:hint="eastAsia" w:ascii="仿宋" w:hAnsi="仿宋" w:eastAsia="仿宋" w:cs="仿宋"/>
          <w:kern w:val="0"/>
          <w:sz w:val="32"/>
          <w:szCs w:val="32"/>
          <w:highlight w:val="none"/>
          <w:lang w:val="en-US" w:eastAsia="zh-CN" w:bidi="ar-SA"/>
        </w:rPr>
      </w:pPr>
      <w:r>
        <w:rPr>
          <w:rFonts w:hint="eastAsia" w:ascii="仿宋" w:hAnsi="仿宋" w:eastAsia="仿宋" w:cs="仿宋"/>
          <w:kern w:val="0"/>
          <w:sz w:val="32"/>
          <w:szCs w:val="32"/>
          <w:highlight w:val="none"/>
          <w:lang w:val="en-US" w:eastAsia="zh-CN" w:bidi="ar-SA"/>
        </w:rPr>
        <w:t>本部分规定了催化剂的外观、理化性能、催化性能、热稳定性及安全性等技术指标</w:t>
      </w:r>
      <w:r>
        <w:rPr>
          <w:rFonts w:hint="eastAsia" w:ascii="仿宋" w:hAnsi="仿宋" w:eastAsia="仿宋" w:cs="仿宋"/>
          <w:kern w:val="0"/>
          <w:sz w:val="32"/>
          <w:szCs w:val="32"/>
          <w:highlight w:val="none"/>
          <w:lang w:val="en-US" w:eastAsia="zh-CN" w:bidi="ar-SA"/>
        </w:rPr>
        <w:t>。</w:t>
      </w:r>
    </w:p>
    <w:p w14:paraId="1B721686">
      <w:pPr>
        <w:pStyle w:val="26"/>
        <w:numPr>
          <w:ilvl w:val="0"/>
          <w:numId w:val="13"/>
        </w:numPr>
        <w:ind w:left="0" w:leftChars="0" w:firstLine="0" w:firstLineChars="0"/>
        <w:rPr>
          <w:rFonts w:hint="eastAsia" w:ascii="仿宋" w:hAnsi="仿宋" w:eastAsia="仿宋" w:cs="仿宋"/>
          <w:b/>
          <w:bCs/>
          <w:kern w:val="2"/>
          <w:sz w:val="32"/>
          <w:szCs w:val="32"/>
          <w:highlight w:val="none"/>
          <w:lang w:val="en-US" w:eastAsia="zh-CN" w:bidi="ar-SA"/>
        </w:rPr>
      </w:pPr>
      <w:r>
        <w:rPr>
          <w:rFonts w:hint="eastAsia" w:ascii="仿宋" w:hAnsi="仿宋" w:eastAsia="仿宋" w:cs="仿宋"/>
          <w:b/>
          <w:bCs/>
          <w:kern w:val="2"/>
          <w:sz w:val="32"/>
          <w:szCs w:val="32"/>
          <w:highlight w:val="none"/>
          <w:lang w:val="en-US" w:eastAsia="zh-CN" w:bidi="ar-SA"/>
        </w:rPr>
        <w:t>试验方法</w:t>
      </w:r>
    </w:p>
    <w:p w14:paraId="1A82492D">
      <w:pPr>
        <w:pStyle w:val="26"/>
        <w:numPr>
          <w:ilvl w:val="0"/>
          <w:numId w:val="0"/>
        </w:numPr>
        <w:ind w:leftChars="0" w:firstLine="640" w:firstLineChars="200"/>
        <w:rPr>
          <w:rFonts w:hint="default" w:ascii="仿宋" w:hAnsi="仿宋" w:eastAsia="仿宋" w:cs="仿宋"/>
          <w:kern w:val="0"/>
          <w:sz w:val="32"/>
          <w:szCs w:val="32"/>
          <w:highlight w:val="none"/>
          <w:lang w:val="en-US" w:eastAsia="zh-CN" w:bidi="ar-SA"/>
        </w:rPr>
      </w:pPr>
      <w:r>
        <w:rPr>
          <w:rFonts w:hint="eastAsia" w:ascii="仿宋" w:hAnsi="仿宋" w:eastAsia="仿宋" w:cs="仿宋"/>
          <w:kern w:val="0"/>
          <w:sz w:val="32"/>
          <w:szCs w:val="32"/>
          <w:highlight w:val="none"/>
          <w:lang w:val="en-US" w:eastAsia="zh-CN" w:bidi="ar-SA"/>
        </w:rPr>
        <w:t>本部分规定了外观检查、理化性能测试、催化性能测定、热稳定性试验及安全性试验的具体方法</w:t>
      </w:r>
      <w:r>
        <w:rPr>
          <w:rFonts w:hint="eastAsia" w:ascii="仿宋" w:hAnsi="仿宋" w:eastAsia="仿宋" w:cs="仿宋"/>
          <w:kern w:val="0"/>
          <w:sz w:val="32"/>
          <w:szCs w:val="32"/>
          <w:highlight w:val="none"/>
          <w:lang w:val="en-US" w:eastAsia="zh-CN" w:bidi="ar-SA"/>
        </w:rPr>
        <w:t>。</w:t>
      </w:r>
    </w:p>
    <w:p w14:paraId="70C7E787">
      <w:pPr>
        <w:pStyle w:val="26"/>
        <w:numPr>
          <w:ilvl w:val="0"/>
          <w:numId w:val="13"/>
        </w:numPr>
        <w:ind w:left="0" w:leftChars="0" w:firstLine="0" w:firstLineChars="0"/>
        <w:rPr>
          <w:rFonts w:hint="eastAsia" w:ascii="仿宋" w:hAnsi="仿宋" w:eastAsia="仿宋" w:cs="仿宋"/>
          <w:b/>
          <w:bCs/>
          <w:color w:val="000000"/>
          <w:sz w:val="32"/>
          <w:szCs w:val="32"/>
          <w:highlight w:val="none"/>
          <w:lang w:val="en-US" w:eastAsia="zh-CN"/>
        </w:rPr>
      </w:pPr>
      <w:r>
        <w:rPr>
          <w:rFonts w:hint="eastAsia" w:ascii="仿宋" w:hAnsi="仿宋" w:eastAsia="仿宋" w:cs="仿宋"/>
          <w:b/>
          <w:bCs/>
          <w:color w:val="000000"/>
          <w:sz w:val="32"/>
          <w:szCs w:val="32"/>
          <w:highlight w:val="none"/>
          <w:lang w:val="en-US" w:eastAsia="zh-CN"/>
        </w:rPr>
        <w:t>检验规则</w:t>
      </w:r>
    </w:p>
    <w:p w14:paraId="2F7D26B7">
      <w:pPr>
        <w:pStyle w:val="26"/>
        <w:numPr>
          <w:ilvl w:val="0"/>
          <w:numId w:val="0"/>
        </w:numPr>
        <w:ind w:leftChars="0" w:firstLine="640" w:firstLineChars="200"/>
        <w:rPr>
          <w:rFonts w:hint="default" w:ascii="仿宋" w:hAnsi="仿宋" w:eastAsia="仿宋" w:cs="仿宋"/>
          <w:kern w:val="0"/>
          <w:sz w:val="32"/>
          <w:szCs w:val="32"/>
          <w:highlight w:val="none"/>
          <w:lang w:val="en-US" w:eastAsia="zh-CN" w:bidi="ar-SA"/>
        </w:rPr>
      </w:pPr>
      <w:r>
        <w:rPr>
          <w:rFonts w:hint="eastAsia" w:ascii="仿宋" w:hAnsi="仿宋" w:eastAsia="仿宋" w:cs="仿宋"/>
          <w:kern w:val="0"/>
          <w:sz w:val="32"/>
          <w:szCs w:val="32"/>
          <w:highlight w:val="none"/>
          <w:lang w:val="en-US" w:eastAsia="zh-CN" w:bidi="ar-SA"/>
        </w:rPr>
        <w:t>本部分规定了检验分类、出厂检验、型式检验、抽样方法及判定规则</w:t>
      </w:r>
      <w:r>
        <w:rPr>
          <w:rFonts w:hint="eastAsia" w:ascii="仿宋" w:hAnsi="仿宋" w:eastAsia="仿宋" w:cs="仿宋"/>
          <w:kern w:val="0"/>
          <w:sz w:val="32"/>
          <w:szCs w:val="32"/>
          <w:highlight w:val="none"/>
          <w:lang w:val="en-US" w:eastAsia="zh-CN" w:bidi="ar-SA"/>
        </w:rPr>
        <w:t>。</w:t>
      </w:r>
    </w:p>
    <w:p w14:paraId="6EFD4FBE">
      <w:pPr>
        <w:pStyle w:val="26"/>
        <w:numPr>
          <w:ilvl w:val="0"/>
          <w:numId w:val="13"/>
        </w:numPr>
        <w:ind w:left="0" w:leftChars="0" w:firstLine="0" w:firstLineChars="0"/>
        <w:rPr>
          <w:rFonts w:hint="eastAsia" w:ascii="仿宋" w:hAnsi="仿宋" w:eastAsia="仿宋" w:cs="仿宋"/>
          <w:b/>
          <w:bCs/>
          <w:color w:val="000000"/>
          <w:sz w:val="32"/>
          <w:szCs w:val="32"/>
          <w:highlight w:val="none"/>
          <w:lang w:val="en-US" w:eastAsia="zh-CN"/>
        </w:rPr>
      </w:pPr>
      <w:r>
        <w:rPr>
          <w:rFonts w:hint="eastAsia" w:ascii="仿宋" w:hAnsi="仿宋" w:eastAsia="仿宋" w:cs="仿宋"/>
          <w:b/>
          <w:bCs/>
          <w:color w:val="000000"/>
          <w:sz w:val="32"/>
          <w:szCs w:val="32"/>
          <w:highlight w:val="none"/>
          <w:lang w:val="en-US" w:eastAsia="zh-CN"/>
        </w:rPr>
        <w:t>标志、包装、运输和贮存</w:t>
      </w:r>
    </w:p>
    <w:p w14:paraId="23F51518">
      <w:pPr>
        <w:pStyle w:val="26"/>
        <w:numPr>
          <w:ilvl w:val="0"/>
          <w:numId w:val="0"/>
        </w:numPr>
        <w:ind w:leftChars="0" w:firstLine="640" w:firstLineChars="200"/>
        <w:rPr>
          <w:rFonts w:hint="eastAsia" w:ascii="仿宋" w:hAnsi="仿宋" w:eastAsia="仿宋" w:cs="仿宋"/>
          <w:kern w:val="0"/>
          <w:sz w:val="32"/>
          <w:szCs w:val="32"/>
          <w:highlight w:val="none"/>
          <w:lang w:val="en-US" w:eastAsia="zh-CN" w:bidi="ar-SA"/>
        </w:rPr>
      </w:pPr>
      <w:r>
        <w:rPr>
          <w:rFonts w:hint="eastAsia" w:ascii="仿宋" w:hAnsi="仿宋" w:eastAsia="仿宋" w:cs="仿宋"/>
          <w:kern w:val="0"/>
          <w:sz w:val="32"/>
          <w:szCs w:val="32"/>
          <w:highlight w:val="none"/>
          <w:lang w:val="en-US" w:eastAsia="zh-CN" w:bidi="ar-SA"/>
        </w:rPr>
        <w:t>本部分规定了产品标志、包装方式、运输要求、贮存条件及保质期</w:t>
      </w:r>
      <w:r>
        <w:rPr>
          <w:rFonts w:hint="eastAsia" w:ascii="仿宋" w:hAnsi="仿宋" w:eastAsia="仿宋" w:cs="仿宋"/>
          <w:kern w:val="0"/>
          <w:sz w:val="32"/>
          <w:szCs w:val="32"/>
          <w:highlight w:val="none"/>
          <w:lang w:val="en-US" w:eastAsia="zh-CN" w:bidi="ar-SA"/>
        </w:rPr>
        <w:t>。</w:t>
      </w:r>
    </w:p>
    <w:p w14:paraId="1F323B41">
      <w:pPr>
        <w:pStyle w:val="56"/>
        <w:numPr>
          <w:ilvl w:val="1"/>
          <w:numId w:val="0"/>
        </w:numPr>
        <w:spacing w:before="156" w:after="156"/>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六、标准水平分析</w:t>
      </w:r>
    </w:p>
    <w:p w14:paraId="49D765F3">
      <w:pPr>
        <w:spacing w:before="156" w:beforeLines="50" w:after="156" w:afterLines="50"/>
        <w:rPr>
          <w:rFonts w:ascii="仿宋_GB2312" w:hAnsi="宋体" w:eastAsia="仿宋_GB2312" w:cs="宋体"/>
          <w:color w:val="000000"/>
          <w:sz w:val="32"/>
          <w:szCs w:val="32"/>
        </w:rPr>
      </w:pPr>
      <w:r>
        <w:rPr>
          <w:rFonts w:hint="eastAsia" w:ascii="仿宋_GB2312" w:hAnsi="宋体" w:eastAsia="仿宋_GB2312" w:cs="宋体"/>
          <w:color w:val="000000"/>
          <w:sz w:val="32"/>
          <w:szCs w:val="32"/>
        </w:rPr>
        <w:t>6.1采用国际标准和国外先进标准的程度</w:t>
      </w:r>
    </w:p>
    <w:p w14:paraId="649F3D9F">
      <w:pPr>
        <w:spacing w:before="156" w:beforeLines="50" w:after="156" w:afterLines="50" w:line="360" w:lineRule="auto"/>
        <w:ind w:firstLine="640"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经查，国内外无相同类型的标准，故没有相应的国内外标准可采用。</w:t>
      </w:r>
    </w:p>
    <w:p w14:paraId="0E5A0B05">
      <w:pPr>
        <w:spacing w:before="156" w:beforeLines="50" w:after="156" w:afterLines="50"/>
        <w:rPr>
          <w:rFonts w:ascii="仿宋_GB2312" w:hAnsi="宋体" w:eastAsia="仿宋_GB2312" w:cs="宋体"/>
          <w:color w:val="000000"/>
          <w:sz w:val="32"/>
          <w:szCs w:val="32"/>
        </w:rPr>
      </w:pPr>
      <w:r>
        <w:rPr>
          <w:rFonts w:hint="eastAsia" w:ascii="仿宋_GB2312" w:hAnsi="宋体" w:eastAsia="仿宋_GB2312" w:cs="宋体"/>
          <w:color w:val="000000"/>
          <w:sz w:val="32"/>
          <w:szCs w:val="32"/>
        </w:rPr>
        <w:t>6.2与国际标准及国外标准水平对比</w:t>
      </w:r>
    </w:p>
    <w:p w14:paraId="66DFC7E8">
      <w:pPr>
        <w:spacing w:line="360" w:lineRule="auto"/>
        <w:ind w:firstLine="640"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本标准达到国内先进水平。</w:t>
      </w:r>
    </w:p>
    <w:p w14:paraId="74ADF87C">
      <w:pPr>
        <w:spacing w:before="156" w:beforeLines="50" w:after="156" w:afterLines="50"/>
        <w:rPr>
          <w:rFonts w:ascii="仿宋_GB2312" w:hAnsi="宋体" w:eastAsia="仿宋_GB2312" w:cs="宋体"/>
          <w:color w:val="000000"/>
          <w:sz w:val="32"/>
          <w:szCs w:val="32"/>
        </w:rPr>
      </w:pPr>
      <w:r>
        <w:rPr>
          <w:rFonts w:hint="eastAsia" w:ascii="仿宋_GB2312" w:hAnsi="宋体" w:eastAsia="仿宋_GB2312" w:cs="宋体"/>
          <w:color w:val="000000"/>
          <w:sz w:val="32"/>
          <w:szCs w:val="32"/>
        </w:rPr>
        <w:t>6.3与现有标准及制定中的标准协调配套情况</w:t>
      </w:r>
    </w:p>
    <w:p w14:paraId="6E68DF36">
      <w:pPr>
        <w:spacing w:line="360" w:lineRule="auto"/>
        <w:ind w:firstLine="480"/>
        <w:rPr>
          <w:rFonts w:ascii="仿宋_GB2312" w:hAnsi="宋体" w:eastAsia="仿宋_GB2312" w:cs="宋体"/>
          <w:color w:val="000000"/>
          <w:sz w:val="32"/>
          <w:szCs w:val="32"/>
        </w:rPr>
      </w:pPr>
      <w:r>
        <w:rPr>
          <w:rFonts w:hint="eastAsia" w:ascii="仿宋_GB2312" w:hAnsi="宋体" w:eastAsia="仿宋_GB2312" w:cs="宋体"/>
          <w:color w:val="000000"/>
          <w:sz w:val="32"/>
          <w:szCs w:val="32"/>
        </w:rPr>
        <w:t>本标准的制定与现有的标准及制定中的标准协调配套，无重复交叉现象。</w:t>
      </w:r>
    </w:p>
    <w:p w14:paraId="3406E990">
      <w:pPr>
        <w:spacing w:before="156" w:beforeLines="50" w:after="156" w:afterLines="50"/>
        <w:rPr>
          <w:rFonts w:ascii="仿宋_GB2312" w:hAnsi="宋体" w:eastAsia="仿宋_GB2312" w:cs="宋体"/>
          <w:color w:val="000000"/>
          <w:sz w:val="32"/>
          <w:szCs w:val="32"/>
        </w:rPr>
      </w:pPr>
      <w:r>
        <w:rPr>
          <w:rFonts w:hint="eastAsia" w:ascii="仿宋_GB2312" w:hAnsi="宋体" w:eastAsia="仿宋_GB2312" w:cs="宋体"/>
          <w:color w:val="000000"/>
          <w:sz w:val="32"/>
          <w:szCs w:val="32"/>
        </w:rPr>
        <w:t>6.4设计国内外专利及处置情况</w:t>
      </w:r>
    </w:p>
    <w:p w14:paraId="57A9E62E">
      <w:pPr>
        <w:spacing w:line="360" w:lineRule="auto"/>
        <w:ind w:firstLine="480"/>
        <w:rPr>
          <w:rFonts w:ascii="仿宋_GB2312" w:hAnsi="宋体" w:eastAsia="仿宋_GB2312" w:cs="宋体"/>
          <w:color w:val="000000"/>
          <w:sz w:val="32"/>
          <w:szCs w:val="32"/>
        </w:rPr>
      </w:pPr>
      <w:r>
        <w:rPr>
          <w:rFonts w:hint="eastAsia" w:ascii="仿宋_GB2312" w:hAnsi="宋体" w:eastAsia="仿宋_GB2312" w:cs="宋体"/>
          <w:color w:val="000000"/>
          <w:sz w:val="32"/>
          <w:szCs w:val="32"/>
        </w:rPr>
        <w:t>经查，本标准没有涉及国内外专利。</w:t>
      </w:r>
    </w:p>
    <w:p w14:paraId="0E3AEC7C">
      <w:pPr>
        <w:pStyle w:val="56"/>
        <w:numPr>
          <w:ilvl w:val="1"/>
          <w:numId w:val="0"/>
        </w:numPr>
        <w:spacing w:before="156" w:after="156"/>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七、与有关的现行法律、法规和强制性国家标准及相关标准协调配套情况</w:t>
      </w:r>
    </w:p>
    <w:p w14:paraId="176ED774">
      <w:pPr>
        <w:spacing w:line="360" w:lineRule="auto"/>
        <w:ind w:firstLine="640"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本标准的制定过程、技术指标的选定、检验项目的设置符合现行法律、法规和强制性国家标准的规定。</w:t>
      </w:r>
    </w:p>
    <w:p w14:paraId="419DD82C">
      <w:pPr>
        <w:pStyle w:val="56"/>
        <w:numPr>
          <w:ilvl w:val="1"/>
          <w:numId w:val="0"/>
        </w:numPr>
        <w:spacing w:before="156" w:after="156"/>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八、重大分歧意见的处理经过和依据</w:t>
      </w:r>
    </w:p>
    <w:p w14:paraId="7B06D915">
      <w:pPr>
        <w:spacing w:line="360" w:lineRule="auto"/>
        <w:ind w:firstLine="480"/>
        <w:rPr>
          <w:rFonts w:ascii="仿宋_GB2312" w:hAnsi="宋体" w:eastAsia="仿宋_GB2312" w:cs="宋体"/>
          <w:color w:val="000000"/>
          <w:sz w:val="32"/>
          <w:szCs w:val="32"/>
        </w:rPr>
      </w:pPr>
      <w:r>
        <w:rPr>
          <w:rFonts w:hint="eastAsia" w:ascii="仿宋_GB2312" w:hAnsi="宋体" w:eastAsia="仿宋_GB2312" w:cs="宋体"/>
          <w:color w:val="000000"/>
          <w:sz w:val="32"/>
          <w:szCs w:val="32"/>
        </w:rPr>
        <w:t>无。</w:t>
      </w:r>
    </w:p>
    <w:p w14:paraId="77C45D7B">
      <w:pPr>
        <w:pStyle w:val="56"/>
        <w:numPr>
          <w:ilvl w:val="1"/>
          <w:numId w:val="0"/>
        </w:numPr>
        <w:spacing w:before="156" w:after="156"/>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九、标准作为强制性或推荐性标准的建议</w:t>
      </w:r>
    </w:p>
    <w:p w14:paraId="5C138B44">
      <w:pPr>
        <w:spacing w:line="360" w:lineRule="auto"/>
        <w:ind w:firstLine="640"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建议该标准作为推荐性团体标准。</w:t>
      </w:r>
    </w:p>
    <w:p w14:paraId="7FAA26F1">
      <w:pPr>
        <w:pStyle w:val="56"/>
        <w:numPr>
          <w:ilvl w:val="1"/>
          <w:numId w:val="0"/>
        </w:numPr>
        <w:spacing w:before="156" w:after="156"/>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十、贯彻标准的要求和措施建议，包括（组织措施、技术措施、过渡办法）</w:t>
      </w:r>
    </w:p>
    <w:p w14:paraId="32925B1B">
      <w:pPr>
        <w:pStyle w:val="56"/>
        <w:numPr>
          <w:ilvl w:val="1"/>
          <w:numId w:val="0"/>
        </w:numPr>
        <w:spacing w:before="156" w:after="156"/>
        <w:ind w:leftChars="0" w:firstLine="640" w:firstLineChars="200"/>
        <w:rPr>
          <w:rFonts w:ascii="仿宋_GB2312" w:hAnsi="宋体" w:eastAsia="仿宋_GB2312" w:cs="宋体"/>
          <w:color w:val="000000"/>
          <w:sz w:val="32"/>
          <w:szCs w:val="32"/>
        </w:rPr>
      </w:pPr>
      <w:r>
        <w:rPr>
          <w:rFonts w:hint="eastAsia" w:ascii="仿宋_GB2312" w:hAnsi="宋体" w:eastAsia="仿宋_GB2312" w:cs="宋体"/>
          <w:color w:val="000000"/>
          <w:sz w:val="32"/>
          <w:szCs w:val="32"/>
        </w:rPr>
        <w:t>由于本标准首次制定，没有</w:t>
      </w:r>
      <w:r>
        <w:rPr>
          <w:rFonts w:hint="eastAsia" w:ascii="仿宋_GB2312" w:hAnsi="宋体" w:eastAsia="仿宋_GB2312" w:cs="宋体"/>
          <w:color w:val="000000"/>
          <w:sz w:val="32"/>
          <w:szCs w:val="32"/>
          <w:lang w:val="en-US" w:eastAsia="zh-CN"/>
        </w:rPr>
        <w:t>特殊</w:t>
      </w:r>
      <w:r>
        <w:rPr>
          <w:rFonts w:hint="eastAsia" w:ascii="仿宋_GB2312" w:hAnsi="宋体" w:eastAsia="仿宋_GB2312" w:cs="宋体"/>
          <w:color w:val="000000"/>
          <w:sz w:val="32"/>
          <w:szCs w:val="32"/>
        </w:rPr>
        <w:t>要求。</w:t>
      </w:r>
    </w:p>
    <w:p w14:paraId="35E4CE26">
      <w:pPr>
        <w:pStyle w:val="56"/>
        <w:numPr>
          <w:ilvl w:val="1"/>
          <w:numId w:val="0"/>
        </w:numPr>
        <w:spacing w:before="156" w:after="156"/>
        <w:rPr>
          <w:rFonts w:hint="eastAsia" w:ascii="仿宋" w:hAnsi="仿宋" w:eastAsia="仿宋" w:cs="仿宋"/>
          <w:b/>
          <w:bCs/>
          <w:color w:val="000000"/>
          <w:sz w:val="32"/>
          <w:szCs w:val="32"/>
          <w:lang w:val="en-US" w:eastAsia="zh-CN"/>
        </w:rPr>
      </w:pPr>
      <w:r>
        <w:rPr>
          <w:rFonts w:hint="eastAsia" w:ascii="仿宋" w:hAnsi="仿宋" w:eastAsia="仿宋" w:cs="仿宋"/>
          <w:b/>
          <w:bCs/>
          <w:color w:val="000000"/>
          <w:sz w:val="32"/>
          <w:szCs w:val="32"/>
          <w:lang w:val="en-US" w:eastAsia="zh-CN"/>
        </w:rPr>
        <w:t>十一、废止现有有关标准的建议</w:t>
      </w:r>
    </w:p>
    <w:p w14:paraId="0C2E30F2">
      <w:pPr>
        <w:spacing w:line="360" w:lineRule="auto"/>
        <w:ind w:firstLine="480"/>
        <w:rPr>
          <w:rFonts w:hint="eastAsia" w:ascii="仿宋_GB2312" w:hAnsi="宋体" w:eastAsia="仿宋_GB2312" w:cs="宋体"/>
          <w:color w:val="000000"/>
          <w:sz w:val="32"/>
          <w:szCs w:val="32"/>
        </w:rPr>
      </w:pPr>
      <w:r>
        <w:rPr>
          <w:rFonts w:hint="eastAsia" w:ascii="仿宋_GB2312" w:hAnsi="宋体" w:eastAsia="仿宋_GB2312" w:cs="宋体"/>
          <w:color w:val="000000"/>
          <w:sz w:val="32"/>
          <w:szCs w:val="32"/>
        </w:rPr>
        <w:t>无。</w:t>
      </w:r>
    </w:p>
    <w:p w14:paraId="42D507BE">
      <w:pPr>
        <w:spacing w:line="360" w:lineRule="auto"/>
        <w:rPr>
          <w:rFonts w:hint="eastAsia" w:ascii="仿宋_GB2312" w:hAnsi="宋体" w:eastAsia="仿宋_GB2312" w:cs="宋体"/>
          <w:color w:val="000000"/>
          <w:sz w:val="32"/>
          <w:szCs w:val="32"/>
        </w:rPr>
      </w:pPr>
    </w:p>
    <w:p w14:paraId="15AA6302">
      <w:pPr>
        <w:pStyle w:val="26"/>
        <w:numPr>
          <w:ilvl w:val="255"/>
          <w:numId w:val="0"/>
        </w:numPr>
        <w:wordWrap/>
        <w:jc w:val="right"/>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rPr>
        <w:t>《</w:t>
      </w:r>
      <w:r>
        <w:rPr>
          <w:rFonts w:hint="eastAsia" w:ascii="仿宋" w:hAnsi="仿宋" w:eastAsia="仿宋" w:cs="仿宋"/>
          <w:sz w:val="32"/>
          <w:szCs w:val="32"/>
          <w:highlight w:val="none"/>
          <w:lang w:eastAsia="zh-CN"/>
        </w:rPr>
        <w:t>甲烷干重整（DRM）催化剂</w:t>
      </w:r>
      <w:r>
        <w:rPr>
          <w:rFonts w:hint="eastAsia" w:ascii="仿宋" w:hAnsi="仿宋" w:eastAsia="仿宋" w:cs="仿宋"/>
          <w:kern w:val="0"/>
          <w:sz w:val="32"/>
          <w:szCs w:val="32"/>
          <w:highlight w:val="none"/>
        </w:rPr>
        <w:t>》</w:t>
      </w:r>
    </w:p>
    <w:p w14:paraId="1113CCFE">
      <w:pPr>
        <w:pStyle w:val="26"/>
        <w:numPr>
          <w:ilvl w:val="255"/>
          <w:numId w:val="0"/>
        </w:numPr>
        <w:wordWrap/>
        <w:jc w:val="right"/>
        <w:rPr>
          <w:rFonts w:hint="eastAsia" w:ascii="仿宋" w:hAnsi="仿宋" w:eastAsia="仿宋" w:cs="仿宋"/>
          <w:kern w:val="0"/>
          <w:sz w:val="32"/>
          <w:szCs w:val="32"/>
          <w:highlight w:val="none"/>
        </w:rPr>
      </w:pPr>
      <w:r>
        <w:rPr>
          <w:rFonts w:hint="eastAsia" w:ascii="仿宋" w:hAnsi="仿宋" w:eastAsia="仿宋" w:cs="仿宋"/>
          <w:kern w:val="0"/>
          <w:sz w:val="32"/>
          <w:szCs w:val="32"/>
          <w:highlight w:val="none"/>
          <w:lang w:val="en-US" w:eastAsia="zh-CN"/>
        </w:rPr>
        <w:t xml:space="preserve">                         </w:t>
      </w:r>
      <w:r>
        <w:rPr>
          <w:rFonts w:hint="eastAsia" w:ascii="仿宋" w:hAnsi="仿宋" w:eastAsia="仿宋" w:cs="仿宋"/>
          <w:kern w:val="0"/>
          <w:sz w:val="32"/>
          <w:szCs w:val="32"/>
          <w:highlight w:val="none"/>
        </w:rPr>
        <w:t>团体标准起草组</w:t>
      </w:r>
    </w:p>
    <w:p w14:paraId="312BC785">
      <w:pPr>
        <w:pStyle w:val="26"/>
        <w:numPr>
          <w:ilvl w:val="255"/>
          <w:numId w:val="0"/>
        </w:numPr>
        <w:wordWrap/>
        <w:ind w:firstLine="5440" w:firstLineChars="1700"/>
        <w:jc w:val="right"/>
        <w:rPr>
          <w:rFonts w:ascii="仿宋" w:hAnsi="仿宋" w:eastAsia="仿宋" w:cs="仿宋"/>
          <w:color w:val="000000"/>
          <w:sz w:val="32"/>
          <w:szCs w:val="32"/>
          <w:highlight w:val="none"/>
        </w:rPr>
      </w:pPr>
      <w:bookmarkStart w:id="116" w:name="_GoBack"/>
      <w:bookmarkEnd w:id="116"/>
      <w:r>
        <w:rPr>
          <w:rFonts w:hint="eastAsia" w:ascii="仿宋" w:hAnsi="仿宋" w:eastAsia="仿宋" w:cs="仿宋"/>
          <w:kern w:val="0"/>
          <w:sz w:val="32"/>
          <w:szCs w:val="32"/>
          <w:highlight w:val="none"/>
        </w:rPr>
        <w:t>202</w:t>
      </w:r>
      <w:r>
        <w:rPr>
          <w:rFonts w:hint="eastAsia" w:ascii="仿宋" w:hAnsi="仿宋" w:eastAsia="仿宋" w:cs="仿宋"/>
          <w:kern w:val="0"/>
          <w:sz w:val="32"/>
          <w:szCs w:val="32"/>
          <w:highlight w:val="none"/>
          <w:lang w:val="en-US" w:eastAsia="zh-CN"/>
        </w:rPr>
        <w:t>6</w:t>
      </w:r>
      <w:r>
        <w:rPr>
          <w:rFonts w:hint="eastAsia" w:ascii="仿宋" w:hAnsi="仿宋" w:eastAsia="仿宋" w:cs="仿宋"/>
          <w:kern w:val="0"/>
          <w:sz w:val="32"/>
          <w:szCs w:val="32"/>
          <w:highlight w:val="none"/>
        </w:rPr>
        <w:t>年</w:t>
      </w:r>
      <w:r>
        <w:rPr>
          <w:rFonts w:hint="eastAsia" w:ascii="仿宋" w:hAnsi="仿宋" w:eastAsia="仿宋" w:cs="仿宋"/>
          <w:kern w:val="0"/>
          <w:sz w:val="32"/>
          <w:szCs w:val="32"/>
          <w:highlight w:val="none"/>
          <w:lang w:val="en-US" w:eastAsia="zh-CN"/>
        </w:rPr>
        <w:t>7</w:t>
      </w:r>
      <w:r>
        <w:rPr>
          <w:rFonts w:hint="eastAsia" w:ascii="仿宋" w:hAnsi="仿宋" w:eastAsia="仿宋" w:cs="仿宋"/>
          <w:kern w:val="0"/>
          <w:sz w:val="32"/>
          <w:szCs w:val="32"/>
          <w:highlight w:val="none"/>
        </w:rPr>
        <w:t xml:space="preserve">月    </w:t>
      </w:r>
    </w:p>
    <w:sectPr>
      <w:footerReference r:id="rId4" w:type="default"/>
      <w:headerReference r:id="rId3" w:type="even"/>
      <w:footerReference r:id="rId5" w:type="even"/>
      <w:pgSz w:w="11906" w:h="16838"/>
      <w:pgMar w:top="1440" w:right="1800" w:bottom="1440" w:left="1800" w:header="1418" w:footer="1134" w:gutter="0"/>
      <w:pgNumType w:start="1"/>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PMingLiU-ExtB">
    <w:panose1 w:val="02020500000000000000"/>
    <w:charset w:val="88"/>
    <w:family w:val="auto"/>
    <w:pitch w:val="default"/>
    <w:sig w:usb0="8000002F" w:usb1="02000008" w:usb2="00000000" w:usb3="00000000" w:csb0="00100001"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1" w:fontKey="{FEA7A9DF-D432-4AA3-B938-D954FAAF88BF}"/>
  </w:font>
  <w:font w:name="方正小标宋简体">
    <w:panose1 w:val="02000000000000000000"/>
    <w:charset w:val="86"/>
    <w:family w:val="auto"/>
    <w:pitch w:val="default"/>
    <w:sig w:usb0="00000001" w:usb1="08000000" w:usb2="00000000" w:usb3="00000000" w:csb0="00040000" w:csb1="00000000"/>
    <w:embedRegular r:id="rId2" w:fontKey="{7A009F71-D87C-4DD9-8DFB-2D371597411A}"/>
  </w:font>
  <w:font w:name="仿宋_GB2312">
    <w:panose1 w:val="02010609030101010101"/>
    <w:charset w:val="86"/>
    <w:family w:val="modern"/>
    <w:pitch w:val="default"/>
    <w:sig w:usb0="00000001" w:usb1="080E0000" w:usb2="00000000" w:usb3="00000000" w:csb0="00040000" w:csb1="00000000"/>
    <w:embedRegular r:id="rId3" w:fontKey="{D620A8DB-2536-4BBF-AC9A-DF53C62D5DA6}"/>
  </w:font>
  <w:font w:name="WPSEMBED8">
    <w:panose1 w:val="02010609030101010101"/>
    <w:charset w:val="86"/>
    <w:family w:val="auto"/>
    <w:pitch w:val="default"/>
    <w:sig w:usb0="00000001" w:usb1="080E0000" w:usb2="00000000" w:usb3="00000000" w:csb0="0004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E5213">
    <w:pPr>
      <w:pStyle w:val="20"/>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48615">
    <w:pPr>
      <w:pStyle w:val="20"/>
      <w:ind w:firstLine="180" w:firstLineChars="100"/>
      <w:jc w:val="left"/>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3B38AF">
    <w:pPr>
      <w:pStyle w:val="87"/>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769A01"/>
    <w:multiLevelType w:val="singleLevel"/>
    <w:tmpl w:val="89769A01"/>
    <w:lvl w:ilvl="0" w:tentative="0">
      <w:start w:val="5"/>
      <w:numFmt w:val="chineseCounting"/>
      <w:suff w:val="nothing"/>
      <w:lvlText w:val="%1、"/>
      <w:lvlJc w:val="left"/>
      <w:rPr>
        <w:rFonts w:hint="eastAsia"/>
      </w:rPr>
    </w:lvl>
  </w:abstractNum>
  <w:abstractNum w:abstractNumId="1">
    <w:nsid w:val="F2D81ACD"/>
    <w:multiLevelType w:val="singleLevel"/>
    <w:tmpl w:val="F2D81ACD"/>
    <w:lvl w:ilvl="0" w:tentative="0">
      <w:start w:val="2"/>
      <w:numFmt w:val="chineseCounting"/>
      <w:suff w:val="nothing"/>
      <w:lvlText w:val="%1、"/>
      <w:lvlJc w:val="left"/>
      <w:rPr>
        <w:rFonts w:hint="eastAsia"/>
      </w:rPr>
    </w:lvl>
  </w:abstractNum>
  <w:abstractNum w:abstractNumId="2">
    <w:nsid w:val="FA49A52F"/>
    <w:multiLevelType w:val="singleLevel"/>
    <w:tmpl w:val="FA49A52F"/>
    <w:lvl w:ilvl="0" w:tentative="0">
      <w:start w:val="3"/>
      <w:numFmt w:val="decimal"/>
      <w:suff w:val="nothing"/>
      <w:lvlText w:val="%1、"/>
      <w:lvlJc w:val="left"/>
    </w:lvl>
  </w:abstractNum>
  <w:abstractNum w:abstractNumId="3">
    <w:nsid w:val="0F3812E5"/>
    <w:multiLevelType w:val="multilevel"/>
    <w:tmpl w:val="0F3812E5"/>
    <w:lvl w:ilvl="0" w:tentative="0">
      <w:start w:val="1"/>
      <w:numFmt w:val="none"/>
      <w:suff w:val="nothing"/>
      <w:lvlText w:val="%1"/>
      <w:lvlJc w:val="left"/>
      <w:pPr>
        <w:ind w:left="0" w:firstLine="0"/>
      </w:pPr>
      <w:rPr>
        <w:rFonts w:hint="eastAsia"/>
      </w:rPr>
    </w:lvl>
    <w:lvl w:ilvl="1" w:tentative="0">
      <w:start w:val="3"/>
      <w:numFmt w:val="decimal"/>
      <w:pStyle w:val="169"/>
      <w:suff w:val="nothing"/>
      <w:lvlText w:val="%1%2　"/>
      <w:lvlJc w:val="left"/>
      <w:pPr>
        <w:ind w:left="0" w:firstLine="0"/>
      </w:pPr>
      <w:rPr>
        <w:rFonts w:hint="default" w:ascii="黑体" w:eastAsia="黑体"/>
        <w:b w:val="0"/>
        <w:i w:val="0"/>
        <w:sz w:val="21"/>
      </w:rPr>
    </w:lvl>
    <w:lvl w:ilvl="2" w:tentative="0">
      <w:start w:val="1"/>
      <w:numFmt w:val="decimal"/>
      <w:pStyle w:val="168"/>
      <w:suff w:val="nothing"/>
      <w:lvlText w:val="%1%2.%3　"/>
      <w:lvlJc w:val="left"/>
      <w:pPr>
        <w:tabs>
          <w:tab w:val="left" w:pos="0"/>
        </w:tabs>
        <w:ind w:left="0" w:firstLine="0"/>
      </w:pPr>
      <w:rPr>
        <w:rFonts w:hint="default" w:ascii="黑体" w:hAnsi="Times New Roman" w:eastAsia="黑体" w:cs="Times New Roman"/>
        <w:b w:val="0"/>
        <w:bCs w:val="0"/>
        <w:i w:val="0"/>
        <w:iCs w:val="0"/>
        <w:caps w:val="0"/>
        <w:smallCaps w:val="0"/>
        <w:strike w:val="0"/>
        <w:dstrike w:val="0"/>
        <w:vanish w:val="0"/>
        <w:color w:val="000000"/>
        <w:spacing w:val="0"/>
        <w:kern w:val="0"/>
        <w:position w:val="0"/>
        <w:sz w:val="28"/>
        <w:szCs w:val="28"/>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1DBF583A"/>
    <w:multiLevelType w:val="multilevel"/>
    <w:tmpl w:val="1DBF583A"/>
    <w:lvl w:ilvl="0" w:tentative="0">
      <w:start w:val="1"/>
      <w:numFmt w:val="decimal"/>
      <w:pStyle w:val="101"/>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5">
    <w:nsid w:val="1FC91163"/>
    <w:multiLevelType w:val="multilevel"/>
    <w:tmpl w:val="1FC91163"/>
    <w:lvl w:ilvl="0" w:tentative="0">
      <w:start w:val="1"/>
      <w:numFmt w:val="decimal"/>
      <w:pStyle w:val="139"/>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56"/>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55"/>
      <w:suff w:val="nothing"/>
      <w:lvlText w:val="%1.%2.%3　"/>
      <w:lvlJc w:val="left"/>
      <w:pPr>
        <w:ind w:left="0" w:firstLine="0"/>
      </w:pPr>
      <w:rPr>
        <w:rFonts w:hint="eastAsia" w:ascii="黑体" w:hAnsi="Times New Roman" w:eastAsia="黑体"/>
        <w:b w:val="0"/>
        <w:i w:val="0"/>
        <w:sz w:val="21"/>
      </w:rPr>
    </w:lvl>
    <w:lvl w:ilvl="3" w:tentative="0">
      <w:start w:val="1"/>
      <w:numFmt w:val="decimal"/>
      <w:pStyle w:val="58"/>
      <w:suff w:val="nothing"/>
      <w:lvlText w:val="%1.%2.%3.%4　"/>
      <w:lvlJc w:val="left"/>
      <w:pPr>
        <w:ind w:left="283" w:firstLine="0"/>
      </w:pPr>
      <w:rPr>
        <w:rFonts w:hint="eastAsia" w:ascii="黑体" w:hAnsi="Times New Roman" w:eastAsia="黑体"/>
        <w:b w:val="0"/>
        <w:i w:val="0"/>
        <w:sz w:val="21"/>
      </w:rPr>
    </w:lvl>
    <w:lvl w:ilvl="4" w:tentative="0">
      <w:start w:val="1"/>
      <w:numFmt w:val="decimal"/>
      <w:pStyle w:val="91"/>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2A8F7113"/>
    <w:multiLevelType w:val="multilevel"/>
    <w:tmpl w:val="2A8F7113"/>
    <w:lvl w:ilvl="0" w:tentative="0">
      <w:start w:val="1"/>
      <w:numFmt w:val="upperLetter"/>
      <w:pStyle w:val="96"/>
      <w:suff w:val="space"/>
      <w:lvlText w:val="%1"/>
      <w:lvlJc w:val="left"/>
      <w:pPr>
        <w:ind w:left="623" w:hanging="425"/>
      </w:pPr>
      <w:rPr>
        <w:rFonts w:hint="eastAsia"/>
      </w:rPr>
    </w:lvl>
    <w:lvl w:ilvl="1" w:tentative="0">
      <w:start w:val="1"/>
      <w:numFmt w:val="decimal"/>
      <w:pStyle w:val="141"/>
      <w:suff w:val="nothing"/>
      <w:lvlText w:val="图A.%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7">
    <w:nsid w:val="2C5917C3"/>
    <w:multiLevelType w:val="multilevel"/>
    <w:tmpl w:val="2C5917C3"/>
    <w:lvl w:ilvl="0" w:tentative="0">
      <w:start w:val="1"/>
      <w:numFmt w:val="none"/>
      <w:pStyle w:val="132"/>
      <w:suff w:val="nothing"/>
      <w:lvlText w:val="%1——"/>
      <w:lvlJc w:val="left"/>
      <w:pPr>
        <w:ind w:left="833" w:hanging="408"/>
      </w:pPr>
      <w:rPr>
        <w:rFonts w:hint="eastAsia"/>
      </w:rPr>
    </w:lvl>
    <w:lvl w:ilvl="1" w:tentative="0">
      <w:start w:val="1"/>
      <w:numFmt w:val="bullet"/>
      <w:pStyle w:val="114"/>
      <w:lvlText w:val=""/>
      <w:lvlJc w:val="left"/>
      <w:pPr>
        <w:tabs>
          <w:tab w:val="left" w:pos="760"/>
        </w:tabs>
        <w:ind w:left="1264" w:hanging="413"/>
      </w:pPr>
      <w:rPr>
        <w:rFonts w:hint="default" w:ascii="Symbol" w:hAnsi="Symbol"/>
        <w:color w:val="auto"/>
      </w:rPr>
    </w:lvl>
    <w:lvl w:ilvl="2" w:tentative="0">
      <w:start w:val="1"/>
      <w:numFmt w:val="bullet"/>
      <w:pStyle w:val="105"/>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8">
    <w:nsid w:val="3D733618"/>
    <w:multiLevelType w:val="multilevel"/>
    <w:tmpl w:val="3D733618"/>
    <w:lvl w:ilvl="0" w:tentative="0">
      <w:start w:val="1"/>
      <w:numFmt w:val="decimal"/>
      <w:pStyle w:val="27"/>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9">
    <w:nsid w:val="44C50F90"/>
    <w:multiLevelType w:val="multilevel"/>
    <w:tmpl w:val="44C50F90"/>
    <w:lvl w:ilvl="0" w:tentative="0">
      <w:start w:val="1"/>
      <w:numFmt w:val="lowerLetter"/>
      <w:pStyle w:val="111"/>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12"/>
      <w:lvlText w:val="%2)"/>
      <w:lvlJc w:val="left"/>
      <w:pPr>
        <w:tabs>
          <w:tab w:val="left" w:pos="1260"/>
        </w:tabs>
        <w:ind w:left="1259" w:hanging="419"/>
      </w:pPr>
      <w:rPr>
        <w:rFonts w:hint="eastAsia"/>
      </w:rPr>
    </w:lvl>
    <w:lvl w:ilvl="2" w:tentative="0">
      <w:start w:val="1"/>
      <w:numFmt w:val="decimal"/>
      <w:pStyle w:val="130"/>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0">
    <w:nsid w:val="60B55DC2"/>
    <w:multiLevelType w:val="multilevel"/>
    <w:tmpl w:val="60B55DC2"/>
    <w:lvl w:ilvl="0" w:tentative="0">
      <w:start w:val="1"/>
      <w:numFmt w:val="upperLetter"/>
      <w:pStyle w:val="152"/>
      <w:lvlText w:val="%1"/>
      <w:lvlJc w:val="left"/>
      <w:pPr>
        <w:tabs>
          <w:tab w:val="left" w:pos="0"/>
        </w:tabs>
        <w:ind w:left="0" w:hanging="425"/>
      </w:pPr>
      <w:rPr>
        <w:rFonts w:hint="eastAsia"/>
      </w:rPr>
    </w:lvl>
    <w:lvl w:ilvl="1" w:tentative="0">
      <w:start w:val="1"/>
      <w:numFmt w:val="decimal"/>
      <w:pStyle w:val="97"/>
      <w:suff w:val="nothing"/>
      <w:lvlText w:val="表%2　"/>
      <w:lvlJc w:val="left"/>
      <w:pPr>
        <w:ind w:left="567" w:hanging="567"/>
      </w:pPr>
      <w:rPr>
        <w:rFonts w:hint="eastAsia" w:ascii="黑体" w:hAnsi="黑体" w:eastAsia="黑体"/>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1">
    <w:nsid w:val="657D3FBC"/>
    <w:multiLevelType w:val="multilevel"/>
    <w:tmpl w:val="657D3FBC"/>
    <w:lvl w:ilvl="0" w:tentative="0">
      <w:start w:val="1"/>
      <w:numFmt w:val="upperLetter"/>
      <w:pStyle w:val="100"/>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82"/>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2">
    <w:nsid w:val="6D6C07CD"/>
    <w:multiLevelType w:val="multilevel"/>
    <w:tmpl w:val="6D6C07CD"/>
    <w:lvl w:ilvl="0" w:tentative="0">
      <w:start w:val="1"/>
      <w:numFmt w:val="lowerLetter"/>
      <w:pStyle w:val="129"/>
      <w:lvlText w:val="%1)"/>
      <w:lvlJc w:val="left"/>
      <w:pPr>
        <w:tabs>
          <w:tab w:val="left" w:pos="839"/>
        </w:tabs>
        <w:ind w:left="839" w:hanging="419"/>
      </w:pPr>
      <w:rPr>
        <w:rFonts w:hint="eastAsia" w:ascii="宋体" w:eastAsia="宋体"/>
        <w:b w:val="0"/>
        <w:i w:val="0"/>
        <w:sz w:val="21"/>
      </w:rPr>
    </w:lvl>
    <w:lvl w:ilvl="1" w:tentative="0">
      <w:start w:val="1"/>
      <w:numFmt w:val="decimal"/>
      <w:pStyle w:val="85"/>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8"/>
  </w:num>
  <w:num w:numId="2">
    <w:abstractNumId w:val="5"/>
  </w:num>
  <w:num w:numId="3">
    <w:abstractNumId w:val="11"/>
  </w:num>
  <w:num w:numId="4">
    <w:abstractNumId w:val="12"/>
  </w:num>
  <w:num w:numId="5">
    <w:abstractNumId w:val="6"/>
  </w:num>
  <w:num w:numId="6">
    <w:abstractNumId w:val="10"/>
  </w:num>
  <w:num w:numId="7">
    <w:abstractNumId w:val="4"/>
  </w:num>
  <w:num w:numId="8">
    <w:abstractNumId w:val="7"/>
  </w:num>
  <w:num w:numId="9">
    <w:abstractNumId w:val="9"/>
  </w:num>
  <w:num w:numId="10">
    <w:abstractNumId w:val="3"/>
  </w:num>
  <w:num w:numId="11">
    <w:abstractNumId w:val="1"/>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removePersonalInformation/>
  <w:embedTrueTypeFonts/>
  <w:saveSubsetFonts/>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Y3OGJiOTVkZTA3ZGVkZWNiZTFjYzA0ZGYxNjRjZjUifQ=="/>
  </w:docVars>
  <w:rsids>
    <w:rsidRoot w:val="00650531"/>
    <w:rsid w:val="00000244"/>
    <w:rsid w:val="0000025A"/>
    <w:rsid w:val="0000185F"/>
    <w:rsid w:val="00002107"/>
    <w:rsid w:val="00002850"/>
    <w:rsid w:val="00002B97"/>
    <w:rsid w:val="000050B2"/>
    <w:rsid w:val="000052B7"/>
    <w:rsid w:val="0000586F"/>
    <w:rsid w:val="00007D7C"/>
    <w:rsid w:val="00012C3B"/>
    <w:rsid w:val="00013D86"/>
    <w:rsid w:val="00013E02"/>
    <w:rsid w:val="00015AE6"/>
    <w:rsid w:val="00015CA4"/>
    <w:rsid w:val="00015F29"/>
    <w:rsid w:val="000175E9"/>
    <w:rsid w:val="000176B7"/>
    <w:rsid w:val="0001793A"/>
    <w:rsid w:val="00020A3F"/>
    <w:rsid w:val="00020A9D"/>
    <w:rsid w:val="0002143C"/>
    <w:rsid w:val="00025A65"/>
    <w:rsid w:val="00026A04"/>
    <w:rsid w:val="00026C31"/>
    <w:rsid w:val="00027280"/>
    <w:rsid w:val="000279F7"/>
    <w:rsid w:val="000279F8"/>
    <w:rsid w:val="000304E5"/>
    <w:rsid w:val="000320A7"/>
    <w:rsid w:val="0003245E"/>
    <w:rsid w:val="00033866"/>
    <w:rsid w:val="0003552A"/>
    <w:rsid w:val="00035925"/>
    <w:rsid w:val="00035AB8"/>
    <w:rsid w:val="000379F1"/>
    <w:rsid w:val="00037C56"/>
    <w:rsid w:val="00041631"/>
    <w:rsid w:val="00042604"/>
    <w:rsid w:val="00043436"/>
    <w:rsid w:val="000441C8"/>
    <w:rsid w:val="000448A3"/>
    <w:rsid w:val="00045A75"/>
    <w:rsid w:val="00045D3D"/>
    <w:rsid w:val="00050981"/>
    <w:rsid w:val="00052269"/>
    <w:rsid w:val="0005289F"/>
    <w:rsid w:val="00053C4C"/>
    <w:rsid w:val="00060F13"/>
    <w:rsid w:val="00062D8F"/>
    <w:rsid w:val="00063025"/>
    <w:rsid w:val="000639FB"/>
    <w:rsid w:val="00063D96"/>
    <w:rsid w:val="0006463B"/>
    <w:rsid w:val="0006607A"/>
    <w:rsid w:val="000668CD"/>
    <w:rsid w:val="00067CDF"/>
    <w:rsid w:val="00067EE6"/>
    <w:rsid w:val="00070DC6"/>
    <w:rsid w:val="0007478A"/>
    <w:rsid w:val="00074E8D"/>
    <w:rsid w:val="00074FBE"/>
    <w:rsid w:val="000751BE"/>
    <w:rsid w:val="0007721B"/>
    <w:rsid w:val="00080341"/>
    <w:rsid w:val="00080E20"/>
    <w:rsid w:val="00081147"/>
    <w:rsid w:val="000829D3"/>
    <w:rsid w:val="00083A09"/>
    <w:rsid w:val="0009005E"/>
    <w:rsid w:val="00092279"/>
    <w:rsid w:val="00092857"/>
    <w:rsid w:val="0009356C"/>
    <w:rsid w:val="0009418F"/>
    <w:rsid w:val="00094E9F"/>
    <w:rsid w:val="00095847"/>
    <w:rsid w:val="00095B64"/>
    <w:rsid w:val="000A0D49"/>
    <w:rsid w:val="000A20A9"/>
    <w:rsid w:val="000A2D22"/>
    <w:rsid w:val="000A41C8"/>
    <w:rsid w:val="000A43C5"/>
    <w:rsid w:val="000A48B1"/>
    <w:rsid w:val="000A5F06"/>
    <w:rsid w:val="000A702D"/>
    <w:rsid w:val="000B0B86"/>
    <w:rsid w:val="000B106B"/>
    <w:rsid w:val="000B3143"/>
    <w:rsid w:val="000B549C"/>
    <w:rsid w:val="000B7DEB"/>
    <w:rsid w:val="000C06A4"/>
    <w:rsid w:val="000C1F22"/>
    <w:rsid w:val="000C3B93"/>
    <w:rsid w:val="000C4E74"/>
    <w:rsid w:val="000C5779"/>
    <w:rsid w:val="000C5CA7"/>
    <w:rsid w:val="000C5E20"/>
    <w:rsid w:val="000C6B05"/>
    <w:rsid w:val="000C6DD6"/>
    <w:rsid w:val="000C73D4"/>
    <w:rsid w:val="000C7984"/>
    <w:rsid w:val="000D150A"/>
    <w:rsid w:val="000D246C"/>
    <w:rsid w:val="000D3954"/>
    <w:rsid w:val="000D3B28"/>
    <w:rsid w:val="000D3D4C"/>
    <w:rsid w:val="000D4178"/>
    <w:rsid w:val="000D4B6E"/>
    <w:rsid w:val="000D4F51"/>
    <w:rsid w:val="000D718B"/>
    <w:rsid w:val="000D7B1A"/>
    <w:rsid w:val="000E0C46"/>
    <w:rsid w:val="000E1EBF"/>
    <w:rsid w:val="000E415C"/>
    <w:rsid w:val="000E464D"/>
    <w:rsid w:val="000F006D"/>
    <w:rsid w:val="000F030C"/>
    <w:rsid w:val="000F129C"/>
    <w:rsid w:val="000F17C1"/>
    <w:rsid w:val="000F33DC"/>
    <w:rsid w:val="000F4C84"/>
    <w:rsid w:val="000F507E"/>
    <w:rsid w:val="000F6C87"/>
    <w:rsid w:val="0010304E"/>
    <w:rsid w:val="00103C89"/>
    <w:rsid w:val="00103DF0"/>
    <w:rsid w:val="001043FC"/>
    <w:rsid w:val="001056DE"/>
    <w:rsid w:val="001066DA"/>
    <w:rsid w:val="00106CBC"/>
    <w:rsid w:val="00110AC8"/>
    <w:rsid w:val="00111A09"/>
    <w:rsid w:val="001124C0"/>
    <w:rsid w:val="001145D6"/>
    <w:rsid w:val="001200A5"/>
    <w:rsid w:val="00120EB4"/>
    <w:rsid w:val="00122251"/>
    <w:rsid w:val="00122D03"/>
    <w:rsid w:val="001232AA"/>
    <w:rsid w:val="00125B8A"/>
    <w:rsid w:val="00125BB5"/>
    <w:rsid w:val="0012762D"/>
    <w:rsid w:val="00130143"/>
    <w:rsid w:val="00130BAB"/>
    <w:rsid w:val="00130F07"/>
    <w:rsid w:val="001314DC"/>
    <w:rsid w:val="0013175F"/>
    <w:rsid w:val="001344C6"/>
    <w:rsid w:val="00141AE5"/>
    <w:rsid w:val="00147123"/>
    <w:rsid w:val="001471B4"/>
    <w:rsid w:val="001478CE"/>
    <w:rsid w:val="00150BFB"/>
    <w:rsid w:val="00150F07"/>
    <w:rsid w:val="0015106A"/>
    <w:rsid w:val="001512B4"/>
    <w:rsid w:val="00151693"/>
    <w:rsid w:val="001572E0"/>
    <w:rsid w:val="00160DAF"/>
    <w:rsid w:val="00161A7E"/>
    <w:rsid w:val="001620A5"/>
    <w:rsid w:val="00163C5D"/>
    <w:rsid w:val="0016446D"/>
    <w:rsid w:val="00164E53"/>
    <w:rsid w:val="0016699D"/>
    <w:rsid w:val="00167A1C"/>
    <w:rsid w:val="00171C0C"/>
    <w:rsid w:val="00172A27"/>
    <w:rsid w:val="00172DF4"/>
    <w:rsid w:val="00175159"/>
    <w:rsid w:val="00175719"/>
    <w:rsid w:val="00176208"/>
    <w:rsid w:val="00176C60"/>
    <w:rsid w:val="00180419"/>
    <w:rsid w:val="001810A8"/>
    <w:rsid w:val="00181C3A"/>
    <w:rsid w:val="0018211B"/>
    <w:rsid w:val="001821AB"/>
    <w:rsid w:val="00182509"/>
    <w:rsid w:val="001840D3"/>
    <w:rsid w:val="00184F4C"/>
    <w:rsid w:val="00185101"/>
    <w:rsid w:val="0018584D"/>
    <w:rsid w:val="00185CC3"/>
    <w:rsid w:val="0018642C"/>
    <w:rsid w:val="001872EC"/>
    <w:rsid w:val="001900F8"/>
    <w:rsid w:val="00191258"/>
    <w:rsid w:val="00191812"/>
    <w:rsid w:val="00192680"/>
    <w:rsid w:val="00193037"/>
    <w:rsid w:val="00193A2C"/>
    <w:rsid w:val="00196702"/>
    <w:rsid w:val="001974DE"/>
    <w:rsid w:val="001A03CD"/>
    <w:rsid w:val="001A2132"/>
    <w:rsid w:val="001A225D"/>
    <w:rsid w:val="001A288E"/>
    <w:rsid w:val="001A2B90"/>
    <w:rsid w:val="001A2DB3"/>
    <w:rsid w:val="001A2DE1"/>
    <w:rsid w:val="001A3487"/>
    <w:rsid w:val="001A354D"/>
    <w:rsid w:val="001A4823"/>
    <w:rsid w:val="001A5062"/>
    <w:rsid w:val="001B4DE0"/>
    <w:rsid w:val="001B5EB5"/>
    <w:rsid w:val="001B6DC2"/>
    <w:rsid w:val="001C04CF"/>
    <w:rsid w:val="001C11C2"/>
    <w:rsid w:val="001C149C"/>
    <w:rsid w:val="001C1FF6"/>
    <w:rsid w:val="001C21AC"/>
    <w:rsid w:val="001C47BA"/>
    <w:rsid w:val="001C49CC"/>
    <w:rsid w:val="001C59EA"/>
    <w:rsid w:val="001C60E4"/>
    <w:rsid w:val="001C6560"/>
    <w:rsid w:val="001C7733"/>
    <w:rsid w:val="001D11DE"/>
    <w:rsid w:val="001D1E0D"/>
    <w:rsid w:val="001D273A"/>
    <w:rsid w:val="001D406C"/>
    <w:rsid w:val="001D41EE"/>
    <w:rsid w:val="001D4C0A"/>
    <w:rsid w:val="001D6B07"/>
    <w:rsid w:val="001D6E82"/>
    <w:rsid w:val="001E0380"/>
    <w:rsid w:val="001E13B1"/>
    <w:rsid w:val="001E1485"/>
    <w:rsid w:val="001E2EFE"/>
    <w:rsid w:val="001E2F5C"/>
    <w:rsid w:val="001E3DDA"/>
    <w:rsid w:val="001E3F91"/>
    <w:rsid w:val="001E4057"/>
    <w:rsid w:val="001E571C"/>
    <w:rsid w:val="001E5A30"/>
    <w:rsid w:val="001E6979"/>
    <w:rsid w:val="001E7BF0"/>
    <w:rsid w:val="001F2F84"/>
    <w:rsid w:val="001F3A19"/>
    <w:rsid w:val="001F429C"/>
    <w:rsid w:val="001F46AC"/>
    <w:rsid w:val="001F6610"/>
    <w:rsid w:val="001F6B7F"/>
    <w:rsid w:val="0020036A"/>
    <w:rsid w:val="002011BD"/>
    <w:rsid w:val="00203F2B"/>
    <w:rsid w:val="002116E3"/>
    <w:rsid w:val="00212ECA"/>
    <w:rsid w:val="002147FD"/>
    <w:rsid w:val="0021704E"/>
    <w:rsid w:val="00217ADE"/>
    <w:rsid w:val="00217BC8"/>
    <w:rsid w:val="002209B0"/>
    <w:rsid w:val="00220BD0"/>
    <w:rsid w:val="002211F6"/>
    <w:rsid w:val="002219C8"/>
    <w:rsid w:val="00224A0A"/>
    <w:rsid w:val="002273F7"/>
    <w:rsid w:val="0023133F"/>
    <w:rsid w:val="0023165D"/>
    <w:rsid w:val="00231C75"/>
    <w:rsid w:val="0023207A"/>
    <w:rsid w:val="002320AB"/>
    <w:rsid w:val="00233492"/>
    <w:rsid w:val="00234467"/>
    <w:rsid w:val="00234F62"/>
    <w:rsid w:val="00234FAC"/>
    <w:rsid w:val="0023711B"/>
    <w:rsid w:val="00237D8D"/>
    <w:rsid w:val="00240FC0"/>
    <w:rsid w:val="00241D8F"/>
    <w:rsid w:val="00241DA2"/>
    <w:rsid w:val="0024650C"/>
    <w:rsid w:val="00246B91"/>
    <w:rsid w:val="00247B25"/>
    <w:rsid w:val="00247B8A"/>
    <w:rsid w:val="00247FEE"/>
    <w:rsid w:val="00250E7D"/>
    <w:rsid w:val="00251629"/>
    <w:rsid w:val="00252CAF"/>
    <w:rsid w:val="002555F4"/>
    <w:rsid w:val="002565D5"/>
    <w:rsid w:val="002565FA"/>
    <w:rsid w:val="00257054"/>
    <w:rsid w:val="00257E82"/>
    <w:rsid w:val="002608E9"/>
    <w:rsid w:val="002611EE"/>
    <w:rsid w:val="002622C0"/>
    <w:rsid w:val="002638DE"/>
    <w:rsid w:val="0026748A"/>
    <w:rsid w:val="002677DC"/>
    <w:rsid w:val="002678FE"/>
    <w:rsid w:val="00267FE9"/>
    <w:rsid w:val="002707DD"/>
    <w:rsid w:val="00272DEF"/>
    <w:rsid w:val="00273FF4"/>
    <w:rsid w:val="0027482F"/>
    <w:rsid w:val="002771AF"/>
    <w:rsid w:val="00277325"/>
    <w:rsid w:val="002778AE"/>
    <w:rsid w:val="00280980"/>
    <w:rsid w:val="0028269A"/>
    <w:rsid w:val="00282FE5"/>
    <w:rsid w:val="00283590"/>
    <w:rsid w:val="00283F8D"/>
    <w:rsid w:val="00285389"/>
    <w:rsid w:val="00285679"/>
    <w:rsid w:val="00286973"/>
    <w:rsid w:val="00286DE3"/>
    <w:rsid w:val="002870AA"/>
    <w:rsid w:val="0029018A"/>
    <w:rsid w:val="00290950"/>
    <w:rsid w:val="00294E70"/>
    <w:rsid w:val="00295C5E"/>
    <w:rsid w:val="002972F7"/>
    <w:rsid w:val="00297B2C"/>
    <w:rsid w:val="002A147C"/>
    <w:rsid w:val="002A1924"/>
    <w:rsid w:val="002A2FFB"/>
    <w:rsid w:val="002A3218"/>
    <w:rsid w:val="002A3266"/>
    <w:rsid w:val="002A37A1"/>
    <w:rsid w:val="002A48D2"/>
    <w:rsid w:val="002A48F5"/>
    <w:rsid w:val="002A650C"/>
    <w:rsid w:val="002A668C"/>
    <w:rsid w:val="002A692D"/>
    <w:rsid w:val="002A7420"/>
    <w:rsid w:val="002B0DBD"/>
    <w:rsid w:val="002B0F12"/>
    <w:rsid w:val="002B1160"/>
    <w:rsid w:val="002B1308"/>
    <w:rsid w:val="002B1324"/>
    <w:rsid w:val="002B18CF"/>
    <w:rsid w:val="002B1BD9"/>
    <w:rsid w:val="002B4554"/>
    <w:rsid w:val="002B5854"/>
    <w:rsid w:val="002C1421"/>
    <w:rsid w:val="002C2EFC"/>
    <w:rsid w:val="002C30C1"/>
    <w:rsid w:val="002C3242"/>
    <w:rsid w:val="002C3E4D"/>
    <w:rsid w:val="002C4F01"/>
    <w:rsid w:val="002C562D"/>
    <w:rsid w:val="002C72D8"/>
    <w:rsid w:val="002C7B45"/>
    <w:rsid w:val="002C7B7A"/>
    <w:rsid w:val="002C7B87"/>
    <w:rsid w:val="002D01ED"/>
    <w:rsid w:val="002D11FA"/>
    <w:rsid w:val="002D2385"/>
    <w:rsid w:val="002D516F"/>
    <w:rsid w:val="002D67BC"/>
    <w:rsid w:val="002E0DDF"/>
    <w:rsid w:val="002E0EB4"/>
    <w:rsid w:val="002E15B0"/>
    <w:rsid w:val="002E2906"/>
    <w:rsid w:val="002E336B"/>
    <w:rsid w:val="002E5635"/>
    <w:rsid w:val="002E5A29"/>
    <w:rsid w:val="002E5F4E"/>
    <w:rsid w:val="002E64C3"/>
    <w:rsid w:val="002E6A2C"/>
    <w:rsid w:val="002F0216"/>
    <w:rsid w:val="002F1897"/>
    <w:rsid w:val="002F1D8C"/>
    <w:rsid w:val="002F21DA"/>
    <w:rsid w:val="002F6086"/>
    <w:rsid w:val="002F7002"/>
    <w:rsid w:val="002F73E5"/>
    <w:rsid w:val="002F7693"/>
    <w:rsid w:val="002F7889"/>
    <w:rsid w:val="002F7E33"/>
    <w:rsid w:val="003006FC"/>
    <w:rsid w:val="003018DB"/>
    <w:rsid w:val="00301DCC"/>
    <w:rsid w:val="00301F39"/>
    <w:rsid w:val="00303276"/>
    <w:rsid w:val="0030411F"/>
    <w:rsid w:val="003053E1"/>
    <w:rsid w:val="0030542A"/>
    <w:rsid w:val="003067B8"/>
    <w:rsid w:val="003107C1"/>
    <w:rsid w:val="00310BC7"/>
    <w:rsid w:val="003124E9"/>
    <w:rsid w:val="00312C9D"/>
    <w:rsid w:val="00313E64"/>
    <w:rsid w:val="00314B84"/>
    <w:rsid w:val="00316BAD"/>
    <w:rsid w:val="00317009"/>
    <w:rsid w:val="00320AF9"/>
    <w:rsid w:val="00321CF6"/>
    <w:rsid w:val="0032241D"/>
    <w:rsid w:val="0032293F"/>
    <w:rsid w:val="00325135"/>
    <w:rsid w:val="00325926"/>
    <w:rsid w:val="00325952"/>
    <w:rsid w:val="00327A8A"/>
    <w:rsid w:val="00331EA1"/>
    <w:rsid w:val="00332183"/>
    <w:rsid w:val="00333914"/>
    <w:rsid w:val="00334337"/>
    <w:rsid w:val="00335264"/>
    <w:rsid w:val="00336610"/>
    <w:rsid w:val="0033740C"/>
    <w:rsid w:val="003375F9"/>
    <w:rsid w:val="00340599"/>
    <w:rsid w:val="00340C2C"/>
    <w:rsid w:val="003411F3"/>
    <w:rsid w:val="003414DA"/>
    <w:rsid w:val="00343F73"/>
    <w:rsid w:val="00345060"/>
    <w:rsid w:val="00346674"/>
    <w:rsid w:val="003479BF"/>
    <w:rsid w:val="003505EC"/>
    <w:rsid w:val="0035323B"/>
    <w:rsid w:val="003546E5"/>
    <w:rsid w:val="0035624A"/>
    <w:rsid w:val="00356629"/>
    <w:rsid w:val="003609D2"/>
    <w:rsid w:val="003631DB"/>
    <w:rsid w:val="003631E0"/>
    <w:rsid w:val="00363F22"/>
    <w:rsid w:val="0036424D"/>
    <w:rsid w:val="00364BA1"/>
    <w:rsid w:val="00365C36"/>
    <w:rsid w:val="00367563"/>
    <w:rsid w:val="003676D1"/>
    <w:rsid w:val="00370458"/>
    <w:rsid w:val="003739EF"/>
    <w:rsid w:val="00373B14"/>
    <w:rsid w:val="0037505B"/>
    <w:rsid w:val="00375354"/>
    <w:rsid w:val="00375564"/>
    <w:rsid w:val="00377178"/>
    <w:rsid w:val="00377703"/>
    <w:rsid w:val="00377C75"/>
    <w:rsid w:val="00380F15"/>
    <w:rsid w:val="00380F56"/>
    <w:rsid w:val="00382361"/>
    <w:rsid w:val="00383191"/>
    <w:rsid w:val="00383412"/>
    <w:rsid w:val="00385331"/>
    <w:rsid w:val="00385E94"/>
    <w:rsid w:val="003861D7"/>
    <w:rsid w:val="00386DED"/>
    <w:rsid w:val="0038737D"/>
    <w:rsid w:val="003875B5"/>
    <w:rsid w:val="00387848"/>
    <w:rsid w:val="00390EE3"/>
    <w:rsid w:val="003912E7"/>
    <w:rsid w:val="003915FC"/>
    <w:rsid w:val="0039201B"/>
    <w:rsid w:val="00393947"/>
    <w:rsid w:val="00393D09"/>
    <w:rsid w:val="00394E86"/>
    <w:rsid w:val="0039519D"/>
    <w:rsid w:val="003954EB"/>
    <w:rsid w:val="0039600C"/>
    <w:rsid w:val="003960C2"/>
    <w:rsid w:val="00396E95"/>
    <w:rsid w:val="003A0253"/>
    <w:rsid w:val="003A1C86"/>
    <w:rsid w:val="003A2275"/>
    <w:rsid w:val="003A2BEA"/>
    <w:rsid w:val="003A683A"/>
    <w:rsid w:val="003A6A4F"/>
    <w:rsid w:val="003A7088"/>
    <w:rsid w:val="003B00DF"/>
    <w:rsid w:val="003B1275"/>
    <w:rsid w:val="003B1778"/>
    <w:rsid w:val="003B1D1F"/>
    <w:rsid w:val="003B5917"/>
    <w:rsid w:val="003B6377"/>
    <w:rsid w:val="003B665D"/>
    <w:rsid w:val="003B7CEE"/>
    <w:rsid w:val="003B7D6F"/>
    <w:rsid w:val="003C11CB"/>
    <w:rsid w:val="003C23D6"/>
    <w:rsid w:val="003C3114"/>
    <w:rsid w:val="003C5155"/>
    <w:rsid w:val="003C58CD"/>
    <w:rsid w:val="003C5FA6"/>
    <w:rsid w:val="003C6149"/>
    <w:rsid w:val="003C657C"/>
    <w:rsid w:val="003C75F3"/>
    <w:rsid w:val="003C78A3"/>
    <w:rsid w:val="003C7C30"/>
    <w:rsid w:val="003C7E1E"/>
    <w:rsid w:val="003D0A36"/>
    <w:rsid w:val="003D2F52"/>
    <w:rsid w:val="003D4F93"/>
    <w:rsid w:val="003E1234"/>
    <w:rsid w:val="003E1867"/>
    <w:rsid w:val="003E2E53"/>
    <w:rsid w:val="003E3014"/>
    <w:rsid w:val="003E3845"/>
    <w:rsid w:val="003E5729"/>
    <w:rsid w:val="003F0D75"/>
    <w:rsid w:val="003F18F2"/>
    <w:rsid w:val="003F2780"/>
    <w:rsid w:val="003F46E5"/>
    <w:rsid w:val="003F4EE0"/>
    <w:rsid w:val="003F531D"/>
    <w:rsid w:val="003F6955"/>
    <w:rsid w:val="003F7ABD"/>
    <w:rsid w:val="00402153"/>
    <w:rsid w:val="00402418"/>
    <w:rsid w:val="00402F73"/>
    <w:rsid w:val="00402FC1"/>
    <w:rsid w:val="00403C54"/>
    <w:rsid w:val="0040431A"/>
    <w:rsid w:val="0040441B"/>
    <w:rsid w:val="0040513A"/>
    <w:rsid w:val="004106A6"/>
    <w:rsid w:val="00410D96"/>
    <w:rsid w:val="00411DDF"/>
    <w:rsid w:val="00413456"/>
    <w:rsid w:val="0041401B"/>
    <w:rsid w:val="00415591"/>
    <w:rsid w:val="0041736E"/>
    <w:rsid w:val="00420716"/>
    <w:rsid w:val="00425082"/>
    <w:rsid w:val="004263D4"/>
    <w:rsid w:val="00427DCB"/>
    <w:rsid w:val="00430214"/>
    <w:rsid w:val="00430395"/>
    <w:rsid w:val="00431DEB"/>
    <w:rsid w:val="00433DCF"/>
    <w:rsid w:val="0043522F"/>
    <w:rsid w:val="00435D1D"/>
    <w:rsid w:val="00440569"/>
    <w:rsid w:val="00446B29"/>
    <w:rsid w:val="0044747C"/>
    <w:rsid w:val="004504EA"/>
    <w:rsid w:val="00452490"/>
    <w:rsid w:val="00453112"/>
    <w:rsid w:val="0045382F"/>
    <w:rsid w:val="00453F9A"/>
    <w:rsid w:val="00455A8E"/>
    <w:rsid w:val="00456806"/>
    <w:rsid w:val="0045797E"/>
    <w:rsid w:val="00457CF1"/>
    <w:rsid w:val="00460D6D"/>
    <w:rsid w:val="00461F56"/>
    <w:rsid w:val="00462818"/>
    <w:rsid w:val="00463BED"/>
    <w:rsid w:val="00464AFB"/>
    <w:rsid w:val="004655B7"/>
    <w:rsid w:val="004676DD"/>
    <w:rsid w:val="004679DD"/>
    <w:rsid w:val="0047134F"/>
    <w:rsid w:val="00471E91"/>
    <w:rsid w:val="00473D4A"/>
    <w:rsid w:val="00474533"/>
    <w:rsid w:val="00474675"/>
    <w:rsid w:val="0047470C"/>
    <w:rsid w:val="00475C07"/>
    <w:rsid w:val="004763D1"/>
    <w:rsid w:val="00480338"/>
    <w:rsid w:val="00485AAC"/>
    <w:rsid w:val="004860E8"/>
    <w:rsid w:val="004922F9"/>
    <w:rsid w:val="004925B2"/>
    <w:rsid w:val="00493686"/>
    <w:rsid w:val="00494358"/>
    <w:rsid w:val="004962D7"/>
    <w:rsid w:val="0049673E"/>
    <w:rsid w:val="004970ED"/>
    <w:rsid w:val="0049775C"/>
    <w:rsid w:val="00497AE5"/>
    <w:rsid w:val="004A061D"/>
    <w:rsid w:val="004A11F8"/>
    <w:rsid w:val="004A16D1"/>
    <w:rsid w:val="004A1F17"/>
    <w:rsid w:val="004A22D6"/>
    <w:rsid w:val="004A2ED4"/>
    <w:rsid w:val="004A35F9"/>
    <w:rsid w:val="004A4642"/>
    <w:rsid w:val="004A52E0"/>
    <w:rsid w:val="004A5318"/>
    <w:rsid w:val="004A61E7"/>
    <w:rsid w:val="004A6D32"/>
    <w:rsid w:val="004B03A7"/>
    <w:rsid w:val="004B1BA5"/>
    <w:rsid w:val="004B24C1"/>
    <w:rsid w:val="004B4C7B"/>
    <w:rsid w:val="004B5556"/>
    <w:rsid w:val="004B6696"/>
    <w:rsid w:val="004B6781"/>
    <w:rsid w:val="004C0062"/>
    <w:rsid w:val="004C1FA5"/>
    <w:rsid w:val="004C292F"/>
    <w:rsid w:val="004C5D65"/>
    <w:rsid w:val="004C71CB"/>
    <w:rsid w:val="004D124A"/>
    <w:rsid w:val="004D6006"/>
    <w:rsid w:val="004D6FB7"/>
    <w:rsid w:val="004E092D"/>
    <w:rsid w:val="004E1B59"/>
    <w:rsid w:val="004E2580"/>
    <w:rsid w:val="004E27C7"/>
    <w:rsid w:val="004E3B98"/>
    <w:rsid w:val="004E4699"/>
    <w:rsid w:val="004E4DDA"/>
    <w:rsid w:val="004E6843"/>
    <w:rsid w:val="004E6B8B"/>
    <w:rsid w:val="004E7D10"/>
    <w:rsid w:val="004F0A1E"/>
    <w:rsid w:val="004F28FF"/>
    <w:rsid w:val="004F350A"/>
    <w:rsid w:val="004F6E8C"/>
    <w:rsid w:val="004F766A"/>
    <w:rsid w:val="005001F0"/>
    <w:rsid w:val="00500D8B"/>
    <w:rsid w:val="005011B4"/>
    <w:rsid w:val="00503708"/>
    <w:rsid w:val="00503E3A"/>
    <w:rsid w:val="0050612B"/>
    <w:rsid w:val="00506236"/>
    <w:rsid w:val="005064AC"/>
    <w:rsid w:val="00507DF7"/>
    <w:rsid w:val="00510280"/>
    <w:rsid w:val="005128A4"/>
    <w:rsid w:val="005133A5"/>
    <w:rsid w:val="00513D73"/>
    <w:rsid w:val="00514A43"/>
    <w:rsid w:val="0051515E"/>
    <w:rsid w:val="0051529E"/>
    <w:rsid w:val="005172FD"/>
    <w:rsid w:val="005174E5"/>
    <w:rsid w:val="005203E3"/>
    <w:rsid w:val="00522393"/>
    <w:rsid w:val="00522620"/>
    <w:rsid w:val="00522B1E"/>
    <w:rsid w:val="00524877"/>
    <w:rsid w:val="005255AA"/>
    <w:rsid w:val="00525656"/>
    <w:rsid w:val="00527C3A"/>
    <w:rsid w:val="00530968"/>
    <w:rsid w:val="0053191C"/>
    <w:rsid w:val="00532C55"/>
    <w:rsid w:val="00532DC2"/>
    <w:rsid w:val="00534C02"/>
    <w:rsid w:val="005356A8"/>
    <w:rsid w:val="00536542"/>
    <w:rsid w:val="00540CC3"/>
    <w:rsid w:val="005421AF"/>
    <w:rsid w:val="0054253C"/>
    <w:rsid w:val="0054264B"/>
    <w:rsid w:val="005427D4"/>
    <w:rsid w:val="00543786"/>
    <w:rsid w:val="00545238"/>
    <w:rsid w:val="005464A0"/>
    <w:rsid w:val="00551A43"/>
    <w:rsid w:val="00552896"/>
    <w:rsid w:val="00552CAA"/>
    <w:rsid w:val="00552D98"/>
    <w:rsid w:val="005533D7"/>
    <w:rsid w:val="00554845"/>
    <w:rsid w:val="005556A7"/>
    <w:rsid w:val="00555912"/>
    <w:rsid w:val="005575E1"/>
    <w:rsid w:val="00557CAA"/>
    <w:rsid w:val="00560C4C"/>
    <w:rsid w:val="00561802"/>
    <w:rsid w:val="00562505"/>
    <w:rsid w:val="005638DB"/>
    <w:rsid w:val="00564BEC"/>
    <w:rsid w:val="0056716F"/>
    <w:rsid w:val="005703DE"/>
    <w:rsid w:val="005712FF"/>
    <w:rsid w:val="00572C6E"/>
    <w:rsid w:val="00573FA1"/>
    <w:rsid w:val="005754D6"/>
    <w:rsid w:val="00576D53"/>
    <w:rsid w:val="005771D8"/>
    <w:rsid w:val="005774CF"/>
    <w:rsid w:val="00580446"/>
    <w:rsid w:val="00583039"/>
    <w:rsid w:val="0058464E"/>
    <w:rsid w:val="0058611E"/>
    <w:rsid w:val="0058682D"/>
    <w:rsid w:val="005918B4"/>
    <w:rsid w:val="00591B20"/>
    <w:rsid w:val="00591E03"/>
    <w:rsid w:val="00591FA9"/>
    <w:rsid w:val="005933F2"/>
    <w:rsid w:val="00594910"/>
    <w:rsid w:val="00594B80"/>
    <w:rsid w:val="00595BBA"/>
    <w:rsid w:val="00596831"/>
    <w:rsid w:val="00596996"/>
    <w:rsid w:val="005A01CB"/>
    <w:rsid w:val="005A2542"/>
    <w:rsid w:val="005A2898"/>
    <w:rsid w:val="005A343C"/>
    <w:rsid w:val="005A37E1"/>
    <w:rsid w:val="005A40C0"/>
    <w:rsid w:val="005A4A08"/>
    <w:rsid w:val="005A58B8"/>
    <w:rsid w:val="005A58FF"/>
    <w:rsid w:val="005A5EAF"/>
    <w:rsid w:val="005A64C0"/>
    <w:rsid w:val="005A7408"/>
    <w:rsid w:val="005A761A"/>
    <w:rsid w:val="005B22DC"/>
    <w:rsid w:val="005B2998"/>
    <w:rsid w:val="005B3C11"/>
    <w:rsid w:val="005B3C25"/>
    <w:rsid w:val="005B3E04"/>
    <w:rsid w:val="005B4C1C"/>
    <w:rsid w:val="005B5393"/>
    <w:rsid w:val="005B5C1C"/>
    <w:rsid w:val="005B5D5F"/>
    <w:rsid w:val="005B64E6"/>
    <w:rsid w:val="005C04BA"/>
    <w:rsid w:val="005C1106"/>
    <w:rsid w:val="005C1C28"/>
    <w:rsid w:val="005C4C6B"/>
    <w:rsid w:val="005C6DB5"/>
    <w:rsid w:val="005C6DC0"/>
    <w:rsid w:val="005C6E38"/>
    <w:rsid w:val="005D43BD"/>
    <w:rsid w:val="005D4493"/>
    <w:rsid w:val="005D6BB0"/>
    <w:rsid w:val="005D6F4D"/>
    <w:rsid w:val="005D7589"/>
    <w:rsid w:val="005D77E7"/>
    <w:rsid w:val="005E003C"/>
    <w:rsid w:val="005E088D"/>
    <w:rsid w:val="005E11F5"/>
    <w:rsid w:val="005E19B9"/>
    <w:rsid w:val="005E19E7"/>
    <w:rsid w:val="005E1D67"/>
    <w:rsid w:val="005E1DEB"/>
    <w:rsid w:val="005E77CF"/>
    <w:rsid w:val="005F171C"/>
    <w:rsid w:val="005F2BF3"/>
    <w:rsid w:val="005F31C0"/>
    <w:rsid w:val="005F3950"/>
    <w:rsid w:val="005F4D13"/>
    <w:rsid w:val="006010F0"/>
    <w:rsid w:val="00601B16"/>
    <w:rsid w:val="00602232"/>
    <w:rsid w:val="0060236A"/>
    <w:rsid w:val="00602B0F"/>
    <w:rsid w:val="00603AAD"/>
    <w:rsid w:val="00603CDD"/>
    <w:rsid w:val="0060408D"/>
    <w:rsid w:val="006048D3"/>
    <w:rsid w:val="00605229"/>
    <w:rsid w:val="006072F5"/>
    <w:rsid w:val="00614042"/>
    <w:rsid w:val="00614918"/>
    <w:rsid w:val="0061545E"/>
    <w:rsid w:val="0061716C"/>
    <w:rsid w:val="00617380"/>
    <w:rsid w:val="00621138"/>
    <w:rsid w:val="00621392"/>
    <w:rsid w:val="0062238C"/>
    <w:rsid w:val="006225FE"/>
    <w:rsid w:val="00622ADC"/>
    <w:rsid w:val="006243A1"/>
    <w:rsid w:val="006243EE"/>
    <w:rsid w:val="006265D9"/>
    <w:rsid w:val="0063140B"/>
    <w:rsid w:val="0063264E"/>
    <w:rsid w:val="00632E56"/>
    <w:rsid w:val="00633210"/>
    <w:rsid w:val="006334B3"/>
    <w:rsid w:val="00635CBA"/>
    <w:rsid w:val="006400A3"/>
    <w:rsid w:val="00641374"/>
    <w:rsid w:val="00642991"/>
    <w:rsid w:val="006432F2"/>
    <w:rsid w:val="0064338B"/>
    <w:rsid w:val="006433D0"/>
    <w:rsid w:val="006457E1"/>
    <w:rsid w:val="00646542"/>
    <w:rsid w:val="006504F4"/>
    <w:rsid w:val="00650531"/>
    <w:rsid w:val="00651A84"/>
    <w:rsid w:val="00654BC9"/>
    <w:rsid w:val="006552FD"/>
    <w:rsid w:val="0065746A"/>
    <w:rsid w:val="0066121F"/>
    <w:rsid w:val="00661B4A"/>
    <w:rsid w:val="00662173"/>
    <w:rsid w:val="00663AF3"/>
    <w:rsid w:val="00664E31"/>
    <w:rsid w:val="00666B6C"/>
    <w:rsid w:val="00667A98"/>
    <w:rsid w:val="0067124A"/>
    <w:rsid w:val="00672055"/>
    <w:rsid w:val="006721B9"/>
    <w:rsid w:val="00672E55"/>
    <w:rsid w:val="00673ACC"/>
    <w:rsid w:val="00674483"/>
    <w:rsid w:val="00674C6B"/>
    <w:rsid w:val="00674EF6"/>
    <w:rsid w:val="006752E2"/>
    <w:rsid w:val="006761F5"/>
    <w:rsid w:val="006765E4"/>
    <w:rsid w:val="00680A7D"/>
    <w:rsid w:val="0068184B"/>
    <w:rsid w:val="00682682"/>
    <w:rsid w:val="00682702"/>
    <w:rsid w:val="006855A7"/>
    <w:rsid w:val="006858C3"/>
    <w:rsid w:val="00685F70"/>
    <w:rsid w:val="00687143"/>
    <w:rsid w:val="00687F08"/>
    <w:rsid w:val="00692368"/>
    <w:rsid w:val="00693427"/>
    <w:rsid w:val="00694FFA"/>
    <w:rsid w:val="006975EB"/>
    <w:rsid w:val="006A0311"/>
    <w:rsid w:val="006A07AC"/>
    <w:rsid w:val="006A0ABC"/>
    <w:rsid w:val="006A2EBC"/>
    <w:rsid w:val="006A461B"/>
    <w:rsid w:val="006A5EA0"/>
    <w:rsid w:val="006A5FDA"/>
    <w:rsid w:val="006A67C7"/>
    <w:rsid w:val="006A783B"/>
    <w:rsid w:val="006A7B33"/>
    <w:rsid w:val="006B12AD"/>
    <w:rsid w:val="006B32BF"/>
    <w:rsid w:val="006B3DF0"/>
    <w:rsid w:val="006B4E13"/>
    <w:rsid w:val="006B6273"/>
    <w:rsid w:val="006B7483"/>
    <w:rsid w:val="006B75DD"/>
    <w:rsid w:val="006C2DC2"/>
    <w:rsid w:val="006C318F"/>
    <w:rsid w:val="006C46E4"/>
    <w:rsid w:val="006C508D"/>
    <w:rsid w:val="006C67E0"/>
    <w:rsid w:val="006C6F15"/>
    <w:rsid w:val="006C7ABA"/>
    <w:rsid w:val="006D0CC7"/>
    <w:rsid w:val="006D0D60"/>
    <w:rsid w:val="006D1122"/>
    <w:rsid w:val="006D3C00"/>
    <w:rsid w:val="006D4B45"/>
    <w:rsid w:val="006D4FE2"/>
    <w:rsid w:val="006D5946"/>
    <w:rsid w:val="006D6E00"/>
    <w:rsid w:val="006E0766"/>
    <w:rsid w:val="006E22D9"/>
    <w:rsid w:val="006E2F24"/>
    <w:rsid w:val="006E3003"/>
    <w:rsid w:val="006E3675"/>
    <w:rsid w:val="006E3B64"/>
    <w:rsid w:val="006E3C8C"/>
    <w:rsid w:val="006E4A7F"/>
    <w:rsid w:val="006F0B25"/>
    <w:rsid w:val="006F116A"/>
    <w:rsid w:val="006F159A"/>
    <w:rsid w:val="006F2FA8"/>
    <w:rsid w:val="006F2FC0"/>
    <w:rsid w:val="006F3C41"/>
    <w:rsid w:val="006F55D4"/>
    <w:rsid w:val="006F5861"/>
    <w:rsid w:val="006F7810"/>
    <w:rsid w:val="006F7872"/>
    <w:rsid w:val="0070155B"/>
    <w:rsid w:val="00702E8E"/>
    <w:rsid w:val="00703111"/>
    <w:rsid w:val="00703970"/>
    <w:rsid w:val="00704CEA"/>
    <w:rsid w:val="00704DF6"/>
    <w:rsid w:val="00704E1E"/>
    <w:rsid w:val="0070651C"/>
    <w:rsid w:val="00706A0D"/>
    <w:rsid w:val="00711888"/>
    <w:rsid w:val="007118A4"/>
    <w:rsid w:val="007127B6"/>
    <w:rsid w:val="007132A3"/>
    <w:rsid w:val="00714A12"/>
    <w:rsid w:val="00714D75"/>
    <w:rsid w:val="00716421"/>
    <w:rsid w:val="0071652E"/>
    <w:rsid w:val="0071679C"/>
    <w:rsid w:val="00716C76"/>
    <w:rsid w:val="00717771"/>
    <w:rsid w:val="00717AFE"/>
    <w:rsid w:val="0072028A"/>
    <w:rsid w:val="007226D8"/>
    <w:rsid w:val="00722A9D"/>
    <w:rsid w:val="00724EFB"/>
    <w:rsid w:val="00725387"/>
    <w:rsid w:val="00725D63"/>
    <w:rsid w:val="007265C6"/>
    <w:rsid w:val="007325BC"/>
    <w:rsid w:val="00733E6C"/>
    <w:rsid w:val="00736440"/>
    <w:rsid w:val="00736E8A"/>
    <w:rsid w:val="0074065C"/>
    <w:rsid w:val="00741451"/>
    <w:rsid w:val="007419C3"/>
    <w:rsid w:val="00742D30"/>
    <w:rsid w:val="007467A7"/>
    <w:rsid w:val="007469DD"/>
    <w:rsid w:val="00746B84"/>
    <w:rsid w:val="0074741B"/>
    <w:rsid w:val="0074759E"/>
    <w:rsid w:val="007478EA"/>
    <w:rsid w:val="007508AB"/>
    <w:rsid w:val="00750928"/>
    <w:rsid w:val="007525E6"/>
    <w:rsid w:val="0075415C"/>
    <w:rsid w:val="007547E0"/>
    <w:rsid w:val="007561FC"/>
    <w:rsid w:val="0076040E"/>
    <w:rsid w:val="0076109F"/>
    <w:rsid w:val="00763502"/>
    <w:rsid w:val="00764224"/>
    <w:rsid w:val="00765DA3"/>
    <w:rsid w:val="0077165C"/>
    <w:rsid w:val="007733C5"/>
    <w:rsid w:val="0077637E"/>
    <w:rsid w:val="00776413"/>
    <w:rsid w:val="007778A7"/>
    <w:rsid w:val="00781812"/>
    <w:rsid w:val="00783DC4"/>
    <w:rsid w:val="0078416F"/>
    <w:rsid w:val="00784A07"/>
    <w:rsid w:val="00784EEF"/>
    <w:rsid w:val="00785387"/>
    <w:rsid w:val="0078752D"/>
    <w:rsid w:val="00790E21"/>
    <w:rsid w:val="007913AB"/>
    <w:rsid w:val="007914F7"/>
    <w:rsid w:val="0079291F"/>
    <w:rsid w:val="00792DBD"/>
    <w:rsid w:val="00794478"/>
    <w:rsid w:val="00797161"/>
    <w:rsid w:val="007979FC"/>
    <w:rsid w:val="00797F38"/>
    <w:rsid w:val="007A54A2"/>
    <w:rsid w:val="007A5F32"/>
    <w:rsid w:val="007A7680"/>
    <w:rsid w:val="007A7B30"/>
    <w:rsid w:val="007A7EC0"/>
    <w:rsid w:val="007B0B83"/>
    <w:rsid w:val="007B108D"/>
    <w:rsid w:val="007B1368"/>
    <w:rsid w:val="007B1625"/>
    <w:rsid w:val="007B2431"/>
    <w:rsid w:val="007B35EB"/>
    <w:rsid w:val="007B3732"/>
    <w:rsid w:val="007B6071"/>
    <w:rsid w:val="007B706E"/>
    <w:rsid w:val="007B71EB"/>
    <w:rsid w:val="007C0018"/>
    <w:rsid w:val="007C0C91"/>
    <w:rsid w:val="007C1414"/>
    <w:rsid w:val="007C1E6D"/>
    <w:rsid w:val="007C6205"/>
    <w:rsid w:val="007C686A"/>
    <w:rsid w:val="007C728E"/>
    <w:rsid w:val="007C79CC"/>
    <w:rsid w:val="007D03AE"/>
    <w:rsid w:val="007D211D"/>
    <w:rsid w:val="007D2C53"/>
    <w:rsid w:val="007D351D"/>
    <w:rsid w:val="007D3D60"/>
    <w:rsid w:val="007D3FF5"/>
    <w:rsid w:val="007D4C25"/>
    <w:rsid w:val="007E0058"/>
    <w:rsid w:val="007E0ABC"/>
    <w:rsid w:val="007E18F2"/>
    <w:rsid w:val="007E1980"/>
    <w:rsid w:val="007E24DE"/>
    <w:rsid w:val="007E28A5"/>
    <w:rsid w:val="007E3785"/>
    <w:rsid w:val="007E4B76"/>
    <w:rsid w:val="007E5BD5"/>
    <w:rsid w:val="007E5EA8"/>
    <w:rsid w:val="007F0CF1"/>
    <w:rsid w:val="007F12A5"/>
    <w:rsid w:val="007F223B"/>
    <w:rsid w:val="007F3368"/>
    <w:rsid w:val="007F4150"/>
    <w:rsid w:val="007F4B0C"/>
    <w:rsid w:val="007F4CF1"/>
    <w:rsid w:val="007F5A69"/>
    <w:rsid w:val="007F758D"/>
    <w:rsid w:val="007F75F9"/>
    <w:rsid w:val="007F7D52"/>
    <w:rsid w:val="0080218E"/>
    <w:rsid w:val="008051FE"/>
    <w:rsid w:val="0080654C"/>
    <w:rsid w:val="008071C6"/>
    <w:rsid w:val="008077FF"/>
    <w:rsid w:val="008079FA"/>
    <w:rsid w:val="0081010C"/>
    <w:rsid w:val="008108B3"/>
    <w:rsid w:val="00812AAA"/>
    <w:rsid w:val="00813137"/>
    <w:rsid w:val="00813C95"/>
    <w:rsid w:val="00813D32"/>
    <w:rsid w:val="00814ED1"/>
    <w:rsid w:val="0081581E"/>
    <w:rsid w:val="0081670D"/>
    <w:rsid w:val="00817A00"/>
    <w:rsid w:val="00821231"/>
    <w:rsid w:val="00821D30"/>
    <w:rsid w:val="00822BD4"/>
    <w:rsid w:val="00823EE0"/>
    <w:rsid w:val="00823F3D"/>
    <w:rsid w:val="00827AC3"/>
    <w:rsid w:val="00827C57"/>
    <w:rsid w:val="008317FE"/>
    <w:rsid w:val="008350F2"/>
    <w:rsid w:val="00835DB3"/>
    <w:rsid w:val="0083617B"/>
    <w:rsid w:val="00836F32"/>
    <w:rsid w:val="008371BD"/>
    <w:rsid w:val="008408CD"/>
    <w:rsid w:val="00841DAE"/>
    <w:rsid w:val="0084326C"/>
    <w:rsid w:val="00843304"/>
    <w:rsid w:val="00844C40"/>
    <w:rsid w:val="0084794F"/>
    <w:rsid w:val="008504A8"/>
    <w:rsid w:val="0085075C"/>
    <w:rsid w:val="00850C3D"/>
    <w:rsid w:val="00851FDE"/>
    <w:rsid w:val="0085282E"/>
    <w:rsid w:val="008539E5"/>
    <w:rsid w:val="00854788"/>
    <w:rsid w:val="00854EF8"/>
    <w:rsid w:val="00857106"/>
    <w:rsid w:val="00861364"/>
    <w:rsid w:val="00861F15"/>
    <w:rsid w:val="00862F57"/>
    <w:rsid w:val="0086391C"/>
    <w:rsid w:val="0086584E"/>
    <w:rsid w:val="0086758E"/>
    <w:rsid w:val="00870534"/>
    <w:rsid w:val="00870581"/>
    <w:rsid w:val="00870A5E"/>
    <w:rsid w:val="00870BED"/>
    <w:rsid w:val="0087198C"/>
    <w:rsid w:val="00872C1F"/>
    <w:rsid w:val="00873138"/>
    <w:rsid w:val="008738DF"/>
    <w:rsid w:val="00873B42"/>
    <w:rsid w:val="00875A19"/>
    <w:rsid w:val="008760C1"/>
    <w:rsid w:val="00877219"/>
    <w:rsid w:val="008808B8"/>
    <w:rsid w:val="0088165A"/>
    <w:rsid w:val="00883A9A"/>
    <w:rsid w:val="00883F6B"/>
    <w:rsid w:val="008856D8"/>
    <w:rsid w:val="00885B24"/>
    <w:rsid w:val="008863BF"/>
    <w:rsid w:val="008863CA"/>
    <w:rsid w:val="00886660"/>
    <w:rsid w:val="0088772E"/>
    <w:rsid w:val="0089082D"/>
    <w:rsid w:val="00892E82"/>
    <w:rsid w:val="00896A30"/>
    <w:rsid w:val="008970FF"/>
    <w:rsid w:val="008A0665"/>
    <w:rsid w:val="008A3D7D"/>
    <w:rsid w:val="008A4C10"/>
    <w:rsid w:val="008A54F8"/>
    <w:rsid w:val="008A5FC2"/>
    <w:rsid w:val="008A62D6"/>
    <w:rsid w:val="008A6AC0"/>
    <w:rsid w:val="008A6B89"/>
    <w:rsid w:val="008B1844"/>
    <w:rsid w:val="008B29AC"/>
    <w:rsid w:val="008B40DD"/>
    <w:rsid w:val="008B4608"/>
    <w:rsid w:val="008B6B3C"/>
    <w:rsid w:val="008B756B"/>
    <w:rsid w:val="008C1B58"/>
    <w:rsid w:val="008C35C7"/>
    <w:rsid w:val="008C39AE"/>
    <w:rsid w:val="008C488C"/>
    <w:rsid w:val="008C4A5B"/>
    <w:rsid w:val="008C559D"/>
    <w:rsid w:val="008C56FD"/>
    <w:rsid w:val="008C590D"/>
    <w:rsid w:val="008C5C7D"/>
    <w:rsid w:val="008C7242"/>
    <w:rsid w:val="008C7E5A"/>
    <w:rsid w:val="008D489F"/>
    <w:rsid w:val="008D49FE"/>
    <w:rsid w:val="008D715C"/>
    <w:rsid w:val="008E031B"/>
    <w:rsid w:val="008E2385"/>
    <w:rsid w:val="008E23B4"/>
    <w:rsid w:val="008E3A02"/>
    <w:rsid w:val="008E7029"/>
    <w:rsid w:val="008E7EF6"/>
    <w:rsid w:val="008F1F98"/>
    <w:rsid w:val="008F43E4"/>
    <w:rsid w:val="008F6758"/>
    <w:rsid w:val="00903D4E"/>
    <w:rsid w:val="009040DD"/>
    <w:rsid w:val="009054DB"/>
    <w:rsid w:val="00905B47"/>
    <w:rsid w:val="009061B6"/>
    <w:rsid w:val="009067A4"/>
    <w:rsid w:val="0090724B"/>
    <w:rsid w:val="00907DD0"/>
    <w:rsid w:val="0091331C"/>
    <w:rsid w:val="0091372D"/>
    <w:rsid w:val="00914F6E"/>
    <w:rsid w:val="009174B8"/>
    <w:rsid w:val="00920646"/>
    <w:rsid w:val="009207F9"/>
    <w:rsid w:val="00920D4F"/>
    <w:rsid w:val="00922084"/>
    <w:rsid w:val="009253E0"/>
    <w:rsid w:val="009267F3"/>
    <w:rsid w:val="00926D2C"/>
    <w:rsid w:val="0092717C"/>
    <w:rsid w:val="009279DE"/>
    <w:rsid w:val="00930116"/>
    <w:rsid w:val="00931343"/>
    <w:rsid w:val="009329C1"/>
    <w:rsid w:val="0093433D"/>
    <w:rsid w:val="00934AFB"/>
    <w:rsid w:val="009414D2"/>
    <w:rsid w:val="0094212C"/>
    <w:rsid w:val="00942916"/>
    <w:rsid w:val="00942CDD"/>
    <w:rsid w:val="009442B4"/>
    <w:rsid w:val="009447F7"/>
    <w:rsid w:val="00945C58"/>
    <w:rsid w:val="00950227"/>
    <w:rsid w:val="009513F9"/>
    <w:rsid w:val="00951E8A"/>
    <w:rsid w:val="0095252F"/>
    <w:rsid w:val="00953181"/>
    <w:rsid w:val="0095429C"/>
    <w:rsid w:val="00954386"/>
    <w:rsid w:val="00954689"/>
    <w:rsid w:val="009557CF"/>
    <w:rsid w:val="00955BB2"/>
    <w:rsid w:val="009574B2"/>
    <w:rsid w:val="009609A0"/>
    <w:rsid w:val="009617C9"/>
    <w:rsid w:val="00961C93"/>
    <w:rsid w:val="00961FB7"/>
    <w:rsid w:val="0096318F"/>
    <w:rsid w:val="00963C27"/>
    <w:rsid w:val="00965071"/>
    <w:rsid w:val="00965157"/>
    <w:rsid w:val="00965324"/>
    <w:rsid w:val="00966337"/>
    <w:rsid w:val="00967657"/>
    <w:rsid w:val="00967DBB"/>
    <w:rsid w:val="0097091E"/>
    <w:rsid w:val="00970D3B"/>
    <w:rsid w:val="00971337"/>
    <w:rsid w:val="00971A35"/>
    <w:rsid w:val="00973BE4"/>
    <w:rsid w:val="00974BE3"/>
    <w:rsid w:val="00975D85"/>
    <w:rsid w:val="009760D3"/>
    <w:rsid w:val="00976701"/>
    <w:rsid w:val="00976C2B"/>
    <w:rsid w:val="00977132"/>
    <w:rsid w:val="00981A4B"/>
    <w:rsid w:val="00982501"/>
    <w:rsid w:val="009825E1"/>
    <w:rsid w:val="00983B9A"/>
    <w:rsid w:val="00985BDC"/>
    <w:rsid w:val="009860C2"/>
    <w:rsid w:val="009877D3"/>
    <w:rsid w:val="00987C2A"/>
    <w:rsid w:val="00990D71"/>
    <w:rsid w:val="00992197"/>
    <w:rsid w:val="0099290C"/>
    <w:rsid w:val="00993352"/>
    <w:rsid w:val="00994E8F"/>
    <w:rsid w:val="009951DC"/>
    <w:rsid w:val="009954FB"/>
    <w:rsid w:val="009959BB"/>
    <w:rsid w:val="00997158"/>
    <w:rsid w:val="00997F2D"/>
    <w:rsid w:val="009A0BBD"/>
    <w:rsid w:val="009A3A7C"/>
    <w:rsid w:val="009A4784"/>
    <w:rsid w:val="009A4D9F"/>
    <w:rsid w:val="009A5AFA"/>
    <w:rsid w:val="009B1659"/>
    <w:rsid w:val="009B28F1"/>
    <w:rsid w:val="009B2ADB"/>
    <w:rsid w:val="009B428E"/>
    <w:rsid w:val="009B603A"/>
    <w:rsid w:val="009B6424"/>
    <w:rsid w:val="009B6B38"/>
    <w:rsid w:val="009B796A"/>
    <w:rsid w:val="009B7FD7"/>
    <w:rsid w:val="009C000B"/>
    <w:rsid w:val="009C1578"/>
    <w:rsid w:val="009C1B1A"/>
    <w:rsid w:val="009C1FBA"/>
    <w:rsid w:val="009C20D9"/>
    <w:rsid w:val="009C282E"/>
    <w:rsid w:val="009C2D0E"/>
    <w:rsid w:val="009C357C"/>
    <w:rsid w:val="009C3DAC"/>
    <w:rsid w:val="009C403A"/>
    <w:rsid w:val="009C42E0"/>
    <w:rsid w:val="009C6530"/>
    <w:rsid w:val="009C6AAA"/>
    <w:rsid w:val="009C6C3F"/>
    <w:rsid w:val="009C7EFD"/>
    <w:rsid w:val="009D0D7F"/>
    <w:rsid w:val="009D13E2"/>
    <w:rsid w:val="009D24DC"/>
    <w:rsid w:val="009D2AA8"/>
    <w:rsid w:val="009D2C06"/>
    <w:rsid w:val="009D4524"/>
    <w:rsid w:val="009D48CE"/>
    <w:rsid w:val="009D5362"/>
    <w:rsid w:val="009D5E84"/>
    <w:rsid w:val="009D6AC3"/>
    <w:rsid w:val="009E1415"/>
    <w:rsid w:val="009E198A"/>
    <w:rsid w:val="009E2218"/>
    <w:rsid w:val="009E285D"/>
    <w:rsid w:val="009E3638"/>
    <w:rsid w:val="009E3A08"/>
    <w:rsid w:val="009E3B46"/>
    <w:rsid w:val="009E3F63"/>
    <w:rsid w:val="009E4763"/>
    <w:rsid w:val="009E4AF2"/>
    <w:rsid w:val="009E5B25"/>
    <w:rsid w:val="009E5D84"/>
    <w:rsid w:val="009E606A"/>
    <w:rsid w:val="009E6116"/>
    <w:rsid w:val="009E684D"/>
    <w:rsid w:val="009E79DF"/>
    <w:rsid w:val="009F0F69"/>
    <w:rsid w:val="009F2B68"/>
    <w:rsid w:val="009F2EF0"/>
    <w:rsid w:val="009F455D"/>
    <w:rsid w:val="009F5C4D"/>
    <w:rsid w:val="009F600D"/>
    <w:rsid w:val="009F68EC"/>
    <w:rsid w:val="009F7E88"/>
    <w:rsid w:val="00A0140F"/>
    <w:rsid w:val="00A02386"/>
    <w:rsid w:val="00A02E43"/>
    <w:rsid w:val="00A0376C"/>
    <w:rsid w:val="00A046F3"/>
    <w:rsid w:val="00A05BAA"/>
    <w:rsid w:val="00A065F9"/>
    <w:rsid w:val="00A07F34"/>
    <w:rsid w:val="00A1319E"/>
    <w:rsid w:val="00A14F0C"/>
    <w:rsid w:val="00A154B0"/>
    <w:rsid w:val="00A159E8"/>
    <w:rsid w:val="00A21214"/>
    <w:rsid w:val="00A22154"/>
    <w:rsid w:val="00A22EA4"/>
    <w:rsid w:val="00A2300A"/>
    <w:rsid w:val="00A238FD"/>
    <w:rsid w:val="00A240D4"/>
    <w:rsid w:val="00A2497D"/>
    <w:rsid w:val="00A24AB5"/>
    <w:rsid w:val="00A259A6"/>
    <w:rsid w:val="00A25C38"/>
    <w:rsid w:val="00A2666A"/>
    <w:rsid w:val="00A26D64"/>
    <w:rsid w:val="00A27109"/>
    <w:rsid w:val="00A31162"/>
    <w:rsid w:val="00A31E2F"/>
    <w:rsid w:val="00A33247"/>
    <w:rsid w:val="00A33C5B"/>
    <w:rsid w:val="00A33CD4"/>
    <w:rsid w:val="00A33F72"/>
    <w:rsid w:val="00A3420E"/>
    <w:rsid w:val="00A3562E"/>
    <w:rsid w:val="00A36BBE"/>
    <w:rsid w:val="00A37188"/>
    <w:rsid w:val="00A371A5"/>
    <w:rsid w:val="00A40F16"/>
    <w:rsid w:val="00A41E5B"/>
    <w:rsid w:val="00A42763"/>
    <w:rsid w:val="00A4307A"/>
    <w:rsid w:val="00A44A80"/>
    <w:rsid w:val="00A44B93"/>
    <w:rsid w:val="00A4603E"/>
    <w:rsid w:val="00A4671B"/>
    <w:rsid w:val="00A46B1C"/>
    <w:rsid w:val="00A46C0D"/>
    <w:rsid w:val="00A473A3"/>
    <w:rsid w:val="00A479F9"/>
    <w:rsid w:val="00A47EBB"/>
    <w:rsid w:val="00A5199F"/>
    <w:rsid w:val="00A51CDD"/>
    <w:rsid w:val="00A5285E"/>
    <w:rsid w:val="00A539CE"/>
    <w:rsid w:val="00A542A4"/>
    <w:rsid w:val="00A55213"/>
    <w:rsid w:val="00A56450"/>
    <w:rsid w:val="00A57683"/>
    <w:rsid w:val="00A6070D"/>
    <w:rsid w:val="00A60C23"/>
    <w:rsid w:val="00A61B3D"/>
    <w:rsid w:val="00A61FBA"/>
    <w:rsid w:val="00A63A0F"/>
    <w:rsid w:val="00A63D1F"/>
    <w:rsid w:val="00A6506E"/>
    <w:rsid w:val="00A65F04"/>
    <w:rsid w:val="00A6730D"/>
    <w:rsid w:val="00A70609"/>
    <w:rsid w:val="00A71069"/>
    <w:rsid w:val="00A71625"/>
    <w:rsid w:val="00A71B9B"/>
    <w:rsid w:val="00A71F04"/>
    <w:rsid w:val="00A722FA"/>
    <w:rsid w:val="00A72821"/>
    <w:rsid w:val="00A72BC2"/>
    <w:rsid w:val="00A731EE"/>
    <w:rsid w:val="00A73255"/>
    <w:rsid w:val="00A74F0D"/>
    <w:rsid w:val="00A751C7"/>
    <w:rsid w:val="00A75DAA"/>
    <w:rsid w:val="00A76399"/>
    <w:rsid w:val="00A80255"/>
    <w:rsid w:val="00A874AC"/>
    <w:rsid w:val="00A87844"/>
    <w:rsid w:val="00A87F3B"/>
    <w:rsid w:val="00A904D2"/>
    <w:rsid w:val="00A91350"/>
    <w:rsid w:val="00A91712"/>
    <w:rsid w:val="00A91BA4"/>
    <w:rsid w:val="00A93A38"/>
    <w:rsid w:val="00A93BE1"/>
    <w:rsid w:val="00A9514F"/>
    <w:rsid w:val="00A96DAB"/>
    <w:rsid w:val="00A97950"/>
    <w:rsid w:val="00A97A28"/>
    <w:rsid w:val="00AA038C"/>
    <w:rsid w:val="00AA0ECB"/>
    <w:rsid w:val="00AA20F6"/>
    <w:rsid w:val="00AA3D04"/>
    <w:rsid w:val="00AA5071"/>
    <w:rsid w:val="00AA614A"/>
    <w:rsid w:val="00AA64F6"/>
    <w:rsid w:val="00AA6543"/>
    <w:rsid w:val="00AA7A09"/>
    <w:rsid w:val="00AA7DCE"/>
    <w:rsid w:val="00AB15A4"/>
    <w:rsid w:val="00AB259A"/>
    <w:rsid w:val="00AB3190"/>
    <w:rsid w:val="00AB3B50"/>
    <w:rsid w:val="00AB3C54"/>
    <w:rsid w:val="00AB4A2B"/>
    <w:rsid w:val="00AB63BB"/>
    <w:rsid w:val="00AB662C"/>
    <w:rsid w:val="00AB6B20"/>
    <w:rsid w:val="00AC02AC"/>
    <w:rsid w:val="00AC05B1"/>
    <w:rsid w:val="00AC1120"/>
    <w:rsid w:val="00AC4580"/>
    <w:rsid w:val="00AC4A20"/>
    <w:rsid w:val="00AC4E1D"/>
    <w:rsid w:val="00AC5623"/>
    <w:rsid w:val="00AC59EC"/>
    <w:rsid w:val="00AC5E35"/>
    <w:rsid w:val="00AD019C"/>
    <w:rsid w:val="00AD1273"/>
    <w:rsid w:val="00AD23FD"/>
    <w:rsid w:val="00AD356C"/>
    <w:rsid w:val="00AD4693"/>
    <w:rsid w:val="00AD6223"/>
    <w:rsid w:val="00AD72DD"/>
    <w:rsid w:val="00AD7745"/>
    <w:rsid w:val="00AE0550"/>
    <w:rsid w:val="00AE11E4"/>
    <w:rsid w:val="00AE24D6"/>
    <w:rsid w:val="00AE2914"/>
    <w:rsid w:val="00AE2E25"/>
    <w:rsid w:val="00AE44AB"/>
    <w:rsid w:val="00AE57AD"/>
    <w:rsid w:val="00AE6131"/>
    <w:rsid w:val="00AE6D15"/>
    <w:rsid w:val="00AE78EE"/>
    <w:rsid w:val="00AF0596"/>
    <w:rsid w:val="00AF217D"/>
    <w:rsid w:val="00AF4C74"/>
    <w:rsid w:val="00AF5CF3"/>
    <w:rsid w:val="00AF6546"/>
    <w:rsid w:val="00AF71C6"/>
    <w:rsid w:val="00AF7D49"/>
    <w:rsid w:val="00B00B0E"/>
    <w:rsid w:val="00B04182"/>
    <w:rsid w:val="00B04938"/>
    <w:rsid w:val="00B0655F"/>
    <w:rsid w:val="00B07AE3"/>
    <w:rsid w:val="00B10FCA"/>
    <w:rsid w:val="00B11430"/>
    <w:rsid w:val="00B1351A"/>
    <w:rsid w:val="00B1502D"/>
    <w:rsid w:val="00B1527C"/>
    <w:rsid w:val="00B16350"/>
    <w:rsid w:val="00B168DD"/>
    <w:rsid w:val="00B22270"/>
    <w:rsid w:val="00B22D85"/>
    <w:rsid w:val="00B265AE"/>
    <w:rsid w:val="00B27555"/>
    <w:rsid w:val="00B3156D"/>
    <w:rsid w:val="00B32EB3"/>
    <w:rsid w:val="00B33725"/>
    <w:rsid w:val="00B344DD"/>
    <w:rsid w:val="00B353EB"/>
    <w:rsid w:val="00B360A0"/>
    <w:rsid w:val="00B37507"/>
    <w:rsid w:val="00B37DC8"/>
    <w:rsid w:val="00B40357"/>
    <w:rsid w:val="00B40790"/>
    <w:rsid w:val="00B41821"/>
    <w:rsid w:val="00B431FF"/>
    <w:rsid w:val="00B439C4"/>
    <w:rsid w:val="00B43A58"/>
    <w:rsid w:val="00B4479C"/>
    <w:rsid w:val="00B4535E"/>
    <w:rsid w:val="00B45C52"/>
    <w:rsid w:val="00B47288"/>
    <w:rsid w:val="00B476E2"/>
    <w:rsid w:val="00B47D83"/>
    <w:rsid w:val="00B47FA4"/>
    <w:rsid w:val="00B51003"/>
    <w:rsid w:val="00B512E8"/>
    <w:rsid w:val="00B52A8C"/>
    <w:rsid w:val="00B53E3D"/>
    <w:rsid w:val="00B560A3"/>
    <w:rsid w:val="00B56194"/>
    <w:rsid w:val="00B60836"/>
    <w:rsid w:val="00B6328E"/>
    <w:rsid w:val="00B636A8"/>
    <w:rsid w:val="00B646E9"/>
    <w:rsid w:val="00B66263"/>
    <w:rsid w:val="00B665C6"/>
    <w:rsid w:val="00B70110"/>
    <w:rsid w:val="00B7117F"/>
    <w:rsid w:val="00B71408"/>
    <w:rsid w:val="00B716EB"/>
    <w:rsid w:val="00B721AF"/>
    <w:rsid w:val="00B739F9"/>
    <w:rsid w:val="00B74273"/>
    <w:rsid w:val="00B76348"/>
    <w:rsid w:val="00B7754C"/>
    <w:rsid w:val="00B77B7F"/>
    <w:rsid w:val="00B802B0"/>
    <w:rsid w:val="00B805AF"/>
    <w:rsid w:val="00B819B3"/>
    <w:rsid w:val="00B81ACB"/>
    <w:rsid w:val="00B82989"/>
    <w:rsid w:val="00B82C27"/>
    <w:rsid w:val="00B82E02"/>
    <w:rsid w:val="00B8401C"/>
    <w:rsid w:val="00B84989"/>
    <w:rsid w:val="00B869EC"/>
    <w:rsid w:val="00B86F18"/>
    <w:rsid w:val="00B87D83"/>
    <w:rsid w:val="00B933D6"/>
    <w:rsid w:val="00B936A7"/>
    <w:rsid w:val="00B9397A"/>
    <w:rsid w:val="00B94DE1"/>
    <w:rsid w:val="00B953B1"/>
    <w:rsid w:val="00B9590E"/>
    <w:rsid w:val="00B9633D"/>
    <w:rsid w:val="00BA154D"/>
    <w:rsid w:val="00BA28CB"/>
    <w:rsid w:val="00BA2BE9"/>
    <w:rsid w:val="00BA2EBE"/>
    <w:rsid w:val="00BA35C0"/>
    <w:rsid w:val="00BA4257"/>
    <w:rsid w:val="00BA4C21"/>
    <w:rsid w:val="00BA5C58"/>
    <w:rsid w:val="00BA6EB6"/>
    <w:rsid w:val="00BA7643"/>
    <w:rsid w:val="00BB0F28"/>
    <w:rsid w:val="00BB1F14"/>
    <w:rsid w:val="00BB20FA"/>
    <w:rsid w:val="00BB3E68"/>
    <w:rsid w:val="00BB458A"/>
    <w:rsid w:val="00BB5934"/>
    <w:rsid w:val="00BB7249"/>
    <w:rsid w:val="00BB732C"/>
    <w:rsid w:val="00BC27CD"/>
    <w:rsid w:val="00BC29DE"/>
    <w:rsid w:val="00BC2AF0"/>
    <w:rsid w:val="00BC4C35"/>
    <w:rsid w:val="00BC52A6"/>
    <w:rsid w:val="00BC52D7"/>
    <w:rsid w:val="00BD00D3"/>
    <w:rsid w:val="00BD0EB2"/>
    <w:rsid w:val="00BD150B"/>
    <w:rsid w:val="00BD1659"/>
    <w:rsid w:val="00BD173A"/>
    <w:rsid w:val="00BD1A76"/>
    <w:rsid w:val="00BD3AA9"/>
    <w:rsid w:val="00BD466B"/>
    <w:rsid w:val="00BD4A18"/>
    <w:rsid w:val="00BD66B9"/>
    <w:rsid w:val="00BD6A36"/>
    <w:rsid w:val="00BD6DB2"/>
    <w:rsid w:val="00BE0808"/>
    <w:rsid w:val="00BE0E3B"/>
    <w:rsid w:val="00BE0F89"/>
    <w:rsid w:val="00BE11CF"/>
    <w:rsid w:val="00BE21AB"/>
    <w:rsid w:val="00BE2AB4"/>
    <w:rsid w:val="00BE3A4D"/>
    <w:rsid w:val="00BE3FA2"/>
    <w:rsid w:val="00BE44AE"/>
    <w:rsid w:val="00BE55CB"/>
    <w:rsid w:val="00BF154D"/>
    <w:rsid w:val="00BF2244"/>
    <w:rsid w:val="00BF423F"/>
    <w:rsid w:val="00BF525E"/>
    <w:rsid w:val="00BF617A"/>
    <w:rsid w:val="00BF6D1A"/>
    <w:rsid w:val="00BF7708"/>
    <w:rsid w:val="00C01B80"/>
    <w:rsid w:val="00C0379D"/>
    <w:rsid w:val="00C03931"/>
    <w:rsid w:val="00C05FE3"/>
    <w:rsid w:val="00C0721E"/>
    <w:rsid w:val="00C1154A"/>
    <w:rsid w:val="00C11E4C"/>
    <w:rsid w:val="00C13A1B"/>
    <w:rsid w:val="00C13DBB"/>
    <w:rsid w:val="00C15CCF"/>
    <w:rsid w:val="00C16C9A"/>
    <w:rsid w:val="00C20332"/>
    <w:rsid w:val="00C2136D"/>
    <w:rsid w:val="00C214EE"/>
    <w:rsid w:val="00C215D4"/>
    <w:rsid w:val="00C2225D"/>
    <w:rsid w:val="00C22B51"/>
    <w:rsid w:val="00C22FF4"/>
    <w:rsid w:val="00C2314B"/>
    <w:rsid w:val="00C238F5"/>
    <w:rsid w:val="00C24971"/>
    <w:rsid w:val="00C26BE5"/>
    <w:rsid w:val="00C26E4D"/>
    <w:rsid w:val="00C27909"/>
    <w:rsid w:val="00C27B03"/>
    <w:rsid w:val="00C30B91"/>
    <w:rsid w:val="00C314E1"/>
    <w:rsid w:val="00C33E6D"/>
    <w:rsid w:val="00C34247"/>
    <w:rsid w:val="00C34355"/>
    <w:rsid w:val="00C34397"/>
    <w:rsid w:val="00C34B82"/>
    <w:rsid w:val="00C35B81"/>
    <w:rsid w:val="00C3683D"/>
    <w:rsid w:val="00C37D87"/>
    <w:rsid w:val="00C408E5"/>
    <w:rsid w:val="00C4095D"/>
    <w:rsid w:val="00C42CE3"/>
    <w:rsid w:val="00C4445F"/>
    <w:rsid w:val="00C45566"/>
    <w:rsid w:val="00C51A3A"/>
    <w:rsid w:val="00C52986"/>
    <w:rsid w:val="00C53257"/>
    <w:rsid w:val="00C55BEB"/>
    <w:rsid w:val="00C601D2"/>
    <w:rsid w:val="00C617D4"/>
    <w:rsid w:val="00C6284D"/>
    <w:rsid w:val="00C642F4"/>
    <w:rsid w:val="00C65BCC"/>
    <w:rsid w:val="00C65EB3"/>
    <w:rsid w:val="00C660E4"/>
    <w:rsid w:val="00C66152"/>
    <w:rsid w:val="00C66265"/>
    <w:rsid w:val="00C666B4"/>
    <w:rsid w:val="00C66970"/>
    <w:rsid w:val="00C7032D"/>
    <w:rsid w:val="00C70BC1"/>
    <w:rsid w:val="00C72098"/>
    <w:rsid w:val="00C72A00"/>
    <w:rsid w:val="00C72C4B"/>
    <w:rsid w:val="00C72FC7"/>
    <w:rsid w:val="00C763FC"/>
    <w:rsid w:val="00C77D22"/>
    <w:rsid w:val="00C77DA4"/>
    <w:rsid w:val="00C80EC8"/>
    <w:rsid w:val="00C8222F"/>
    <w:rsid w:val="00C83AD4"/>
    <w:rsid w:val="00C856CB"/>
    <w:rsid w:val="00C8691C"/>
    <w:rsid w:val="00C87C3E"/>
    <w:rsid w:val="00C9124F"/>
    <w:rsid w:val="00C91C06"/>
    <w:rsid w:val="00C94ADB"/>
    <w:rsid w:val="00C94D04"/>
    <w:rsid w:val="00C954A0"/>
    <w:rsid w:val="00C963EB"/>
    <w:rsid w:val="00C96FE2"/>
    <w:rsid w:val="00CA168A"/>
    <w:rsid w:val="00CA1775"/>
    <w:rsid w:val="00CA351D"/>
    <w:rsid w:val="00CA357E"/>
    <w:rsid w:val="00CA44F9"/>
    <w:rsid w:val="00CA4A69"/>
    <w:rsid w:val="00CA54BF"/>
    <w:rsid w:val="00CA562B"/>
    <w:rsid w:val="00CA6DEB"/>
    <w:rsid w:val="00CA77FB"/>
    <w:rsid w:val="00CA7ED2"/>
    <w:rsid w:val="00CB175E"/>
    <w:rsid w:val="00CB2D67"/>
    <w:rsid w:val="00CB35F3"/>
    <w:rsid w:val="00CB47BF"/>
    <w:rsid w:val="00CB553C"/>
    <w:rsid w:val="00CC1430"/>
    <w:rsid w:val="00CC1F6F"/>
    <w:rsid w:val="00CC2270"/>
    <w:rsid w:val="00CC282B"/>
    <w:rsid w:val="00CC3018"/>
    <w:rsid w:val="00CC3E0C"/>
    <w:rsid w:val="00CC49AA"/>
    <w:rsid w:val="00CC58D3"/>
    <w:rsid w:val="00CC6F64"/>
    <w:rsid w:val="00CC784D"/>
    <w:rsid w:val="00CD3434"/>
    <w:rsid w:val="00CD3464"/>
    <w:rsid w:val="00CD4292"/>
    <w:rsid w:val="00CD4795"/>
    <w:rsid w:val="00CD4B63"/>
    <w:rsid w:val="00CD4C61"/>
    <w:rsid w:val="00CD5AE3"/>
    <w:rsid w:val="00CD67F0"/>
    <w:rsid w:val="00CD6E24"/>
    <w:rsid w:val="00CD79E4"/>
    <w:rsid w:val="00CD7ACD"/>
    <w:rsid w:val="00CE0A65"/>
    <w:rsid w:val="00CE157A"/>
    <w:rsid w:val="00CE2CD5"/>
    <w:rsid w:val="00CE30B8"/>
    <w:rsid w:val="00CE5F2D"/>
    <w:rsid w:val="00CE600A"/>
    <w:rsid w:val="00CE72FF"/>
    <w:rsid w:val="00CE7321"/>
    <w:rsid w:val="00CE7F70"/>
    <w:rsid w:val="00CF0DB8"/>
    <w:rsid w:val="00CF4C4F"/>
    <w:rsid w:val="00CF67EE"/>
    <w:rsid w:val="00D01B3B"/>
    <w:rsid w:val="00D01D69"/>
    <w:rsid w:val="00D0337B"/>
    <w:rsid w:val="00D03DB2"/>
    <w:rsid w:val="00D05CD8"/>
    <w:rsid w:val="00D06C36"/>
    <w:rsid w:val="00D079B2"/>
    <w:rsid w:val="00D10F2A"/>
    <w:rsid w:val="00D114E9"/>
    <w:rsid w:val="00D1242E"/>
    <w:rsid w:val="00D14847"/>
    <w:rsid w:val="00D150AD"/>
    <w:rsid w:val="00D15BDA"/>
    <w:rsid w:val="00D16BBF"/>
    <w:rsid w:val="00D17B87"/>
    <w:rsid w:val="00D213B8"/>
    <w:rsid w:val="00D217EB"/>
    <w:rsid w:val="00D22806"/>
    <w:rsid w:val="00D22FC0"/>
    <w:rsid w:val="00D22FEC"/>
    <w:rsid w:val="00D237F0"/>
    <w:rsid w:val="00D25482"/>
    <w:rsid w:val="00D30C59"/>
    <w:rsid w:val="00D31C09"/>
    <w:rsid w:val="00D3210D"/>
    <w:rsid w:val="00D33197"/>
    <w:rsid w:val="00D34059"/>
    <w:rsid w:val="00D34A4A"/>
    <w:rsid w:val="00D35434"/>
    <w:rsid w:val="00D35540"/>
    <w:rsid w:val="00D36C98"/>
    <w:rsid w:val="00D4034E"/>
    <w:rsid w:val="00D40DF2"/>
    <w:rsid w:val="00D41BBF"/>
    <w:rsid w:val="00D429C6"/>
    <w:rsid w:val="00D46C21"/>
    <w:rsid w:val="00D47748"/>
    <w:rsid w:val="00D51F9A"/>
    <w:rsid w:val="00D52BB8"/>
    <w:rsid w:val="00D54CC3"/>
    <w:rsid w:val="00D56F93"/>
    <w:rsid w:val="00D6041A"/>
    <w:rsid w:val="00D610B0"/>
    <w:rsid w:val="00D612C9"/>
    <w:rsid w:val="00D6152F"/>
    <w:rsid w:val="00D61E80"/>
    <w:rsid w:val="00D633EB"/>
    <w:rsid w:val="00D64854"/>
    <w:rsid w:val="00D6751E"/>
    <w:rsid w:val="00D6793D"/>
    <w:rsid w:val="00D67DBB"/>
    <w:rsid w:val="00D71E89"/>
    <w:rsid w:val="00D72783"/>
    <w:rsid w:val="00D72D02"/>
    <w:rsid w:val="00D7372B"/>
    <w:rsid w:val="00D73DD9"/>
    <w:rsid w:val="00D7424E"/>
    <w:rsid w:val="00D74B4D"/>
    <w:rsid w:val="00D75124"/>
    <w:rsid w:val="00D75814"/>
    <w:rsid w:val="00D75E9E"/>
    <w:rsid w:val="00D7669F"/>
    <w:rsid w:val="00D8055E"/>
    <w:rsid w:val="00D80770"/>
    <w:rsid w:val="00D80816"/>
    <w:rsid w:val="00D82FF7"/>
    <w:rsid w:val="00D83E81"/>
    <w:rsid w:val="00D847FE"/>
    <w:rsid w:val="00D8678A"/>
    <w:rsid w:val="00D868BF"/>
    <w:rsid w:val="00D900D1"/>
    <w:rsid w:val="00D91EDB"/>
    <w:rsid w:val="00D938DB"/>
    <w:rsid w:val="00D93F6A"/>
    <w:rsid w:val="00D964EA"/>
    <w:rsid w:val="00D966D0"/>
    <w:rsid w:val="00DA0C59"/>
    <w:rsid w:val="00DA30B3"/>
    <w:rsid w:val="00DA3991"/>
    <w:rsid w:val="00DA493D"/>
    <w:rsid w:val="00DA52CC"/>
    <w:rsid w:val="00DA569C"/>
    <w:rsid w:val="00DA5879"/>
    <w:rsid w:val="00DA6010"/>
    <w:rsid w:val="00DA7045"/>
    <w:rsid w:val="00DB20BF"/>
    <w:rsid w:val="00DB2412"/>
    <w:rsid w:val="00DB3551"/>
    <w:rsid w:val="00DB49DB"/>
    <w:rsid w:val="00DB4C32"/>
    <w:rsid w:val="00DB54C2"/>
    <w:rsid w:val="00DB667F"/>
    <w:rsid w:val="00DB75EA"/>
    <w:rsid w:val="00DB7E6C"/>
    <w:rsid w:val="00DC0130"/>
    <w:rsid w:val="00DC02C4"/>
    <w:rsid w:val="00DC0607"/>
    <w:rsid w:val="00DC0A86"/>
    <w:rsid w:val="00DC5284"/>
    <w:rsid w:val="00DC5E71"/>
    <w:rsid w:val="00DC7A1E"/>
    <w:rsid w:val="00DD0CDD"/>
    <w:rsid w:val="00DD11B0"/>
    <w:rsid w:val="00DD1A13"/>
    <w:rsid w:val="00DD5A29"/>
    <w:rsid w:val="00DD5D9D"/>
    <w:rsid w:val="00DD7E5D"/>
    <w:rsid w:val="00DE134F"/>
    <w:rsid w:val="00DE1442"/>
    <w:rsid w:val="00DE2B31"/>
    <w:rsid w:val="00DE3340"/>
    <w:rsid w:val="00DE3598"/>
    <w:rsid w:val="00DE35CB"/>
    <w:rsid w:val="00DE5044"/>
    <w:rsid w:val="00DE5D83"/>
    <w:rsid w:val="00DE666B"/>
    <w:rsid w:val="00DE7661"/>
    <w:rsid w:val="00DE7F9D"/>
    <w:rsid w:val="00DF100E"/>
    <w:rsid w:val="00DF122D"/>
    <w:rsid w:val="00DF21E9"/>
    <w:rsid w:val="00DF2DB8"/>
    <w:rsid w:val="00DF3902"/>
    <w:rsid w:val="00DF3F19"/>
    <w:rsid w:val="00DF40DA"/>
    <w:rsid w:val="00DF42AF"/>
    <w:rsid w:val="00DF5F48"/>
    <w:rsid w:val="00DF6DF9"/>
    <w:rsid w:val="00DF7765"/>
    <w:rsid w:val="00E007DC"/>
    <w:rsid w:val="00E00F14"/>
    <w:rsid w:val="00E0396C"/>
    <w:rsid w:val="00E04DFC"/>
    <w:rsid w:val="00E06386"/>
    <w:rsid w:val="00E06870"/>
    <w:rsid w:val="00E118AC"/>
    <w:rsid w:val="00E11A79"/>
    <w:rsid w:val="00E14C6C"/>
    <w:rsid w:val="00E14D3E"/>
    <w:rsid w:val="00E1546F"/>
    <w:rsid w:val="00E1778F"/>
    <w:rsid w:val="00E21382"/>
    <w:rsid w:val="00E22208"/>
    <w:rsid w:val="00E24EB4"/>
    <w:rsid w:val="00E27E55"/>
    <w:rsid w:val="00E320ED"/>
    <w:rsid w:val="00E33917"/>
    <w:rsid w:val="00E33AFB"/>
    <w:rsid w:val="00E34218"/>
    <w:rsid w:val="00E344B1"/>
    <w:rsid w:val="00E36EE0"/>
    <w:rsid w:val="00E377CE"/>
    <w:rsid w:val="00E42D32"/>
    <w:rsid w:val="00E45FEB"/>
    <w:rsid w:val="00E46282"/>
    <w:rsid w:val="00E46C24"/>
    <w:rsid w:val="00E46EC2"/>
    <w:rsid w:val="00E5216E"/>
    <w:rsid w:val="00E52476"/>
    <w:rsid w:val="00E5457F"/>
    <w:rsid w:val="00E55A85"/>
    <w:rsid w:val="00E56750"/>
    <w:rsid w:val="00E57912"/>
    <w:rsid w:val="00E60914"/>
    <w:rsid w:val="00E6432B"/>
    <w:rsid w:val="00E67513"/>
    <w:rsid w:val="00E67AA6"/>
    <w:rsid w:val="00E73798"/>
    <w:rsid w:val="00E7442F"/>
    <w:rsid w:val="00E74826"/>
    <w:rsid w:val="00E75A35"/>
    <w:rsid w:val="00E80040"/>
    <w:rsid w:val="00E813E7"/>
    <w:rsid w:val="00E82344"/>
    <w:rsid w:val="00E82F47"/>
    <w:rsid w:val="00E83EE1"/>
    <w:rsid w:val="00E84C82"/>
    <w:rsid w:val="00E84D64"/>
    <w:rsid w:val="00E852E0"/>
    <w:rsid w:val="00E85339"/>
    <w:rsid w:val="00E8547E"/>
    <w:rsid w:val="00E8571A"/>
    <w:rsid w:val="00E87408"/>
    <w:rsid w:val="00E87BD9"/>
    <w:rsid w:val="00E914C4"/>
    <w:rsid w:val="00E92334"/>
    <w:rsid w:val="00E934F5"/>
    <w:rsid w:val="00E95413"/>
    <w:rsid w:val="00E96961"/>
    <w:rsid w:val="00E97145"/>
    <w:rsid w:val="00E97F16"/>
    <w:rsid w:val="00EA03A5"/>
    <w:rsid w:val="00EA0DCA"/>
    <w:rsid w:val="00EA195E"/>
    <w:rsid w:val="00EA3AEE"/>
    <w:rsid w:val="00EA579D"/>
    <w:rsid w:val="00EA6284"/>
    <w:rsid w:val="00EA64DC"/>
    <w:rsid w:val="00EA70D6"/>
    <w:rsid w:val="00EA72EC"/>
    <w:rsid w:val="00EA7B2C"/>
    <w:rsid w:val="00EB1045"/>
    <w:rsid w:val="00EB11CB"/>
    <w:rsid w:val="00EB275A"/>
    <w:rsid w:val="00EB2AD8"/>
    <w:rsid w:val="00EB4324"/>
    <w:rsid w:val="00EB5A8D"/>
    <w:rsid w:val="00EB6D01"/>
    <w:rsid w:val="00EB786A"/>
    <w:rsid w:val="00EC0871"/>
    <w:rsid w:val="00EC1578"/>
    <w:rsid w:val="00EC1A45"/>
    <w:rsid w:val="00EC1C72"/>
    <w:rsid w:val="00EC2E7D"/>
    <w:rsid w:val="00EC3CC9"/>
    <w:rsid w:val="00EC3DFA"/>
    <w:rsid w:val="00EC680A"/>
    <w:rsid w:val="00EC77F8"/>
    <w:rsid w:val="00EC78F4"/>
    <w:rsid w:val="00ED1190"/>
    <w:rsid w:val="00ED22F5"/>
    <w:rsid w:val="00ED3884"/>
    <w:rsid w:val="00ED4825"/>
    <w:rsid w:val="00ED4FAE"/>
    <w:rsid w:val="00ED6CCA"/>
    <w:rsid w:val="00EE1299"/>
    <w:rsid w:val="00EE1FFB"/>
    <w:rsid w:val="00EE2311"/>
    <w:rsid w:val="00EE23AA"/>
    <w:rsid w:val="00EE2639"/>
    <w:rsid w:val="00EE2BED"/>
    <w:rsid w:val="00EE31E6"/>
    <w:rsid w:val="00EE374B"/>
    <w:rsid w:val="00EE4DBA"/>
    <w:rsid w:val="00EE6D3F"/>
    <w:rsid w:val="00EE6F67"/>
    <w:rsid w:val="00EE78BF"/>
    <w:rsid w:val="00EF1612"/>
    <w:rsid w:val="00EF2187"/>
    <w:rsid w:val="00EF61FF"/>
    <w:rsid w:val="00EF7220"/>
    <w:rsid w:val="00EF78FF"/>
    <w:rsid w:val="00EF7E89"/>
    <w:rsid w:val="00F039FB"/>
    <w:rsid w:val="00F04C09"/>
    <w:rsid w:val="00F05D25"/>
    <w:rsid w:val="00F05F7D"/>
    <w:rsid w:val="00F06BCF"/>
    <w:rsid w:val="00F075D1"/>
    <w:rsid w:val="00F11139"/>
    <w:rsid w:val="00F11296"/>
    <w:rsid w:val="00F11BB5"/>
    <w:rsid w:val="00F122E2"/>
    <w:rsid w:val="00F13830"/>
    <w:rsid w:val="00F1417B"/>
    <w:rsid w:val="00F14911"/>
    <w:rsid w:val="00F14963"/>
    <w:rsid w:val="00F15DA5"/>
    <w:rsid w:val="00F17F07"/>
    <w:rsid w:val="00F2047A"/>
    <w:rsid w:val="00F205C4"/>
    <w:rsid w:val="00F217FF"/>
    <w:rsid w:val="00F2255B"/>
    <w:rsid w:val="00F22F83"/>
    <w:rsid w:val="00F236C3"/>
    <w:rsid w:val="00F23812"/>
    <w:rsid w:val="00F26639"/>
    <w:rsid w:val="00F300BE"/>
    <w:rsid w:val="00F311D6"/>
    <w:rsid w:val="00F31697"/>
    <w:rsid w:val="00F31E06"/>
    <w:rsid w:val="00F32989"/>
    <w:rsid w:val="00F32DA5"/>
    <w:rsid w:val="00F34959"/>
    <w:rsid w:val="00F34B99"/>
    <w:rsid w:val="00F3641B"/>
    <w:rsid w:val="00F40008"/>
    <w:rsid w:val="00F43594"/>
    <w:rsid w:val="00F4425B"/>
    <w:rsid w:val="00F470A3"/>
    <w:rsid w:val="00F47C6D"/>
    <w:rsid w:val="00F50075"/>
    <w:rsid w:val="00F51E47"/>
    <w:rsid w:val="00F52602"/>
    <w:rsid w:val="00F52DAB"/>
    <w:rsid w:val="00F52FF5"/>
    <w:rsid w:val="00F53072"/>
    <w:rsid w:val="00F543F0"/>
    <w:rsid w:val="00F6175A"/>
    <w:rsid w:val="00F71A6A"/>
    <w:rsid w:val="00F72220"/>
    <w:rsid w:val="00F72534"/>
    <w:rsid w:val="00F7341C"/>
    <w:rsid w:val="00F77877"/>
    <w:rsid w:val="00F80367"/>
    <w:rsid w:val="00F8106B"/>
    <w:rsid w:val="00F81D29"/>
    <w:rsid w:val="00F827E2"/>
    <w:rsid w:val="00F83ED5"/>
    <w:rsid w:val="00F85B1F"/>
    <w:rsid w:val="00F8664B"/>
    <w:rsid w:val="00F86ABA"/>
    <w:rsid w:val="00F87117"/>
    <w:rsid w:val="00F87F7D"/>
    <w:rsid w:val="00F91C4D"/>
    <w:rsid w:val="00F92771"/>
    <w:rsid w:val="00F92FD9"/>
    <w:rsid w:val="00F94BFD"/>
    <w:rsid w:val="00F9525C"/>
    <w:rsid w:val="00F973FD"/>
    <w:rsid w:val="00FA44D0"/>
    <w:rsid w:val="00FA5385"/>
    <w:rsid w:val="00FA603B"/>
    <w:rsid w:val="00FA6684"/>
    <w:rsid w:val="00FA731E"/>
    <w:rsid w:val="00FB05C3"/>
    <w:rsid w:val="00FB2B38"/>
    <w:rsid w:val="00FB2ED2"/>
    <w:rsid w:val="00FB3BF3"/>
    <w:rsid w:val="00FB6656"/>
    <w:rsid w:val="00FC0BD9"/>
    <w:rsid w:val="00FC1CCE"/>
    <w:rsid w:val="00FC23E1"/>
    <w:rsid w:val="00FC3AC5"/>
    <w:rsid w:val="00FC41B8"/>
    <w:rsid w:val="00FC4BCF"/>
    <w:rsid w:val="00FC5983"/>
    <w:rsid w:val="00FC60AC"/>
    <w:rsid w:val="00FC6358"/>
    <w:rsid w:val="00FC68B7"/>
    <w:rsid w:val="00FC7F52"/>
    <w:rsid w:val="00FD0123"/>
    <w:rsid w:val="00FD320D"/>
    <w:rsid w:val="00FD356E"/>
    <w:rsid w:val="00FD36EE"/>
    <w:rsid w:val="00FD3C97"/>
    <w:rsid w:val="00FD4D67"/>
    <w:rsid w:val="00FD548C"/>
    <w:rsid w:val="00FD76BE"/>
    <w:rsid w:val="00FD7A2E"/>
    <w:rsid w:val="00FE0151"/>
    <w:rsid w:val="00FE1900"/>
    <w:rsid w:val="00FE2331"/>
    <w:rsid w:val="00FE23DE"/>
    <w:rsid w:val="00FE2F68"/>
    <w:rsid w:val="00FE3797"/>
    <w:rsid w:val="00FE3A08"/>
    <w:rsid w:val="00FE517E"/>
    <w:rsid w:val="00FF0CE1"/>
    <w:rsid w:val="00FF0CE2"/>
    <w:rsid w:val="00FF15CC"/>
    <w:rsid w:val="00FF166D"/>
    <w:rsid w:val="00FF1CBB"/>
    <w:rsid w:val="00FF1F9C"/>
    <w:rsid w:val="00FF49A5"/>
    <w:rsid w:val="00FF6868"/>
    <w:rsid w:val="018B718A"/>
    <w:rsid w:val="01927D66"/>
    <w:rsid w:val="01B22FF0"/>
    <w:rsid w:val="02057360"/>
    <w:rsid w:val="02194A13"/>
    <w:rsid w:val="02626557"/>
    <w:rsid w:val="02DA1673"/>
    <w:rsid w:val="036A76D3"/>
    <w:rsid w:val="03962305"/>
    <w:rsid w:val="03F9277D"/>
    <w:rsid w:val="042E630D"/>
    <w:rsid w:val="047459CF"/>
    <w:rsid w:val="04A037AB"/>
    <w:rsid w:val="04B769D7"/>
    <w:rsid w:val="04D4494D"/>
    <w:rsid w:val="0537491E"/>
    <w:rsid w:val="057B5C57"/>
    <w:rsid w:val="05904C71"/>
    <w:rsid w:val="05F23A3F"/>
    <w:rsid w:val="066162C0"/>
    <w:rsid w:val="06EB3D51"/>
    <w:rsid w:val="06F3448F"/>
    <w:rsid w:val="071B7D16"/>
    <w:rsid w:val="07352AE7"/>
    <w:rsid w:val="07504EC1"/>
    <w:rsid w:val="07634114"/>
    <w:rsid w:val="07D4164E"/>
    <w:rsid w:val="083245C7"/>
    <w:rsid w:val="086452DB"/>
    <w:rsid w:val="089C18DA"/>
    <w:rsid w:val="08D5292B"/>
    <w:rsid w:val="094B2BCC"/>
    <w:rsid w:val="09D01CF6"/>
    <w:rsid w:val="0AC4273A"/>
    <w:rsid w:val="0AE4604C"/>
    <w:rsid w:val="0B243148"/>
    <w:rsid w:val="0B3D2AD9"/>
    <w:rsid w:val="0B536728"/>
    <w:rsid w:val="0BA13D85"/>
    <w:rsid w:val="0C122745"/>
    <w:rsid w:val="0C157BD6"/>
    <w:rsid w:val="0C1A784C"/>
    <w:rsid w:val="0C5E2F49"/>
    <w:rsid w:val="0C8D427D"/>
    <w:rsid w:val="0CD342B6"/>
    <w:rsid w:val="0DA9093F"/>
    <w:rsid w:val="0E290DBD"/>
    <w:rsid w:val="0E4D4CDF"/>
    <w:rsid w:val="0E8A2A67"/>
    <w:rsid w:val="0E9B6AB7"/>
    <w:rsid w:val="0F8B22AC"/>
    <w:rsid w:val="0FED6A04"/>
    <w:rsid w:val="102A64CE"/>
    <w:rsid w:val="10F07A96"/>
    <w:rsid w:val="1132553A"/>
    <w:rsid w:val="116D7696"/>
    <w:rsid w:val="119500A0"/>
    <w:rsid w:val="11D95B65"/>
    <w:rsid w:val="11EF2883"/>
    <w:rsid w:val="11F36B75"/>
    <w:rsid w:val="12512550"/>
    <w:rsid w:val="12CD45BC"/>
    <w:rsid w:val="12CF6372"/>
    <w:rsid w:val="13F54E26"/>
    <w:rsid w:val="148D41AD"/>
    <w:rsid w:val="14CF174C"/>
    <w:rsid w:val="14E47D71"/>
    <w:rsid w:val="150A274F"/>
    <w:rsid w:val="153C0D7C"/>
    <w:rsid w:val="15483208"/>
    <w:rsid w:val="159B1B8F"/>
    <w:rsid w:val="15F97F17"/>
    <w:rsid w:val="162735CA"/>
    <w:rsid w:val="16C70262"/>
    <w:rsid w:val="16F84A8E"/>
    <w:rsid w:val="172D440A"/>
    <w:rsid w:val="173B6C95"/>
    <w:rsid w:val="178D48F7"/>
    <w:rsid w:val="189E24DB"/>
    <w:rsid w:val="18E11E1D"/>
    <w:rsid w:val="196E7664"/>
    <w:rsid w:val="198F7ACB"/>
    <w:rsid w:val="19C51C3C"/>
    <w:rsid w:val="19D4303C"/>
    <w:rsid w:val="19F04F27"/>
    <w:rsid w:val="1A2067E1"/>
    <w:rsid w:val="1A6A4539"/>
    <w:rsid w:val="1BCD48DA"/>
    <w:rsid w:val="1C056A2C"/>
    <w:rsid w:val="1C994529"/>
    <w:rsid w:val="1CFF27DF"/>
    <w:rsid w:val="1D0410D7"/>
    <w:rsid w:val="1D2F4832"/>
    <w:rsid w:val="1D697189"/>
    <w:rsid w:val="1DEE7BCD"/>
    <w:rsid w:val="1E2B3732"/>
    <w:rsid w:val="1E3C2C0B"/>
    <w:rsid w:val="1E3F091B"/>
    <w:rsid w:val="1EB06519"/>
    <w:rsid w:val="1EF32FF2"/>
    <w:rsid w:val="1F3A7C37"/>
    <w:rsid w:val="20022AF0"/>
    <w:rsid w:val="202A7BF8"/>
    <w:rsid w:val="20482782"/>
    <w:rsid w:val="20DF41FE"/>
    <w:rsid w:val="211B39F2"/>
    <w:rsid w:val="212E7BC9"/>
    <w:rsid w:val="2144119B"/>
    <w:rsid w:val="21DC5877"/>
    <w:rsid w:val="22061A13"/>
    <w:rsid w:val="222800C3"/>
    <w:rsid w:val="23290648"/>
    <w:rsid w:val="237D604C"/>
    <w:rsid w:val="238B7253"/>
    <w:rsid w:val="23BF6121"/>
    <w:rsid w:val="23FE39BD"/>
    <w:rsid w:val="24211C07"/>
    <w:rsid w:val="245F4818"/>
    <w:rsid w:val="24786C81"/>
    <w:rsid w:val="24816262"/>
    <w:rsid w:val="24B248A8"/>
    <w:rsid w:val="24D757B6"/>
    <w:rsid w:val="256D62F8"/>
    <w:rsid w:val="25FE6F4D"/>
    <w:rsid w:val="262F241A"/>
    <w:rsid w:val="266933D7"/>
    <w:rsid w:val="267E4497"/>
    <w:rsid w:val="268E3C87"/>
    <w:rsid w:val="26E94DE4"/>
    <w:rsid w:val="27AD772F"/>
    <w:rsid w:val="27D551EF"/>
    <w:rsid w:val="27FC37CC"/>
    <w:rsid w:val="281D5833"/>
    <w:rsid w:val="287348EA"/>
    <w:rsid w:val="288B02DF"/>
    <w:rsid w:val="2935321D"/>
    <w:rsid w:val="2A070FB7"/>
    <w:rsid w:val="2CE00993"/>
    <w:rsid w:val="2CF27B34"/>
    <w:rsid w:val="2D830B39"/>
    <w:rsid w:val="2D99286E"/>
    <w:rsid w:val="2E257B1B"/>
    <w:rsid w:val="2E4B20C4"/>
    <w:rsid w:val="2E4E23FE"/>
    <w:rsid w:val="2E677AE4"/>
    <w:rsid w:val="2E6B483B"/>
    <w:rsid w:val="2E8E6ECC"/>
    <w:rsid w:val="2EF75DDF"/>
    <w:rsid w:val="2F335142"/>
    <w:rsid w:val="2F4131BE"/>
    <w:rsid w:val="308552DA"/>
    <w:rsid w:val="30C469DC"/>
    <w:rsid w:val="30CA5BDB"/>
    <w:rsid w:val="30E86825"/>
    <w:rsid w:val="318178A1"/>
    <w:rsid w:val="31E26BEB"/>
    <w:rsid w:val="32F64948"/>
    <w:rsid w:val="335F00B6"/>
    <w:rsid w:val="33C346B6"/>
    <w:rsid w:val="33C34EFC"/>
    <w:rsid w:val="34427A06"/>
    <w:rsid w:val="34CC177B"/>
    <w:rsid w:val="35A57670"/>
    <w:rsid w:val="35AB7232"/>
    <w:rsid w:val="35D61655"/>
    <w:rsid w:val="362A1092"/>
    <w:rsid w:val="36461B5D"/>
    <w:rsid w:val="36AD56C5"/>
    <w:rsid w:val="36DC5408"/>
    <w:rsid w:val="37797999"/>
    <w:rsid w:val="37905325"/>
    <w:rsid w:val="37C7000E"/>
    <w:rsid w:val="387D1AEA"/>
    <w:rsid w:val="38822CFA"/>
    <w:rsid w:val="38E402E7"/>
    <w:rsid w:val="38E9737D"/>
    <w:rsid w:val="38F850C2"/>
    <w:rsid w:val="390D500F"/>
    <w:rsid w:val="393B42B2"/>
    <w:rsid w:val="39DA644F"/>
    <w:rsid w:val="39E73A42"/>
    <w:rsid w:val="3A186B09"/>
    <w:rsid w:val="3A5D3A88"/>
    <w:rsid w:val="3A6F11F3"/>
    <w:rsid w:val="3AAF1923"/>
    <w:rsid w:val="3AC950C9"/>
    <w:rsid w:val="3B0C28D2"/>
    <w:rsid w:val="3B3011F7"/>
    <w:rsid w:val="3B47283E"/>
    <w:rsid w:val="3B6561D5"/>
    <w:rsid w:val="3B963D3A"/>
    <w:rsid w:val="3B976570"/>
    <w:rsid w:val="3BA63DA9"/>
    <w:rsid w:val="3CD36411"/>
    <w:rsid w:val="3D4F499E"/>
    <w:rsid w:val="3D8739B6"/>
    <w:rsid w:val="3E500D27"/>
    <w:rsid w:val="3ED96E09"/>
    <w:rsid w:val="3F273070"/>
    <w:rsid w:val="3F575F4A"/>
    <w:rsid w:val="3FF52D9F"/>
    <w:rsid w:val="40624A0E"/>
    <w:rsid w:val="40657ACF"/>
    <w:rsid w:val="41233E23"/>
    <w:rsid w:val="41BF5866"/>
    <w:rsid w:val="41D4737F"/>
    <w:rsid w:val="41F16D17"/>
    <w:rsid w:val="42397461"/>
    <w:rsid w:val="42FB3CA3"/>
    <w:rsid w:val="436A52BA"/>
    <w:rsid w:val="43DB2C4A"/>
    <w:rsid w:val="4476626D"/>
    <w:rsid w:val="44A7686B"/>
    <w:rsid w:val="44B66A11"/>
    <w:rsid w:val="45126EB0"/>
    <w:rsid w:val="4539127E"/>
    <w:rsid w:val="4571647E"/>
    <w:rsid w:val="46037733"/>
    <w:rsid w:val="465D414E"/>
    <w:rsid w:val="46845B8C"/>
    <w:rsid w:val="46FB6942"/>
    <w:rsid w:val="470E0400"/>
    <w:rsid w:val="47303087"/>
    <w:rsid w:val="474B478B"/>
    <w:rsid w:val="47A550C1"/>
    <w:rsid w:val="47D74267"/>
    <w:rsid w:val="48120A86"/>
    <w:rsid w:val="48256D81"/>
    <w:rsid w:val="48895562"/>
    <w:rsid w:val="49187E48"/>
    <w:rsid w:val="496B4C67"/>
    <w:rsid w:val="499A4B7B"/>
    <w:rsid w:val="49D514FA"/>
    <w:rsid w:val="4A742353"/>
    <w:rsid w:val="4AB8769B"/>
    <w:rsid w:val="4ADD58CC"/>
    <w:rsid w:val="4B7342A7"/>
    <w:rsid w:val="4BE6053A"/>
    <w:rsid w:val="4C362B3D"/>
    <w:rsid w:val="4C73309C"/>
    <w:rsid w:val="4C813CAB"/>
    <w:rsid w:val="4CA47D11"/>
    <w:rsid w:val="4CE600FB"/>
    <w:rsid w:val="4CED47CD"/>
    <w:rsid w:val="4CF219AF"/>
    <w:rsid w:val="4D065771"/>
    <w:rsid w:val="4D0B0C3B"/>
    <w:rsid w:val="4D1602E1"/>
    <w:rsid w:val="4D190D53"/>
    <w:rsid w:val="4D430291"/>
    <w:rsid w:val="4DE052E3"/>
    <w:rsid w:val="4DE337D5"/>
    <w:rsid w:val="4E9D0E82"/>
    <w:rsid w:val="4ED400DC"/>
    <w:rsid w:val="4F1D47D7"/>
    <w:rsid w:val="4F6221DE"/>
    <w:rsid w:val="4FAE1D52"/>
    <w:rsid w:val="50BE68C4"/>
    <w:rsid w:val="52047523"/>
    <w:rsid w:val="53B37335"/>
    <w:rsid w:val="53EC3BAC"/>
    <w:rsid w:val="549A6186"/>
    <w:rsid w:val="55281DAF"/>
    <w:rsid w:val="55D66C88"/>
    <w:rsid w:val="566702F9"/>
    <w:rsid w:val="568B0C91"/>
    <w:rsid w:val="56975989"/>
    <w:rsid w:val="56DC7EC7"/>
    <w:rsid w:val="56E768AC"/>
    <w:rsid w:val="570975B4"/>
    <w:rsid w:val="576222A2"/>
    <w:rsid w:val="578F7888"/>
    <w:rsid w:val="57A53DBE"/>
    <w:rsid w:val="583166A5"/>
    <w:rsid w:val="58D05DE7"/>
    <w:rsid w:val="58FA1C02"/>
    <w:rsid w:val="592316E9"/>
    <w:rsid w:val="593E4146"/>
    <w:rsid w:val="59B30690"/>
    <w:rsid w:val="59E0617E"/>
    <w:rsid w:val="59FE7432"/>
    <w:rsid w:val="5A3A490E"/>
    <w:rsid w:val="5A5F7132"/>
    <w:rsid w:val="5A790E13"/>
    <w:rsid w:val="5A9329EF"/>
    <w:rsid w:val="5B076365"/>
    <w:rsid w:val="5BAA161F"/>
    <w:rsid w:val="5BDF3E49"/>
    <w:rsid w:val="5C10118B"/>
    <w:rsid w:val="5C2A169D"/>
    <w:rsid w:val="5CA05EB7"/>
    <w:rsid w:val="5DCD5B82"/>
    <w:rsid w:val="5E420235"/>
    <w:rsid w:val="5E6C7D00"/>
    <w:rsid w:val="5EBE1A6C"/>
    <w:rsid w:val="5EFA28BD"/>
    <w:rsid w:val="5F340E12"/>
    <w:rsid w:val="5F8029B3"/>
    <w:rsid w:val="5FC36A67"/>
    <w:rsid w:val="60116111"/>
    <w:rsid w:val="60B84EF1"/>
    <w:rsid w:val="613B66F7"/>
    <w:rsid w:val="61846885"/>
    <w:rsid w:val="61E37639"/>
    <w:rsid w:val="61F4714D"/>
    <w:rsid w:val="6263198D"/>
    <w:rsid w:val="6298186E"/>
    <w:rsid w:val="62D559AF"/>
    <w:rsid w:val="634E0BFD"/>
    <w:rsid w:val="639C78BD"/>
    <w:rsid w:val="643653B8"/>
    <w:rsid w:val="645D37AF"/>
    <w:rsid w:val="646832B1"/>
    <w:rsid w:val="648B05D1"/>
    <w:rsid w:val="64CD1E40"/>
    <w:rsid w:val="64CE3BD1"/>
    <w:rsid w:val="65144950"/>
    <w:rsid w:val="65422D4F"/>
    <w:rsid w:val="656C6332"/>
    <w:rsid w:val="6615691A"/>
    <w:rsid w:val="66551508"/>
    <w:rsid w:val="66E11A66"/>
    <w:rsid w:val="67770352"/>
    <w:rsid w:val="67AE2497"/>
    <w:rsid w:val="67C41CBB"/>
    <w:rsid w:val="67F86871"/>
    <w:rsid w:val="684318AA"/>
    <w:rsid w:val="69DD7EFB"/>
    <w:rsid w:val="6A3E7097"/>
    <w:rsid w:val="6A516F28"/>
    <w:rsid w:val="6A802926"/>
    <w:rsid w:val="6A88563D"/>
    <w:rsid w:val="6AB9187F"/>
    <w:rsid w:val="6B3D24B0"/>
    <w:rsid w:val="6B965E5B"/>
    <w:rsid w:val="6C2E10A7"/>
    <w:rsid w:val="6C9A5295"/>
    <w:rsid w:val="6CDE34BF"/>
    <w:rsid w:val="6D572222"/>
    <w:rsid w:val="6D6F471B"/>
    <w:rsid w:val="6E1F0538"/>
    <w:rsid w:val="6E5B2E86"/>
    <w:rsid w:val="6EB54BA2"/>
    <w:rsid w:val="6EBB4295"/>
    <w:rsid w:val="7045716D"/>
    <w:rsid w:val="704C5591"/>
    <w:rsid w:val="70B10931"/>
    <w:rsid w:val="718E48CE"/>
    <w:rsid w:val="71D76797"/>
    <w:rsid w:val="71EA249C"/>
    <w:rsid w:val="72576487"/>
    <w:rsid w:val="72996EE2"/>
    <w:rsid w:val="72DC06A1"/>
    <w:rsid w:val="73272C99"/>
    <w:rsid w:val="732857F3"/>
    <w:rsid w:val="73590446"/>
    <w:rsid w:val="736D46B7"/>
    <w:rsid w:val="73D47B1B"/>
    <w:rsid w:val="73E34BA4"/>
    <w:rsid w:val="73E57241"/>
    <w:rsid w:val="73E76BB2"/>
    <w:rsid w:val="7402551C"/>
    <w:rsid w:val="740B247D"/>
    <w:rsid w:val="743D4B16"/>
    <w:rsid w:val="7474164F"/>
    <w:rsid w:val="75605DEF"/>
    <w:rsid w:val="7561536D"/>
    <w:rsid w:val="75E65458"/>
    <w:rsid w:val="75F705EE"/>
    <w:rsid w:val="76276979"/>
    <w:rsid w:val="76A74C81"/>
    <w:rsid w:val="76AC5DF9"/>
    <w:rsid w:val="7758241F"/>
    <w:rsid w:val="784813C5"/>
    <w:rsid w:val="78775C06"/>
    <w:rsid w:val="78782D79"/>
    <w:rsid w:val="790F4618"/>
    <w:rsid w:val="791A798E"/>
    <w:rsid w:val="798006BC"/>
    <w:rsid w:val="79C25BC5"/>
    <w:rsid w:val="79DF5F38"/>
    <w:rsid w:val="7A820D04"/>
    <w:rsid w:val="7A86111E"/>
    <w:rsid w:val="7A8E3E47"/>
    <w:rsid w:val="7B223D6B"/>
    <w:rsid w:val="7C1728A9"/>
    <w:rsid w:val="7C260CFC"/>
    <w:rsid w:val="7CD76B5A"/>
    <w:rsid w:val="7CD90CCA"/>
    <w:rsid w:val="7D3905FD"/>
    <w:rsid w:val="7D453845"/>
    <w:rsid w:val="7D754A9C"/>
    <w:rsid w:val="7DDF2F52"/>
    <w:rsid w:val="7DE44C08"/>
    <w:rsid w:val="7E082795"/>
    <w:rsid w:val="7E520CE5"/>
    <w:rsid w:val="7F3C264E"/>
    <w:rsid w:val="7F637BB3"/>
    <w:rsid w:val="7F8768A0"/>
    <w:rsid w:val="7F8A5242"/>
    <w:rsid w:val="7FA412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6"/>
    <w:basedOn w:val="1"/>
    <w:next w:val="1"/>
    <w:link w:val="161"/>
    <w:autoRedefine/>
    <w:semiHidden/>
    <w:unhideWhenUsed/>
    <w:qFormat/>
    <w:uiPriority w:val="0"/>
    <w:pPr>
      <w:keepNext/>
      <w:keepLines/>
      <w:spacing w:before="240" w:after="64" w:line="320" w:lineRule="auto"/>
      <w:outlineLvl w:val="5"/>
    </w:pPr>
    <w:rPr>
      <w:rFonts w:ascii="等线 Light" w:hAnsi="等线 Light" w:eastAsia="等线 Light"/>
      <w:b/>
      <w:bCs/>
      <w:sz w:val="24"/>
    </w:rPr>
  </w:style>
  <w:style w:type="character" w:default="1" w:styleId="39">
    <w:name w:val="Default Paragraph Font"/>
    <w:autoRedefine/>
    <w:semiHidden/>
    <w:unhideWhenUsed/>
    <w:qFormat/>
    <w:uiPriority w:val="1"/>
  </w:style>
  <w:style w:type="table" w:default="1" w:styleId="37">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4">
    <w:name w:val="toc 7"/>
    <w:basedOn w:val="1"/>
    <w:next w:val="1"/>
    <w:autoRedefine/>
    <w:semiHidden/>
    <w:qFormat/>
    <w:uiPriority w:val="0"/>
    <w:pPr>
      <w:tabs>
        <w:tab w:val="right" w:leader="dot" w:pos="9242"/>
      </w:tabs>
      <w:ind w:firstLine="6259" w:firstLineChars="500"/>
      <w:jc w:val="left"/>
    </w:pPr>
    <w:rPr>
      <w:rFonts w:ascii="宋体"/>
      <w:szCs w:val="21"/>
    </w:rPr>
  </w:style>
  <w:style w:type="paragraph" w:styleId="5">
    <w:name w:val="index 8"/>
    <w:basedOn w:val="1"/>
    <w:next w:val="1"/>
    <w:autoRedefine/>
    <w:qFormat/>
    <w:uiPriority w:val="0"/>
    <w:pPr>
      <w:ind w:left="1680" w:hanging="210"/>
      <w:jc w:val="left"/>
    </w:pPr>
    <w:rPr>
      <w:rFonts w:ascii="Calibri" w:hAnsi="Calibri"/>
      <w:sz w:val="20"/>
      <w:szCs w:val="20"/>
    </w:rPr>
  </w:style>
  <w:style w:type="paragraph" w:styleId="6">
    <w:name w:val="caption"/>
    <w:basedOn w:val="1"/>
    <w:next w:val="1"/>
    <w:autoRedefine/>
    <w:qFormat/>
    <w:uiPriority w:val="0"/>
    <w:pPr>
      <w:spacing w:before="152" w:after="160"/>
    </w:pPr>
    <w:rPr>
      <w:rFonts w:ascii="Arial" w:hAnsi="Arial" w:eastAsia="黑体" w:cs="Arial"/>
      <w:sz w:val="20"/>
      <w:szCs w:val="20"/>
    </w:rPr>
  </w:style>
  <w:style w:type="paragraph" w:styleId="7">
    <w:name w:val="index 5"/>
    <w:basedOn w:val="1"/>
    <w:next w:val="1"/>
    <w:autoRedefine/>
    <w:qFormat/>
    <w:uiPriority w:val="0"/>
    <w:pPr>
      <w:ind w:left="1050" w:hanging="210"/>
      <w:jc w:val="left"/>
    </w:pPr>
    <w:rPr>
      <w:rFonts w:ascii="Calibri" w:hAnsi="Calibri"/>
      <w:sz w:val="20"/>
      <w:szCs w:val="20"/>
    </w:rPr>
  </w:style>
  <w:style w:type="paragraph" w:styleId="8">
    <w:name w:val="Document Map"/>
    <w:basedOn w:val="1"/>
    <w:autoRedefine/>
    <w:semiHidden/>
    <w:qFormat/>
    <w:uiPriority w:val="0"/>
    <w:pPr>
      <w:shd w:val="clear" w:color="auto" w:fill="000080"/>
    </w:pPr>
  </w:style>
  <w:style w:type="paragraph" w:styleId="9">
    <w:name w:val="annotation text"/>
    <w:basedOn w:val="1"/>
    <w:autoRedefine/>
    <w:qFormat/>
    <w:uiPriority w:val="0"/>
    <w:pPr>
      <w:jc w:val="left"/>
    </w:pPr>
  </w:style>
  <w:style w:type="paragraph" w:styleId="10">
    <w:name w:val="index 6"/>
    <w:basedOn w:val="1"/>
    <w:next w:val="1"/>
    <w:autoRedefine/>
    <w:qFormat/>
    <w:uiPriority w:val="0"/>
    <w:pPr>
      <w:ind w:left="1260" w:hanging="210"/>
      <w:jc w:val="left"/>
    </w:pPr>
    <w:rPr>
      <w:rFonts w:ascii="Calibri" w:hAnsi="Calibri"/>
      <w:sz w:val="20"/>
      <w:szCs w:val="20"/>
    </w:rPr>
  </w:style>
  <w:style w:type="paragraph" w:styleId="11">
    <w:name w:val="Body Text"/>
    <w:basedOn w:val="1"/>
    <w:autoRedefine/>
    <w:semiHidden/>
    <w:unhideWhenUsed/>
    <w:qFormat/>
    <w:uiPriority w:val="99"/>
    <w:pPr>
      <w:spacing w:after="120"/>
    </w:pPr>
  </w:style>
  <w:style w:type="paragraph" w:styleId="12">
    <w:name w:val="index 4"/>
    <w:basedOn w:val="1"/>
    <w:next w:val="1"/>
    <w:autoRedefine/>
    <w:qFormat/>
    <w:uiPriority w:val="0"/>
    <w:pPr>
      <w:ind w:left="840" w:hanging="210"/>
      <w:jc w:val="left"/>
    </w:pPr>
    <w:rPr>
      <w:rFonts w:ascii="Calibri" w:hAnsi="Calibri"/>
      <w:sz w:val="20"/>
      <w:szCs w:val="20"/>
    </w:rPr>
  </w:style>
  <w:style w:type="paragraph" w:styleId="13">
    <w:name w:val="toc 5"/>
    <w:basedOn w:val="1"/>
    <w:next w:val="1"/>
    <w:autoRedefine/>
    <w:semiHidden/>
    <w:qFormat/>
    <w:uiPriority w:val="0"/>
    <w:pPr>
      <w:tabs>
        <w:tab w:val="right" w:leader="dot" w:pos="9242"/>
      </w:tabs>
      <w:ind w:firstLine="3755" w:firstLineChars="300"/>
      <w:jc w:val="left"/>
    </w:pPr>
    <w:rPr>
      <w:rFonts w:ascii="宋体"/>
      <w:szCs w:val="21"/>
    </w:rPr>
  </w:style>
  <w:style w:type="paragraph" w:styleId="14">
    <w:name w:val="toc 3"/>
    <w:basedOn w:val="1"/>
    <w:next w:val="1"/>
    <w:autoRedefine/>
    <w:qFormat/>
    <w:uiPriority w:val="39"/>
    <w:pPr>
      <w:tabs>
        <w:tab w:val="right" w:leader="dot" w:pos="9242"/>
      </w:tabs>
      <w:ind w:firstLine="1252" w:firstLineChars="100"/>
      <w:jc w:val="left"/>
    </w:pPr>
    <w:rPr>
      <w:rFonts w:ascii="宋体"/>
      <w:szCs w:val="21"/>
    </w:rPr>
  </w:style>
  <w:style w:type="paragraph" w:styleId="15">
    <w:name w:val="toc 8"/>
    <w:basedOn w:val="1"/>
    <w:next w:val="1"/>
    <w:autoRedefine/>
    <w:semiHidden/>
    <w:qFormat/>
    <w:uiPriority w:val="0"/>
    <w:pPr>
      <w:tabs>
        <w:tab w:val="right" w:leader="dot" w:pos="9242"/>
      </w:tabs>
      <w:ind w:firstLine="7511" w:firstLineChars="600"/>
      <w:jc w:val="left"/>
    </w:pPr>
    <w:rPr>
      <w:rFonts w:ascii="宋体"/>
      <w:szCs w:val="21"/>
    </w:rPr>
  </w:style>
  <w:style w:type="paragraph" w:styleId="16">
    <w:name w:val="index 3"/>
    <w:basedOn w:val="1"/>
    <w:next w:val="1"/>
    <w:autoRedefine/>
    <w:qFormat/>
    <w:uiPriority w:val="0"/>
    <w:pPr>
      <w:ind w:left="630" w:hanging="210"/>
      <w:jc w:val="left"/>
    </w:pPr>
    <w:rPr>
      <w:rFonts w:ascii="Calibri" w:hAnsi="Calibri"/>
      <w:sz w:val="20"/>
      <w:szCs w:val="20"/>
    </w:rPr>
  </w:style>
  <w:style w:type="paragraph" w:styleId="17">
    <w:name w:val="Body Text Indent 2"/>
    <w:basedOn w:val="1"/>
    <w:link w:val="164"/>
    <w:autoRedefine/>
    <w:unhideWhenUsed/>
    <w:qFormat/>
    <w:uiPriority w:val="99"/>
    <w:pPr>
      <w:spacing w:after="120" w:line="480" w:lineRule="auto"/>
      <w:ind w:left="420" w:leftChars="200"/>
      <w:jc w:val="left"/>
    </w:pPr>
    <w:rPr>
      <w:rFonts w:eastAsia="PMingLiU-ExtB"/>
      <w:sz w:val="24"/>
      <w:lang w:eastAsia="zh-TW"/>
    </w:rPr>
  </w:style>
  <w:style w:type="paragraph" w:styleId="18">
    <w:name w:val="endnote text"/>
    <w:basedOn w:val="1"/>
    <w:autoRedefine/>
    <w:semiHidden/>
    <w:qFormat/>
    <w:uiPriority w:val="0"/>
    <w:pPr>
      <w:snapToGrid w:val="0"/>
      <w:jc w:val="left"/>
    </w:pPr>
  </w:style>
  <w:style w:type="paragraph" w:styleId="19">
    <w:name w:val="Balloon Text"/>
    <w:basedOn w:val="1"/>
    <w:autoRedefine/>
    <w:semiHidden/>
    <w:qFormat/>
    <w:uiPriority w:val="0"/>
    <w:rPr>
      <w:sz w:val="18"/>
      <w:szCs w:val="18"/>
    </w:rPr>
  </w:style>
  <w:style w:type="paragraph" w:styleId="20">
    <w:name w:val="footer"/>
    <w:basedOn w:val="1"/>
    <w:link w:val="162"/>
    <w:autoRedefine/>
    <w:qFormat/>
    <w:uiPriority w:val="99"/>
    <w:pPr>
      <w:snapToGrid w:val="0"/>
      <w:ind w:right="210" w:rightChars="100"/>
      <w:jc w:val="right"/>
    </w:pPr>
    <w:rPr>
      <w:sz w:val="18"/>
      <w:szCs w:val="18"/>
    </w:rPr>
  </w:style>
  <w:style w:type="paragraph" w:styleId="21">
    <w:name w:val="header"/>
    <w:basedOn w:val="1"/>
    <w:link w:val="59"/>
    <w:autoRedefine/>
    <w:qFormat/>
    <w:uiPriority w:val="99"/>
    <w:pPr>
      <w:snapToGrid w:val="0"/>
      <w:jc w:val="left"/>
    </w:pPr>
    <w:rPr>
      <w:sz w:val="18"/>
      <w:szCs w:val="18"/>
    </w:rPr>
  </w:style>
  <w:style w:type="paragraph" w:styleId="22">
    <w:name w:val="toc 1"/>
    <w:basedOn w:val="1"/>
    <w:next w:val="1"/>
    <w:autoRedefine/>
    <w:qFormat/>
    <w:uiPriority w:val="39"/>
    <w:pPr>
      <w:tabs>
        <w:tab w:val="right" w:leader="dot" w:pos="9242"/>
      </w:tabs>
      <w:spacing w:beforeLines="25" w:afterLines="25"/>
      <w:jc w:val="left"/>
    </w:pPr>
    <w:rPr>
      <w:rFonts w:ascii="宋体"/>
      <w:szCs w:val="21"/>
    </w:rPr>
  </w:style>
  <w:style w:type="paragraph" w:styleId="23">
    <w:name w:val="toc 4"/>
    <w:basedOn w:val="1"/>
    <w:next w:val="1"/>
    <w:autoRedefine/>
    <w:semiHidden/>
    <w:qFormat/>
    <w:uiPriority w:val="0"/>
    <w:pPr>
      <w:tabs>
        <w:tab w:val="right" w:leader="dot" w:pos="9242"/>
      </w:tabs>
      <w:ind w:firstLine="2504" w:firstLineChars="200"/>
      <w:jc w:val="left"/>
    </w:pPr>
    <w:rPr>
      <w:rFonts w:ascii="宋体"/>
      <w:szCs w:val="21"/>
    </w:rPr>
  </w:style>
  <w:style w:type="paragraph" w:styleId="24">
    <w:name w:val="index heading"/>
    <w:basedOn w:val="1"/>
    <w:next w:val="25"/>
    <w:autoRedefine/>
    <w:qFormat/>
    <w:uiPriority w:val="0"/>
    <w:pPr>
      <w:spacing w:before="120" w:after="120"/>
      <w:jc w:val="center"/>
    </w:pPr>
    <w:rPr>
      <w:rFonts w:ascii="Calibri" w:hAnsi="Calibri"/>
      <w:b/>
      <w:bCs/>
      <w:iCs/>
      <w:szCs w:val="20"/>
    </w:rPr>
  </w:style>
  <w:style w:type="paragraph" w:styleId="25">
    <w:name w:val="index 1"/>
    <w:basedOn w:val="1"/>
    <w:next w:val="26"/>
    <w:autoRedefine/>
    <w:qFormat/>
    <w:uiPriority w:val="0"/>
    <w:pPr>
      <w:tabs>
        <w:tab w:val="right" w:leader="dot" w:pos="9299"/>
      </w:tabs>
      <w:jc w:val="left"/>
    </w:pPr>
    <w:rPr>
      <w:rFonts w:ascii="宋体"/>
      <w:szCs w:val="21"/>
    </w:rPr>
  </w:style>
  <w:style w:type="paragraph" w:customStyle="1" w:styleId="26">
    <w:name w:val="段"/>
    <w:link w:val="64"/>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7">
    <w:name w:val="footnote text"/>
    <w:basedOn w:val="1"/>
    <w:autoRedefine/>
    <w:qFormat/>
    <w:uiPriority w:val="0"/>
    <w:pPr>
      <w:numPr>
        <w:ilvl w:val="0"/>
        <w:numId w:val="1"/>
      </w:numPr>
      <w:snapToGrid w:val="0"/>
      <w:jc w:val="left"/>
    </w:pPr>
    <w:rPr>
      <w:rFonts w:ascii="宋体"/>
      <w:sz w:val="18"/>
      <w:szCs w:val="18"/>
    </w:rPr>
  </w:style>
  <w:style w:type="paragraph" w:styleId="28">
    <w:name w:val="toc 6"/>
    <w:basedOn w:val="1"/>
    <w:next w:val="1"/>
    <w:autoRedefine/>
    <w:semiHidden/>
    <w:qFormat/>
    <w:uiPriority w:val="0"/>
    <w:pPr>
      <w:tabs>
        <w:tab w:val="right" w:leader="dot" w:pos="9242"/>
      </w:tabs>
      <w:ind w:firstLine="5007" w:firstLineChars="400"/>
      <w:jc w:val="left"/>
    </w:pPr>
    <w:rPr>
      <w:rFonts w:ascii="宋体"/>
      <w:szCs w:val="21"/>
    </w:rPr>
  </w:style>
  <w:style w:type="paragraph" w:styleId="29">
    <w:name w:val="index 7"/>
    <w:basedOn w:val="1"/>
    <w:next w:val="1"/>
    <w:autoRedefine/>
    <w:qFormat/>
    <w:uiPriority w:val="0"/>
    <w:pPr>
      <w:ind w:left="1470" w:hanging="210"/>
      <w:jc w:val="left"/>
    </w:pPr>
    <w:rPr>
      <w:rFonts w:ascii="Calibri" w:hAnsi="Calibri"/>
      <w:sz w:val="20"/>
      <w:szCs w:val="20"/>
    </w:rPr>
  </w:style>
  <w:style w:type="paragraph" w:styleId="30">
    <w:name w:val="index 9"/>
    <w:basedOn w:val="1"/>
    <w:next w:val="1"/>
    <w:autoRedefine/>
    <w:qFormat/>
    <w:uiPriority w:val="0"/>
    <w:pPr>
      <w:ind w:left="1890" w:hanging="210"/>
      <w:jc w:val="left"/>
    </w:pPr>
    <w:rPr>
      <w:rFonts w:ascii="Calibri" w:hAnsi="Calibri"/>
      <w:sz w:val="20"/>
      <w:szCs w:val="20"/>
    </w:rPr>
  </w:style>
  <w:style w:type="paragraph" w:styleId="31">
    <w:name w:val="toc 2"/>
    <w:basedOn w:val="1"/>
    <w:next w:val="1"/>
    <w:autoRedefine/>
    <w:qFormat/>
    <w:uiPriority w:val="39"/>
    <w:pPr>
      <w:tabs>
        <w:tab w:val="right" w:leader="dot" w:pos="9242"/>
      </w:tabs>
    </w:pPr>
    <w:rPr>
      <w:rFonts w:ascii="宋体"/>
      <w:szCs w:val="21"/>
    </w:rPr>
  </w:style>
  <w:style w:type="paragraph" w:styleId="32">
    <w:name w:val="toc 9"/>
    <w:basedOn w:val="1"/>
    <w:next w:val="1"/>
    <w:autoRedefine/>
    <w:semiHidden/>
    <w:qFormat/>
    <w:uiPriority w:val="0"/>
    <w:pPr>
      <w:ind w:left="1470"/>
      <w:jc w:val="left"/>
    </w:pPr>
    <w:rPr>
      <w:sz w:val="20"/>
      <w:szCs w:val="20"/>
    </w:rPr>
  </w:style>
  <w:style w:type="paragraph" w:styleId="33">
    <w:name w:val="Normal (Web)"/>
    <w:basedOn w:val="1"/>
    <w:autoRedefine/>
    <w:qFormat/>
    <w:uiPriority w:val="0"/>
    <w:pPr>
      <w:spacing w:beforeAutospacing="1" w:afterAutospacing="1"/>
      <w:jc w:val="left"/>
    </w:pPr>
    <w:rPr>
      <w:kern w:val="0"/>
      <w:sz w:val="24"/>
    </w:rPr>
  </w:style>
  <w:style w:type="paragraph" w:styleId="34">
    <w:name w:val="index 2"/>
    <w:basedOn w:val="1"/>
    <w:next w:val="1"/>
    <w:autoRedefine/>
    <w:qFormat/>
    <w:uiPriority w:val="0"/>
    <w:pPr>
      <w:ind w:left="420" w:hanging="210"/>
      <w:jc w:val="left"/>
    </w:pPr>
    <w:rPr>
      <w:rFonts w:ascii="Calibri" w:hAnsi="Calibri"/>
      <w:sz w:val="20"/>
      <w:szCs w:val="20"/>
    </w:rPr>
  </w:style>
  <w:style w:type="paragraph" w:styleId="35">
    <w:name w:val="annotation subject"/>
    <w:basedOn w:val="9"/>
    <w:next w:val="9"/>
    <w:autoRedefine/>
    <w:semiHidden/>
    <w:qFormat/>
    <w:uiPriority w:val="0"/>
    <w:rPr>
      <w:b/>
      <w:bCs/>
    </w:rPr>
  </w:style>
  <w:style w:type="paragraph" w:styleId="36">
    <w:name w:val="Body Text First Indent"/>
    <w:basedOn w:val="11"/>
    <w:autoRedefine/>
    <w:qFormat/>
    <w:uiPriority w:val="0"/>
    <w:pPr>
      <w:ind w:firstLine="420" w:firstLineChars="100"/>
    </w:pPr>
  </w:style>
  <w:style w:type="table" w:styleId="38">
    <w:name w:val="Table Grid"/>
    <w:basedOn w:val="37"/>
    <w:autoRedefine/>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0">
    <w:name w:val="Strong"/>
    <w:basedOn w:val="39"/>
    <w:autoRedefine/>
    <w:qFormat/>
    <w:uiPriority w:val="0"/>
    <w:rPr>
      <w:b/>
    </w:rPr>
  </w:style>
  <w:style w:type="character" w:styleId="41">
    <w:name w:val="endnote reference"/>
    <w:autoRedefine/>
    <w:semiHidden/>
    <w:qFormat/>
    <w:uiPriority w:val="0"/>
    <w:rPr>
      <w:vertAlign w:val="superscript"/>
    </w:rPr>
  </w:style>
  <w:style w:type="character" w:styleId="42">
    <w:name w:val="page number"/>
    <w:autoRedefine/>
    <w:qFormat/>
    <w:uiPriority w:val="0"/>
    <w:rPr>
      <w:rFonts w:ascii="Times New Roman" w:hAnsi="Times New Roman" w:eastAsia="宋体"/>
      <w:sz w:val="18"/>
    </w:rPr>
  </w:style>
  <w:style w:type="character" w:styleId="43">
    <w:name w:val="FollowedHyperlink"/>
    <w:autoRedefine/>
    <w:qFormat/>
    <w:uiPriority w:val="0"/>
    <w:rPr>
      <w:color w:val="800080"/>
      <w:u w:val="single"/>
    </w:rPr>
  </w:style>
  <w:style w:type="character" w:styleId="44">
    <w:name w:val="Emphasis"/>
    <w:autoRedefine/>
    <w:qFormat/>
    <w:uiPriority w:val="20"/>
    <w:rPr>
      <w:i/>
      <w:iCs/>
    </w:rPr>
  </w:style>
  <w:style w:type="character" w:styleId="45">
    <w:name w:val="Hyperlink"/>
    <w:autoRedefine/>
    <w:qFormat/>
    <w:uiPriority w:val="99"/>
    <w:rPr>
      <w:color w:val="0000FF"/>
      <w:spacing w:val="0"/>
      <w:w w:val="100"/>
      <w:szCs w:val="21"/>
      <w:u w:val="single"/>
    </w:rPr>
  </w:style>
  <w:style w:type="character" w:styleId="46">
    <w:name w:val="annotation reference"/>
    <w:autoRedefine/>
    <w:semiHidden/>
    <w:qFormat/>
    <w:uiPriority w:val="0"/>
    <w:rPr>
      <w:sz w:val="21"/>
      <w:szCs w:val="21"/>
    </w:rPr>
  </w:style>
  <w:style w:type="character" w:styleId="47">
    <w:name w:val="footnote reference"/>
    <w:autoRedefine/>
    <w:semiHidden/>
    <w:qFormat/>
    <w:uiPriority w:val="0"/>
    <w:rPr>
      <w:vertAlign w:val="superscript"/>
    </w:rPr>
  </w:style>
  <w:style w:type="paragraph" w:styleId="48">
    <w:name w:val="List Paragraph"/>
    <w:basedOn w:val="1"/>
    <w:autoRedefine/>
    <w:qFormat/>
    <w:uiPriority w:val="34"/>
    <w:pPr>
      <w:ind w:firstLine="420" w:firstLineChars="200"/>
    </w:pPr>
  </w:style>
  <w:style w:type="character" w:styleId="49">
    <w:name w:val="Placeholder Text"/>
    <w:autoRedefine/>
    <w:semiHidden/>
    <w:qFormat/>
    <w:uiPriority w:val="99"/>
    <w:rPr>
      <w:color w:val="808080"/>
    </w:rPr>
  </w:style>
  <w:style w:type="character" w:customStyle="1" w:styleId="50">
    <w:name w:val="font531"/>
    <w:autoRedefine/>
    <w:qFormat/>
    <w:uiPriority w:val="0"/>
    <w:rPr>
      <w:rFonts w:hint="default" w:ascii="Arial" w:hAnsi="Arial" w:cs="Arial"/>
      <w:color w:val="000000"/>
      <w:sz w:val="24"/>
      <w:szCs w:val="24"/>
      <w:u w:val="none"/>
    </w:rPr>
  </w:style>
  <w:style w:type="character" w:customStyle="1" w:styleId="51">
    <w:name w:val="首示例 Char"/>
    <w:link w:val="52"/>
    <w:autoRedefine/>
    <w:qFormat/>
    <w:uiPriority w:val="0"/>
    <w:rPr>
      <w:rFonts w:ascii="宋体" w:hAnsi="宋体"/>
      <w:kern w:val="2"/>
      <w:sz w:val="18"/>
      <w:szCs w:val="18"/>
      <w:lang w:val="en-US" w:eastAsia="zh-CN" w:bidi="ar-SA"/>
    </w:rPr>
  </w:style>
  <w:style w:type="paragraph" w:customStyle="1" w:styleId="52">
    <w:name w:val="首示例"/>
    <w:next w:val="26"/>
    <w:link w:val="51"/>
    <w:autoRedefine/>
    <w:qFormat/>
    <w:uiPriority w:val="0"/>
    <w:pPr>
      <w:tabs>
        <w:tab w:val="left" w:pos="360"/>
      </w:tabs>
    </w:pPr>
    <w:rPr>
      <w:rFonts w:ascii="宋体" w:hAnsi="宋体" w:eastAsia="宋体" w:cs="Times New Roman"/>
      <w:kern w:val="2"/>
      <w:sz w:val="18"/>
      <w:szCs w:val="18"/>
      <w:lang w:val="en-US" w:eastAsia="zh-CN" w:bidi="ar-SA"/>
    </w:rPr>
  </w:style>
  <w:style w:type="character" w:customStyle="1" w:styleId="53">
    <w:name w:val="font451"/>
    <w:autoRedefine/>
    <w:qFormat/>
    <w:uiPriority w:val="0"/>
    <w:rPr>
      <w:rFonts w:hint="eastAsia" w:ascii="等线" w:hAnsi="等线" w:eastAsia="等线"/>
      <w:color w:val="000000"/>
      <w:sz w:val="22"/>
      <w:szCs w:val="22"/>
      <w:u w:val="none"/>
    </w:rPr>
  </w:style>
  <w:style w:type="character" w:customStyle="1" w:styleId="54">
    <w:name w:val="二级条标题 Char"/>
    <w:link w:val="55"/>
    <w:autoRedefine/>
    <w:qFormat/>
    <w:locked/>
    <w:uiPriority w:val="0"/>
    <w:rPr>
      <w:rFonts w:ascii="黑体" w:eastAsia="黑体"/>
      <w:sz w:val="21"/>
      <w:szCs w:val="21"/>
    </w:rPr>
  </w:style>
  <w:style w:type="paragraph" w:customStyle="1" w:styleId="55">
    <w:name w:val="二级条标题"/>
    <w:basedOn w:val="56"/>
    <w:next w:val="26"/>
    <w:link w:val="54"/>
    <w:autoRedefine/>
    <w:qFormat/>
    <w:uiPriority w:val="0"/>
    <w:pPr>
      <w:numPr>
        <w:ilvl w:val="2"/>
      </w:numPr>
      <w:spacing w:before="50" w:after="50"/>
      <w:ind w:left="1843"/>
      <w:outlineLvl w:val="3"/>
    </w:pPr>
  </w:style>
  <w:style w:type="paragraph" w:customStyle="1" w:styleId="56">
    <w:name w:val="一级条标题"/>
    <w:next w:val="1"/>
    <w:autoRedefine/>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character" w:customStyle="1" w:styleId="57">
    <w:name w:val="三级条标题 Char"/>
    <w:link w:val="58"/>
    <w:autoRedefine/>
    <w:qFormat/>
    <w:uiPriority w:val="0"/>
    <w:rPr>
      <w:rFonts w:ascii="黑体" w:eastAsia="黑体"/>
      <w:sz w:val="21"/>
      <w:szCs w:val="21"/>
    </w:rPr>
  </w:style>
  <w:style w:type="paragraph" w:customStyle="1" w:styleId="58">
    <w:name w:val="三级条标题"/>
    <w:basedOn w:val="55"/>
    <w:next w:val="26"/>
    <w:link w:val="57"/>
    <w:autoRedefine/>
    <w:qFormat/>
    <w:uiPriority w:val="0"/>
    <w:pPr>
      <w:numPr>
        <w:ilvl w:val="3"/>
      </w:numPr>
      <w:outlineLvl w:val="4"/>
    </w:pPr>
  </w:style>
  <w:style w:type="character" w:customStyle="1" w:styleId="59">
    <w:name w:val="页眉 字符"/>
    <w:link w:val="21"/>
    <w:autoRedefine/>
    <w:qFormat/>
    <w:uiPriority w:val="99"/>
    <w:rPr>
      <w:kern w:val="2"/>
      <w:sz w:val="18"/>
      <w:szCs w:val="18"/>
    </w:rPr>
  </w:style>
  <w:style w:type="character" w:customStyle="1" w:styleId="60">
    <w:name w:val="样式1 字符"/>
    <w:link w:val="61"/>
    <w:autoRedefine/>
    <w:qFormat/>
    <w:uiPriority w:val="0"/>
    <w:rPr>
      <w:rFonts w:ascii="Cambria Math" w:hAnsi="Cambria Math"/>
      <w:i/>
      <w:sz w:val="28"/>
      <w:szCs w:val="28"/>
      <w:lang w:val="en-US" w:eastAsia="zh-CN" w:bidi="ar-SA"/>
    </w:rPr>
  </w:style>
  <w:style w:type="paragraph" w:customStyle="1" w:styleId="61">
    <w:name w:val="样式1"/>
    <w:basedOn w:val="62"/>
    <w:link w:val="60"/>
    <w:autoRedefine/>
    <w:qFormat/>
    <w:uiPriority w:val="0"/>
    <w:pPr>
      <w:tabs>
        <w:tab w:val="center" w:pos="4201"/>
        <w:tab w:val="right" w:leader="dot" w:pos="9298"/>
      </w:tabs>
      <w:spacing w:beforeLines="50" w:afterLines="50"/>
      <w:ind w:firstLine="200"/>
    </w:pPr>
    <w:rPr>
      <w:rFonts w:ascii="Cambria Math" w:hAnsi="Cambria Math"/>
      <w:i/>
      <w:sz w:val="28"/>
      <w:szCs w:val="28"/>
    </w:rPr>
  </w:style>
  <w:style w:type="paragraph" w:customStyle="1" w:styleId="62">
    <w:name w:val="附录公式"/>
    <w:basedOn w:val="26"/>
    <w:next w:val="26"/>
    <w:link w:val="63"/>
    <w:autoRedefine/>
    <w:qFormat/>
    <w:uiPriority w:val="0"/>
  </w:style>
  <w:style w:type="character" w:customStyle="1" w:styleId="63">
    <w:name w:val="附录公式 Char"/>
    <w:link w:val="62"/>
    <w:autoRedefine/>
    <w:qFormat/>
    <w:uiPriority w:val="0"/>
    <w:rPr>
      <w:rFonts w:ascii="宋体"/>
      <w:sz w:val="21"/>
      <w:lang w:val="en-US" w:eastAsia="zh-CN" w:bidi="ar-SA"/>
    </w:rPr>
  </w:style>
  <w:style w:type="character" w:customStyle="1" w:styleId="64">
    <w:name w:val="段 Char"/>
    <w:link w:val="26"/>
    <w:autoRedefine/>
    <w:qFormat/>
    <w:uiPriority w:val="0"/>
    <w:rPr>
      <w:rFonts w:ascii="宋体"/>
      <w:sz w:val="21"/>
      <w:lang w:val="en-US" w:eastAsia="zh-CN" w:bidi="ar-SA"/>
    </w:rPr>
  </w:style>
  <w:style w:type="character" w:customStyle="1" w:styleId="65">
    <w:name w:val="font441"/>
    <w:autoRedefine/>
    <w:qFormat/>
    <w:uiPriority w:val="0"/>
    <w:rPr>
      <w:rFonts w:hint="eastAsia" w:ascii="等线" w:hAnsi="等线" w:eastAsia="等线"/>
      <w:color w:val="000000"/>
      <w:sz w:val="24"/>
      <w:szCs w:val="24"/>
      <w:u w:val="none"/>
    </w:rPr>
  </w:style>
  <w:style w:type="character" w:customStyle="1" w:styleId="66">
    <w:name w:val="font541"/>
    <w:autoRedefine/>
    <w:qFormat/>
    <w:uiPriority w:val="0"/>
    <w:rPr>
      <w:rFonts w:hint="default" w:ascii="Arial" w:hAnsi="Arial" w:cs="Arial"/>
      <w:color w:val="000000"/>
      <w:sz w:val="22"/>
      <w:szCs w:val="22"/>
      <w:u w:val="none"/>
    </w:rPr>
  </w:style>
  <w:style w:type="character" w:customStyle="1" w:styleId="67">
    <w:name w:val="发布"/>
    <w:autoRedefine/>
    <w:qFormat/>
    <w:uiPriority w:val="0"/>
    <w:rPr>
      <w:rFonts w:ascii="黑体" w:eastAsia="黑体"/>
      <w:spacing w:val="85"/>
      <w:w w:val="100"/>
      <w:position w:val="3"/>
      <w:sz w:val="28"/>
      <w:szCs w:val="28"/>
    </w:rPr>
  </w:style>
  <w:style w:type="character" w:customStyle="1" w:styleId="68">
    <w:name w:val="apple-style-span"/>
    <w:autoRedefine/>
    <w:qFormat/>
    <w:uiPriority w:val="0"/>
  </w:style>
  <w:style w:type="paragraph" w:customStyle="1" w:styleId="69">
    <w:name w:val="注×："/>
    <w:autoRedefine/>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70">
    <w:name w:val="参考文献"/>
    <w:basedOn w:val="1"/>
    <w:next w:val="26"/>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1">
    <w:name w:val="附录五级无"/>
    <w:basedOn w:val="72"/>
    <w:autoRedefine/>
    <w:qFormat/>
    <w:uiPriority w:val="0"/>
    <w:pPr>
      <w:spacing w:beforeLines="0" w:afterLines="0"/>
    </w:pPr>
    <w:rPr>
      <w:rFonts w:ascii="宋体" w:eastAsia="宋体"/>
      <w:szCs w:val="21"/>
    </w:rPr>
  </w:style>
  <w:style w:type="paragraph" w:customStyle="1" w:styleId="72">
    <w:name w:val="附录五级条标题"/>
    <w:basedOn w:val="73"/>
    <w:next w:val="26"/>
    <w:autoRedefine/>
    <w:qFormat/>
    <w:uiPriority w:val="0"/>
    <w:pPr>
      <w:outlineLvl w:val="6"/>
    </w:pPr>
  </w:style>
  <w:style w:type="paragraph" w:customStyle="1" w:styleId="73">
    <w:name w:val="附录四级条标题"/>
    <w:basedOn w:val="74"/>
    <w:next w:val="26"/>
    <w:autoRedefine/>
    <w:qFormat/>
    <w:uiPriority w:val="0"/>
    <w:pPr>
      <w:outlineLvl w:val="5"/>
    </w:pPr>
  </w:style>
  <w:style w:type="paragraph" w:customStyle="1" w:styleId="74">
    <w:name w:val="附录三级条标题"/>
    <w:basedOn w:val="75"/>
    <w:next w:val="26"/>
    <w:autoRedefine/>
    <w:qFormat/>
    <w:uiPriority w:val="0"/>
    <w:pPr>
      <w:outlineLvl w:val="4"/>
    </w:pPr>
  </w:style>
  <w:style w:type="paragraph" w:customStyle="1" w:styleId="75">
    <w:name w:val="附录二级条标题"/>
    <w:basedOn w:val="1"/>
    <w:next w:val="26"/>
    <w:autoRedefine/>
    <w:qFormat/>
    <w:uiPriority w:val="0"/>
    <w:pPr>
      <w:widowControl/>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76">
    <w:name w:val="附录标题"/>
    <w:basedOn w:val="26"/>
    <w:next w:val="26"/>
    <w:autoRedefine/>
    <w:qFormat/>
    <w:uiPriority w:val="0"/>
    <w:pPr>
      <w:ind w:firstLine="0" w:firstLineChars="0"/>
      <w:jc w:val="center"/>
    </w:pPr>
    <w:rPr>
      <w:rFonts w:ascii="黑体" w:eastAsia="黑体"/>
    </w:rPr>
  </w:style>
  <w:style w:type="paragraph" w:customStyle="1" w:styleId="77">
    <w:name w:val="注：（正文）"/>
    <w:basedOn w:val="78"/>
    <w:next w:val="26"/>
    <w:autoRedefine/>
    <w:qFormat/>
    <w:uiPriority w:val="0"/>
  </w:style>
  <w:style w:type="paragraph" w:customStyle="1" w:styleId="78">
    <w:name w:val="注："/>
    <w:next w:val="26"/>
    <w:autoRedefine/>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79">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0">
    <w:name w:val="附录一级无"/>
    <w:basedOn w:val="81"/>
    <w:autoRedefine/>
    <w:qFormat/>
    <w:uiPriority w:val="0"/>
    <w:pPr>
      <w:spacing w:beforeLines="0" w:afterLines="0"/>
    </w:pPr>
    <w:rPr>
      <w:rFonts w:ascii="宋体" w:eastAsia="宋体"/>
      <w:szCs w:val="21"/>
    </w:rPr>
  </w:style>
  <w:style w:type="paragraph" w:customStyle="1" w:styleId="81">
    <w:name w:val="附录一级条标题"/>
    <w:basedOn w:val="82"/>
    <w:next w:val="26"/>
    <w:autoRedefine/>
    <w:qFormat/>
    <w:uiPriority w:val="0"/>
    <w:pPr>
      <w:numPr>
        <w:ilvl w:val="0"/>
        <w:numId w:val="0"/>
      </w:numPr>
      <w:autoSpaceDN w:val="0"/>
      <w:spacing w:beforeLines="50" w:afterLines="50"/>
      <w:outlineLvl w:val="2"/>
    </w:pPr>
  </w:style>
  <w:style w:type="paragraph" w:customStyle="1" w:styleId="82">
    <w:name w:val="附录章标题"/>
    <w:next w:val="26"/>
    <w:autoRedefine/>
    <w:qFormat/>
    <w:uiPriority w:val="0"/>
    <w:pPr>
      <w:numPr>
        <w:ilvl w:val="1"/>
        <w:numId w:val="3"/>
      </w:numPr>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83">
    <w:name w:val="附录三级无"/>
    <w:basedOn w:val="74"/>
    <w:autoRedefine/>
    <w:qFormat/>
    <w:uiPriority w:val="0"/>
    <w:pPr>
      <w:spacing w:beforeLines="0" w:afterLines="0"/>
    </w:pPr>
    <w:rPr>
      <w:rFonts w:ascii="宋体" w:eastAsia="宋体"/>
      <w:szCs w:val="21"/>
    </w:rPr>
  </w:style>
  <w:style w:type="paragraph" w:customStyle="1" w:styleId="84">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85">
    <w:name w:val="附录数字编号列项（二级）"/>
    <w:autoRedefine/>
    <w:qFormat/>
    <w:uiPriority w:val="0"/>
    <w:pPr>
      <w:numPr>
        <w:ilvl w:val="1"/>
        <w:numId w:val="4"/>
      </w:numPr>
    </w:pPr>
    <w:rPr>
      <w:rFonts w:ascii="宋体" w:hAnsi="Times New Roman" w:eastAsia="宋体" w:cs="Times New Roman"/>
      <w:sz w:val="21"/>
      <w:lang w:val="en-US" w:eastAsia="zh-CN" w:bidi="ar-SA"/>
    </w:rPr>
  </w:style>
  <w:style w:type="paragraph" w:customStyle="1" w:styleId="86">
    <w:name w:val="标准书眉_偶数页"/>
    <w:basedOn w:val="87"/>
    <w:next w:val="1"/>
    <w:autoRedefine/>
    <w:qFormat/>
    <w:uiPriority w:val="0"/>
    <w:pPr>
      <w:tabs>
        <w:tab w:val="center" w:pos="4154"/>
        <w:tab w:val="right" w:pos="8306"/>
      </w:tabs>
      <w:jc w:val="left"/>
    </w:pPr>
  </w:style>
  <w:style w:type="paragraph" w:customStyle="1" w:styleId="87">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88">
    <w:name w:val="发布部门"/>
    <w:next w:val="26"/>
    <w:autoRedefine/>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89">
    <w:name w:val="五级无"/>
    <w:basedOn w:val="90"/>
    <w:autoRedefine/>
    <w:qFormat/>
    <w:uiPriority w:val="0"/>
    <w:pPr>
      <w:spacing w:beforeLines="0" w:afterLines="0"/>
    </w:pPr>
    <w:rPr>
      <w:rFonts w:ascii="宋体" w:eastAsia="宋体"/>
    </w:rPr>
  </w:style>
  <w:style w:type="paragraph" w:customStyle="1" w:styleId="90">
    <w:name w:val="五级条标题"/>
    <w:basedOn w:val="91"/>
    <w:next w:val="26"/>
    <w:autoRedefine/>
    <w:qFormat/>
    <w:uiPriority w:val="0"/>
    <w:pPr>
      <w:numPr>
        <w:ilvl w:val="0"/>
        <w:numId w:val="0"/>
      </w:numPr>
      <w:outlineLvl w:val="6"/>
    </w:pPr>
  </w:style>
  <w:style w:type="paragraph" w:customStyle="1" w:styleId="91">
    <w:name w:val="四级条标题"/>
    <w:basedOn w:val="58"/>
    <w:next w:val="26"/>
    <w:autoRedefine/>
    <w:qFormat/>
    <w:uiPriority w:val="0"/>
    <w:pPr>
      <w:numPr>
        <w:ilvl w:val="4"/>
      </w:numPr>
      <w:outlineLvl w:val="5"/>
    </w:pPr>
  </w:style>
  <w:style w:type="paragraph" w:customStyle="1" w:styleId="92">
    <w:name w:val="封面一致性程度标识"/>
    <w:basedOn w:val="93"/>
    <w:autoRedefine/>
    <w:qFormat/>
    <w:uiPriority w:val="0"/>
    <w:pPr>
      <w:framePr w:wrap="around"/>
      <w:spacing w:before="440"/>
    </w:pPr>
    <w:rPr>
      <w:rFonts w:ascii="宋体" w:eastAsia="宋体"/>
    </w:rPr>
  </w:style>
  <w:style w:type="paragraph" w:customStyle="1" w:styleId="93">
    <w:name w:val="封面标准英文名称"/>
    <w:basedOn w:val="79"/>
    <w:autoRedefine/>
    <w:qFormat/>
    <w:uiPriority w:val="0"/>
    <w:pPr>
      <w:framePr w:wrap="around"/>
      <w:spacing w:before="370" w:line="400" w:lineRule="exact"/>
    </w:pPr>
    <w:rPr>
      <w:rFonts w:ascii="Times New Roman"/>
      <w:sz w:val="28"/>
      <w:szCs w:val="28"/>
    </w:rPr>
  </w:style>
  <w:style w:type="paragraph" w:customStyle="1" w:styleId="94">
    <w:name w:val="其他发布部门"/>
    <w:basedOn w:val="88"/>
    <w:autoRedefine/>
    <w:qFormat/>
    <w:uiPriority w:val="0"/>
    <w:pPr>
      <w:framePr w:wrap="around" w:y="15310"/>
      <w:spacing w:line="0" w:lineRule="atLeast"/>
    </w:pPr>
    <w:rPr>
      <w:rFonts w:ascii="黑体" w:eastAsia="黑体"/>
      <w:b w:val="0"/>
    </w:rPr>
  </w:style>
  <w:style w:type="paragraph" w:customStyle="1" w:styleId="95">
    <w:name w:val="目次、标准名称标题"/>
    <w:basedOn w:val="1"/>
    <w:next w:val="26"/>
    <w:autoRedefine/>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96">
    <w:name w:val="附录图标号"/>
    <w:basedOn w:val="1"/>
    <w:autoRedefine/>
    <w:qFormat/>
    <w:uiPriority w:val="0"/>
    <w:pPr>
      <w:keepNext/>
      <w:pageBreakBefore/>
      <w:widowControl/>
      <w:numPr>
        <w:ilvl w:val="0"/>
        <w:numId w:val="5"/>
      </w:numPr>
      <w:spacing w:line="14" w:lineRule="exact"/>
      <w:jc w:val="center"/>
      <w:outlineLvl w:val="0"/>
    </w:pPr>
    <w:rPr>
      <w:color w:val="FFFFFF"/>
    </w:rPr>
  </w:style>
  <w:style w:type="paragraph" w:customStyle="1" w:styleId="97">
    <w:name w:val="附录表标题"/>
    <w:basedOn w:val="1"/>
    <w:next w:val="26"/>
    <w:autoRedefine/>
    <w:qFormat/>
    <w:uiPriority w:val="0"/>
    <w:pPr>
      <w:numPr>
        <w:ilvl w:val="1"/>
        <w:numId w:val="6"/>
      </w:numPr>
      <w:spacing w:beforeLines="50" w:afterLines="50"/>
      <w:jc w:val="center"/>
    </w:pPr>
    <w:rPr>
      <w:rFonts w:ascii="黑体" w:eastAsia="黑体"/>
      <w:szCs w:val="21"/>
    </w:rPr>
  </w:style>
  <w:style w:type="paragraph" w:customStyle="1" w:styleId="98">
    <w:name w:val="附录公式编号制表符"/>
    <w:basedOn w:val="1"/>
    <w:next w:val="26"/>
    <w:autoRedefine/>
    <w:qFormat/>
    <w:uiPriority w:val="0"/>
    <w:pPr>
      <w:widowControl/>
      <w:tabs>
        <w:tab w:val="center" w:pos="4201"/>
        <w:tab w:val="right" w:leader="dot" w:pos="9298"/>
      </w:tabs>
      <w:autoSpaceDE w:val="0"/>
      <w:autoSpaceDN w:val="0"/>
    </w:pPr>
    <w:rPr>
      <w:rFonts w:ascii="宋体"/>
      <w:kern w:val="0"/>
      <w:szCs w:val="20"/>
    </w:rPr>
  </w:style>
  <w:style w:type="paragraph" w:customStyle="1" w:styleId="99">
    <w:name w:val="标准书脚_奇数页"/>
    <w:autoRedefine/>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00">
    <w:name w:val="附录标识"/>
    <w:basedOn w:val="1"/>
    <w:next w:val="26"/>
    <w:autoRedefine/>
    <w:qFormat/>
    <w:uiPriority w:val="0"/>
    <w:pPr>
      <w:keepNext/>
      <w:widowControl/>
      <w:numPr>
        <w:ilvl w:val="0"/>
        <w:numId w:val="3"/>
      </w:numPr>
      <w:shd w:val="clear" w:color="FFFFFF" w:fill="FFFFFF"/>
      <w:tabs>
        <w:tab w:val="left" w:pos="6405"/>
      </w:tabs>
      <w:spacing w:before="640" w:after="280"/>
      <w:jc w:val="center"/>
      <w:outlineLvl w:val="0"/>
    </w:pPr>
    <w:rPr>
      <w:rFonts w:ascii="黑体" w:eastAsia="黑体"/>
      <w:kern w:val="0"/>
      <w:szCs w:val="20"/>
    </w:rPr>
  </w:style>
  <w:style w:type="paragraph" w:customStyle="1" w:styleId="101">
    <w:name w:val="注×：（正文）"/>
    <w:autoRedefine/>
    <w:qFormat/>
    <w:uiPriority w:val="0"/>
    <w:pPr>
      <w:numPr>
        <w:ilvl w:val="0"/>
        <w:numId w:val="7"/>
      </w:numPr>
      <w:jc w:val="both"/>
    </w:pPr>
    <w:rPr>
      <w:rFonts w:ascii="宋体" w:hAnsi="Times New Roman" w:eastAsia="宋体" w:cs="Times New Roman"/>
      <w:sz w:val="18"/>
      <w:szCs w:val="18"/>
      <w:lang w:val="en-US" w:eastAsia="zh-CN" w:bidi="ar-SA"/>
    </w:rPr>
  </w:style>
  <w:style w:type="paragraph" w:customStyle="1" w:styleId="102">
    <w:name w:val="封面标准文稿编辑信息"/>
    <w:basedOn w:val="103"/>
    <w:autoRedefine/>
    <w:qFormat/>
    <w:uiPriority w:val="0"/>
    <w:pPr>
      <w:framePr w:wrap="around"/>
      <w:spacing w:before="180" w:line="180" w:lineRule="exact"/>
    </w:pPr>
    <w:rPr>
      <w:sz w:val="21"/>
    </w:rPr>
  </w:style>
  <w:style w:type="paragraph" w:customStyle="1" w:styleId="103">
    <w:name w:val="封面标准文稿类别"/>
    <w:basedOn w:val="92"/>
    <w:autoRedefine/>
    <w:qFormat/>
    <w:uiPriority w:val="0"/>
    <w:pPr>
      <w:framePr w:wrap="around"/>
      <w:spacing w:after="160" w:line="240" w:lineRule="auto"/>
    </w:pPr>
    <w:rPr>
      <w:sz w:val="24"/>
    </w:rPr>
  </w:style>
  <w:style w:type="paragraph" w:customStyle="1" w:styleId="104">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05">
    <w:name w:val="列项◆（三级）"/>
    <w:basedOn w:val="1"/>
    <w:autoRedefine/>
    <w:qFormat/>
    <w:uiPriority w:val="0"/>
    <w:pPr>
      <w:numPr>
        <w:ilvl w:val="2"/>
        <w:numId w:val="8"/>
      </w:numPr>
    </w:pPr>
    <w:rPr>
      <w:rFonts w:ascii="宋体"/>
      <w:szCs w:val="21"/>
    </w:rPr>
  </w:style>
  <w:style w:type="paragraph" w:customStyle="1" w:styleId="106">
    <w:name w:val="其他标准称谓"/>
    <w:next w:val="1"/>
    <w:autoRedefine/>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07">
    <w:name w:val="附录二级无"/>
    <w:basedOn w:val="75"/>
    <w:autoRedefine/>
    <w:qFormat/>
    <w:uiPriority w:val="0"/>
    <w:pPr>
      <w:spacing w:beforeLines="0" w:afterLines="0"/>
    </w:pPr>
    <w:rPr>
      <w:rFonts w:ascii="宋体" w:eastAsia="宋体"/>
      <w:szCs w:val="21"/>
    </w:rPr>
  </w:style>
  <w:style w:type="paragraph" w:customStyle="1" w:styleId="108">
    <w:name w:val="实施日期"/>
    <w:basedOn w:val="109"/>
    <w:autoRedefine/>
    <w:qFormat/>
    <w:uiPriority w:val="0"/>
    <w:pPr>
      <w:framePr w:wrap="around" w:vAnchor="page" w:hAnchor="text"/>
      <w:jc w:val="right"/>
    </w:pPr>
  </w:style>
  <w:style w:type="paragraph" w:customStyle="1" w:styleId="109">
    <w:name w:val="发布日期"/>
    <w:autoRedefine/>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10">
    <w:name w:val="列项说明"/>
    <w:basedOn w:val="1"/>
    <w:autoRedefine/>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1">
    <w:name w:val="字母编号列项（一级）"/>
    <w:autoRedefine/>
    <w:qFormat/>
    <w:uiPriority w:val="0"/>
    <w:pPr>
      <w:numPr>
        <w:ilvl w:val="0"/>
        <w:numId w:val="9"/>
      </w:numPr>
      <w:jc w:val="both"/>
    </w:pPr>
    <w:rPr>
      <w:rFonts w:ascii="宋体" w:hAnsi="Times New Roman" w:eastAsia="宋体" w:cs="Times New Roman"/>
      <w:sz w:val="21"/>
      <w:lang w:val="en-US" w:eastAsia="zh-CN" w:bidi="ar-SA"/>
    </w:rPr>
  </w:style>
  <w:style w:type="paragraph" w:customStyle="1" w:styleId="112">
    <w:name w:val="数字编号列项（二级）"/>
    <w:autoRedefine/>
    <w:qFormat/>
    <w:uiPriority w:val="0"/>
    <w:pPr>
      <w:numPr>
        <w:ilvl w:val="1"/>
        <w:numId w:val="9"/>
      </w:numPr>
      <w:jc w:val="both"/>
    </w:pPr>
    <w:rPr>
      <w:rFonts w:ascii="宋体" w:hAnsi="Times New Roman" w:eastAsia="宋体" w:cs="Times New Roman"/>
      <w:sz w:val="21"/>
      <w:lang w:val="en-US" w:eastAsia="zh-CN" w:bidi="ar-SA"/>
    </w:rPr>
  </w:style>
  <w:style w:type="paragraph" w:customStyle="1" w:styleId="113">
    <w:name w:val="图表脚注说明"/>
    <w:basedOn w:val="1"/>
    <w:autoRedefine/>
    <w:qFormat/>
    <w:uiPriority w:val="0"/>
    <w:pPr>
      <w:ind w:left="544" w:hanging="181"/>
    </w:pPr>
    <w:rPr>
      <w:rFonts w:ascii="宋体"/>
      <w:sz w:val="18"/>
      <w:szCs w:val="18"/>
    </w:rPr>
  </w:style>
  <w:style w:type="paragraph" w:customStyle="1" w:styleId="114">
    <w:name w:val="列项●（二级）"/>
    <w:autoRedefine/>
    <w:qFormat/>
    <w:uiPriority w:val="0"/>
    <w:pPr>
      <w:numPr>
        <w:ilvl w:val="1"/>
        <w:numId w:val="8"/>
      </w:numPr>
      <w:tabs>
        <w:tab w:val="left" w:pos="840"/>
      </w:tabs>
      <w:jc w:val="both"/>
    </w:pPr>
    <w:rPr>
      <w:rFonts w:ascii="宋体" w:hAnsi="Times New Roman" w:eastAsia="宋体" w:cs="Times New Roman"/>
      <w:sz w:val="21"/>
      <w:lang w:val="en-US" w:eastAsia="zh-CN" w:bidi="ar-SA"/>
    </w:rPr>
  </w:style>
  <w:style w:type="paragraph" w:customStyle="1" w:styleId="115">
    <w:name w:val="示例"/>
    <w:next w:val="116"/>
    <w:autoRedefine/>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116">
    <w:name w:val="示例内容"/>
    <w:autoRedefine/>
    <w:qFormat/>
    <w:uiPriority w:val="0"/>
    <w:pPr>
      <w:ind w:firstLine="200" w:firstLineChars="200"/>
    </w:pPr>
    <w:rPr>
      <w:rFonts w:ascii="宋体" w:hAnsi="Times New Roman" w:eastAsia="宋体" w:cs="Times New Roman"/>
      <w:sz w:val="18"/>
      <w:szCs w:val="18"/>
      <w:lang w:val="en-US" w:eastAsia="zh-CN" w:bidi="ar-SA"/>
    </w:rPr>
  </w:style>
  <w:style w:type="paragraph" w:customStyle="1" w:styleId="117">
    <w:name w:val="Char Char"/>
    <w:basedOn w:val="1"/>
    <w:autoRedefine/>
    <w:qFormat/>
    <w:uiPriority w:val="0"/>
    <w:rPr>
      <w:rFonts w:ascii="黑体" w:eastAsia="黑体"/>
      <w:sz w:val="36"/>
      <w:szCs w:val="36"/>
    </w:rPr>
  </w:style>
  <w:style w:type="paragraph" w:customStyle="1" w:styleId="118">
    <w:name w:val="Char Char1"/>
    <w:basedOn w:val="1"/>
    <w:autoRedefine/>
    <w:qFormat/>
    <w:uiPriority w:val="0"/>
    <w:rPr>
      <w:rFonts w:ascii="黑体" w:eastAsia="黑体"/>
      <w:sz w:val="36"/>
      <w:szCs w:val="36"/>
    </w:rPr>
  </w:style>
  <w:style w:type="paragraph" w:customStyle="1" w:styleId="119">
    <w:name w:val="参考文献、索引标题"/>
    <w:basedOn w:val="1"/>
    <w:next w:val="26"/>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20">
    <w:name w:val="正文表标题"/>
    <w:next w:val="26"/>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21">
    <w:name w:val="二级无"/>
    <w:basedOn w:val="55"/>
    <w:autoRedefine/>
    <w:qFormat/>
    <w:uiPriority w:val="0"/>
    <w:pPr>
      <w:spacing w:beforeLines="0" w:afterLines="0"/>
      <w:ind w:left="0"/>
    </w:pPr>
    <w:rPr>
      <w:rFonts w:ascii="宋体" w:eastAsia="宋体"/>
    </w:rPr>
  </w:style>
  <w:style w:type="paragraph" w:customStyle="1" w:styleId="122">
    <w:name w:val="图标脚注说明"/>
    <w:basedOn w:val="26"/>
    <w:autoRedefine/>
    <w:qFormat/>
    <w:uiPriority w:val="0"/>
    <w:pPr>
      <w:ind w:left="840" w:hanging="420" w:firstLineChars="0"/>
    </w:pPr>
    <w:rPr>
      <w:sz w:val="18"/>
      <w:szCs w:val="18"/>
    </w:rPr>
  </w:style>
  <w:style w:type="paragraph" w:customStyle="1" w:styleId="123">
    <w:name w:val="其他标准标志"/>
    <w:basedOn w:val="124"/>
    <w:autoRedefine/>
    <w:qFormat/>
    <w:uiPriority w:val="0"/>
    <w:pPr>
      <w:framePr w:w="6101" w:wrap="around" w:vAnchor="page" w:hAnchor="page" w:x="4673" w:y="942"/>
    </w:pPr>
    <w:rPr>
      <w:w w:val="130"/>
    </w:rPr>
  </w:style>
  <w:style w:type="paragraph" w:customStyle="1" w:styleId="124">
    <w:name w:val="标准标志"/>
    <w:next w:val="1"/>
    <w:autoRedefine/>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25">
    <w:name w:val="封面一致性程度标识2"/>
    <w:basedOn w:val="92"/>
    <w:autoRedefine/>
    <w:qFormat/>
    <w:uiPriority w:val="0"/>
    <w:pPr>
      <w:framePr w:wrap="around" w:y="4469"/>
    </w:pPr>
  </w:style>
  <w:style w:type="paragraph" w:customStyle="1" w:styleId="126">
    <w:name w:val="标准书眉一"/>
    <w:autoRedefine/>
    <w:qFormat/>
    <w:uiPriority w:val="0"/>
    <w:pPr>
      <w:jc w:val="both"/>
    </w:pPr>
    <w:rPr>
      <w:rFonts w:ascii="Times New Roman" w:hAnsi="Times New Roman" w:eastAsia="宋体" w:cs="Times New Roman"/>
      <w:lang w:val="en-US" w:eastAsia="zh-CN" w:bidi="ar-SA"/>
    </w:rPr>
  </w:style>
  <w:style w:type="paragraph" w:customStyle="1" w:styleId="127">
    <w:name w:val="封面正文"/>
    <w:autoRedefine/>
    <w:qFormat/>
    <w:uiPriority w:val="0"/>
    <w:pPr>
      <w:jc w:val="both"/>
    </w:pPr>
    <w:rPr>
      <w:rFonts w:ascii="Times New Roman" w:hAnsi="Times New Roman" w:eastAsia="宋体" w:cs="Times New Roman"/>
      <w:lang w:val="en-US" w:eastAsia="zh-CN" w:bidi="ar-SA"/>
    </w:rPr>
  </w:style>
  <w:style w:type="paragraph" w:customStyle="1" w:styleId="128">
    <w:name w:val="样式 标题 1 + 非加粗"/>
    <w:basedOn w:val="2"/>
    <w:autoRedefine/>
    <w:qFormat/>
    <w:uiPriority w:val="0"/>
    <w:pPr>
      <w:spacing w:beforeLines="100" w:afterLines="100" w:line="240" w:lineRule="auto"/>
    </w:pPr>
    <w:rPr>
      <w:rFonts w:eastAsia="黑体"/>
      <w:b w:val="0"/>
      <w:bCs w:val="0"/>
      <w:sz w:val="21"/>
    </w:rPr>
  </w:style>
  <w:style w:type="paragraph" w:customStyle="1" w:styleId="129">
    <w:name w:val="附录字母编号列项（一级）"/>
    <w:autoRedefine/>
    <w:qFormat/>
    <w:uiPriority w:val="0"/>
    <w:pPr>
      <w:numPr>
        <w:ilvl w:val="0"/>
        <w:numId w:val="4"/>
      </w:numPr>
    </w:pPr>
    <w:rPr>
      <w:rFonts w:ascii="宋体" w:hAnsi="Times New Roman" w:eastAsia="宋体" w:cs="Times New Roman"/>
      <w:sz w:val="21"/>
      <w:lang w:val="en-US" w:eastAsia="zh-CN" w:bidi="ar-SA"/>
    </w:rPr>
  </w:style>
  <w:style w:type="paragraph" w:customStyle="1" w:styleId="130">
    <w:name w:val="编号列项（三级）"/>
    <w:autoRedefine/>
    <w:qFormat/>
    <w:uiPriority w:val="0"/>
    <w:pPr>
      <w:numPr>
        <w:ilvl w:val="2"/>
        <w:numId w:val="9"/>
      </w:numPr>
    </w:pPr>
    <w:rPr>
      <w:rFonts w:ascii="宋体" w:hAnsi="Times New Roman" w:eastAsia="宋体" w:cs="Times New Roman"/>
      <w:sz w:val="21"/>
      <w:lang w:val="en-US" w:eastAsia="zh-CN" w:bidi="ar-SA"/>
    </w:rPr>
  </w:style>
  <w:style w:type="paragraph" w:customStyle="1" w:styleId="131">
    <w:name w:val="正文公式编号制表符"/>
    <w:basedOn w:val="26"/>
    <w:next w:val="26"/>
    <w:autoRedefine/>
    <w:qFormat/>
    <w:uiPriority w:val="0"/>
    <w:pPr>
      <w:ind w:firstLine="0" w:firstLineChars="0"/>
    </w:pPr>
  </w:style>
  <w:style w:type="paragraph" w:customStyle="1" w:styleId="132">
    <w:name w:val="列项——（一级）"/>
    <w:autoRedefine/>
    <w:qFormat/>
    <w:uiPriority w:val="0"/>
    <w:pPr>
      <w:widowControl w:val="0"/>
      <w:numPr>
        <w:ilvl w:val="0"/>
        <w:numId w:val="8"/>
      </w:numPr>
      <w:jc w:val="both"/>
    </w:pPr>
    <w:rPr>
      <w:rFonts w:ascii="宋体" w:hAnsi="Times New Roman" w:eastAsia="宋体" w:cs="Times New Roman"/>
      <w:sz w:val="21"/>
      <w:lang w:val="en-US" w:eastAsia="zh-CN" w:bidi="ar-SA"/>
    </w:rPr>
  </w:style>
  <w:style w:type="paragraph" w:customStyle="1" w:styleId="133">
    <w:name w:val="四级无"/>
    <w:basedOn w:val="91"/>
    <w:autoRedefine/>
    <w:qFormat/>
    <w:uiPriority w:val="0"/>
    <w:pPr>
      <w:spacing w:beforeLines="0" w:afterLines="0"/>
    </w:pPr>
    <w:rPr>
      <w:rFonts w:ascii="宋体" w:eastAsia="宋体"/>
    </w:rPr>
  </w:style>
  <w:style w:type="paragraph" w:customStyle="1" w:styleId="134">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35">
    <w:name w:val="附录四级无"/>
    <w:basedOn w:val="73"/>
    <w:autoRedefine/>
    <w:qFormat/>
    <w:uiPriority w:val="0"/>
    <w:pPr>
      <w:spacing w:beforeLines="0" w:afterLines="0"/>
    </w:pPr>
    <w:rPr>
      <w:rFonts w:ascii="宋体" w:eastAsia="宋体"/>
      <w:szCs w:val="21"/>
    </w:rPr>
  </w:style>
  <w:style w:type="paragraph" w:customStyle="1" w:styleId="136">
    <w:name w:val="封面标准英文名称2"/>
    <w:basedOn w:val="93"/>
    <w:autoRedefine/>
    <w:qFormat/>
    <w:uiPriority w:val="0"/>
    <w:pPr>
      <w:framePr w:wrap="around" w:y="4469"/>
    </w:pPr>
  </w:style>
  <w:style w:type="paragraph" w:customStyle="1" w:styleId="137">
    <w:name w:val="封面标准文稿类别2"/>
    <w:basedOn w:val="103"/>
    <w:autoRedefine/>
    <w:qFormat/>
    <w:uiPriority w:val="0"/>
    <w:pPr>
      <w:framePr w:wrap="around" w:y="4469"/>
    </w:pPr>
  </w:style>
  <w:style w:type="paragraph" w:customStyle="1" w:styleId="138">
    <w:name w:val="示例×："/>
    <w:basedOn w:val="139"/>
    <w:autoRedefine/>
    <w:qFormat/>
    <w:uiPriority w:val="0"/>
    <w:pPr>
      <w:numPr>
        <w:numId w:val="0"/>
      </w:numPr>
      <w:spacing w:beforeLines="0" w:afterLines="0"/>
      <w:ind w:firstLine="363"/>
      <w:outlineLvl w:val="9"/>
    </w:pPr>
    <w:rPr>
      <w:rFonts w:ascii="宋体" w:eastAsia="宋体"/>
      <w:sz w:val="18"/>
      <w:szCs w:val="18"/>
    </w:rPr>
  </w:style>
  <w:style w:type="paragraph" w:customStyle="1" w:styleId="139">
    <w:name w:val="章标题"/>
    <w:next w:val="26"/>
    <w:autoRedefine/>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140">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41">
    <w:name w:val="附录图标题"/>
    <w:basedOn w:val="1"/>
    <w:next w:val="26"/>
    <w:autoRedefine/>
    <w:qFormat/>
    <w:uiPriority w:val="0"/>
    <w:pPr>
      <w:numPr>
        <w:ilvl w:val="1"/>
        <w:numId w:val="5"/>
      </w:numPr>
      <w:spacing w:beforeLines="50" w:afterLines="50"/>
      <w:jc w:val="center"/>
    </w:pPr>
    <w:rPr>
      <w:rFonts w:ascii="黑体" w:eastAsia="黑体"/>
      <w:szCs w:val="21"/>
    </w:rPr>
  </w:style>
  <w:style w:type="paragraph" w:customStyle="1" w:styleId="142">
    <w:name w:val="其他实施日期"/>
    <w:basedOn w:val="108"/>
    <w:autoRedefine/>
    <w:qFormat/>
    <w:uiPriority w:val="0"/>
    <w:pPr>
      <w:framePr w:wrap="around" w:vAnchor="margin" w:hAnchor="page"/>
    </w:pPr>
  </w:style>
  <w:style w:type="paragraph" w:customStyle="1" w:styleId="143">
    <w:name w:val="三级无"/>
    <w:basedOn w:val="58"/>
    <w:autoRedefine/>
    <w:qFormat/>
    <w:uiPriority w:val="0"/>
    <w:pPr>
      <w:spacing w:beforeLines="0" w:afterLines="0"/>
    </w:pPr>
    <w:rPr>
      <w:rFonts w:ascii="宋体" w:eastAsia="宋体"/>
    </w:rPr>
  </w:style>
  <w:style w:type="paragraph" w:customStyle="1" w:styleId="144">
    <w:name w:val="封面标准名称2"/>
    <w:basedOn w:val="79"/>
    <w:autoRedefine/>
    <w:qFormat/>
    <w:uiPriority w:val="0"/>
    <w:pPr>
      <w:framePr w:wrap="around" w:y="4469"/>
      <w:spacing w:beforeLines="630"/>
    </w:pPr>
  </w:style>
  <w:style w:type="paragraph" w:customStyle="1" w:styleId="145">
    <w:name w:val="正文图标题"/>
    <w:next w:val="26"/>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46">
    <w:name w:val="示例后文字"/>
    <w:basedOn w:val="26"/>
    <w:next w:val="26"/>
    <w:autoRedefine/>
    <w:qFormat/>
    <w:uiPriority w:val="0"/>
    <w:pPr>
      <w:ind w:firstLine="360"/>
    </w:pPr>
    <w:rPr>
      <w:sz w:val="18"/>
    </w:rPr>
  </w:style>
  <w:style w:type="paragraph" w:customStyle="1" w:styleId="147">
    <w:name w:val="其他发布日期"/>
    <w:basedOn w:val="109"/>
    <w:autoRedefine/>
    <w:qFormat/>
    <w:uiPriority w:val="0"/>
    <w:pPr>
      <w:framePr w:wrap="around" w:vAnchor="page" w:hAnchor="text" w:x="1419"/>
    </w:pPr>
  </w:style>
  <w:style w:type="paragraph" w:customStyle="1" w:styleId="148">
    <w:name w:val="封面标准文稿编辑信息2"/>
    <w:basedOn w:val="102"/>
    <w:autoRedefine/>
    <w:qFormat/>
    <w:uiPriority w:val="0"/>
    <w:pPr>
      <w:framePr w:wrap="around" w:y="4469"/>
    </w:pPr>
  </w:style>
  <w:style w:type="paragraph" w:customStyle="1" w:styleId="149">
    <w:name w:val="一级无"/>
    <w:basedOn w:val="56"/>
    <w:autoRedefine/>
    <w:qFormat/>
    <w:uiPriority w:val="0"/>
    <w:pPr>
      <w:spacing w:before="156" w:after="156"/>
    </w:pPr>
    <w:rPr>
      <w:rFonts w:ascii="Times New Roman" w:eastAsia="宋体"/>
      <w:color w:val="000000"/>
    </w:rPr>
  </w:style>
  <w:style w:type="paragraph" w:customStyle="1" w:styleId="150">
    <w:name w:val="TOC 标题1"/>
    <w:basedOn w:val="2"/>
    <w:next w:val="1"/>
    <w:autoRedefine/>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51">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52">
    <w:name w:val="附录表标号"/>
    <w:basedOn w:val="1"/>
    <w:next w:val="26"/>
    <w:autoRedefine/>
    <w:qFormat/>
    <w:uiPriority w:val="0"/>
    <w:pPr>
      <w:numPr>
        <w:ilvl w:val="0"/>
        <w:numId w:val="6"/>
      </w:numPr>
      <w:spacing w:line="14" w:lineRule="exact"/>
      <w:jc w:val="center"/>
      <w:outlineLvl w:val="0"/>
    </w:pPr>
    <w:rPr>
      <w:color w:val="FFFFFF"/>
    </w:rPr>
  </w:style>
  <w:style w:type="paragraph" w:customStyle="1" w:styleId="153">
    <w:name w:val="标准称谓"/>
    <w:next w:val="1"/>
    <w:autoRedefine/>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54">
    <w:name w:val="标准书脚_偶数页"/>
    <w:autoRedefine/>
    <w:qFormat/>
    <w:uiPriority w:val="0"/>
    <w:pPr>
      <w:spacing w:before="120"/>
      <w:ind w:left="221"/>
    </w:pPr>
    <w:rPr>
      <w:rFonts w:ascii="宋体" w:hAnsi="Times New Roman" w:eastAsia="宋体" w:cs="Times New Roman"/>
      <w:sz w:val="18"/>
      <w:szCs w:val="18"/>
      <w:lang w:val="en-US" w:eastAsia="zh-CN" w:bidi="ar-SA"/>
    </w:rPr>
  </w:style>
  <w:style w:type="paragraph" w:customStyle="1" w:styleId="155">
    <w:name w:val="条文脚注"/>
    <w:basedOn w:val="27"/>
    <w:autoRedefine/>
    <w:qFormat/>
    <w:uiPriority w:val="0"/>
    <w:pPr>
      <w:numPr>
        <w:numId w:val="0"/>
      </w:numPr>
      <w:jc w:val="both"/>
    </w:pPr>
  </w:style>
  <w:style w:type="paragraph" w:customStyle="1" w:styleId="156">
    <w:name w:val="列项说明数字编号"/>
    <w:autoRedefine/>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57">
    <w:name w:val="终结线"/>
    <w:basedOn w:val="1"/>
    <w:autoRedefine/>
    <w:qFormat/>
    <w:uiPriority w:val="0"/>
    <w:pPr>
      <w:framePr w:hSpace="181" w:vSpace="181" w:wrap="around" w:vAnchor="text" w:hAnchor="margin" w:xAlign="center" w:y="285"/>
    </w:pPr>
  </w:style>
  <w:style w:type="paragraph" w:customStyle="1" w:styleId="158">
    <w:name w:val="前言、引言标题"/>
    <w:next w:val="26"/>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59">
    <w:name w:val="图的脚注"/>
    <w:next w:val="26"/>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60">
    <w:name w:val="Default"/>
    <w:autoRedefine/>
    <w:unhideWhenUsed/>
    <w:qFormat/>
    <w:uiPriority w:val="99"/>
    <w:pPr>
      <w:widowControl w:val="0"/>
      <w:autoSpaceDE w:val="0"/>
      <w:autoSpaceDN w:val="0"/>
      <w:adjustRightInd w:val="0"/>
    </w:pPr>
    <w:rPr>
      <w:rFonts w:ascii="仿宋" w:hAnsi="仿宋" w:eastAsia="仿宋" w:cs="Times New Roman"/>
      <w:color w:val="000000"/>
      <w:sz w:val="24"/>
      <w:lang w:val="en-US" w:eastAsia="zh-CN" w:bidi="ar-SA"/>
    </w:rPr>
  </w:style>
  <w:style w:type="character" w:customStyle="1" w:styleId="161">
    <w:name w:val="标题 6 字符"/>
    <w:link w:val="3"/>
    <w:autoRedefine/>
    <w:semiHidden/>
    <w:qFormat/>
    <w:uiPriority w:val="0"/>
    <w:rPr>
      <w:rFonts w:ascii="等线 Light" w:hAnsi="等线 Light" w:eastAsia="等线 Light" w:cs="Times New Roman"/>
      <w:b/>
      <w:bCs/>
      <w:kern w:val="2"/>
      <w:sz w:val="24"/>
      <w:szCs w:val="24"/>
    </w:rPr>
  </w:style>
  <w:style w:type="character" w:customStyle="1" w:styleId="162">
    <w:name w:val="页脚 字符"/>
    <w:link w:val="20"/>
    <w:autoRedefine/>
    <w:qFormat/>
    <w:uiPriority w:val="99"/>
    <w:rPr>
      <w:kern w:val="2"/>
      <w:sz w:val="18"/>
      <w:szCs w:val="18"/>
    </w:rPr>
  </w:style>
  <w:style w:type="paragraph" w:customStyle="1" w:styleId="163">
    <w:name w:val="TOC 标题2"/>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64">
    <w:name w:val="正文文本缩进 2 字符"/>
    <w:basedOn w:val="39"/>
    <w:link w:val="17"/>
    <w:autoRedefine/>
    <w:qFormat/>
    <w:uiPriority w:val="99"/>
    <w:rPr>
      <w:rFonts w:eastAsia="PMingLiU-ExtB"/>
      <w:kern w:val="2"/>
      <w:sz w:val="24"/>
      <w:szCs w:val="24"/>
      <w:lang w:eastAsia="zh-TW"/>
    </w:rPr>
  </w:style>
  <w:style w:type="paragraph" w:customStyle="1" w:styleId="165">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66">
    <w:name w:val="标准文件_术语条一"/>
    <w:basedOn w:val="167"/>
    <w:next w:val="165"/>
    <w:autoRedefine/>
    <w:qFormat/>
    <w:uiPriority w:val="0"/>
  </w:style>
  <w:style w:type="paragraph" w:customStyle="1" w:styleId="167">
    <w:name w:val="标准文件_一级无标题"/>
    <w:basedOn w:val="168"/>
    <w:autoRedefine/>
    <w:qFormat/>
    <w:uiPriority w:val="0"/>
    <w:pPr>
      <w:spacing w:before="0" w:beforeLines="0" w:after="0" w:afterLines="0"/>
      <w:outlineLvl w:val="9"/>
    </w:pPr>
    <w:rPr>
      <w:rFonts w:ascii="宋体" w:eastAsia="宋体"/>
    </w:rPr>
  </w:style>
  <w:style w:type="paragraph" w:customStyle="1" w:styleId="168">
    <w:name w:val="标准文件_一级条标题"/>
    <w:basedOn w:val="169"/>
    <w:next w:val="165"/>
    <w:autoRedefine/>
    <w:qFormat/>
    <w:uiPriority w:val="0"/>
    <w:pPr>
      <w:numPr>
        <w:ilvl w:val="2"/>
      </w:numPr>
      <w:spacing w:before="50" w:beforeLines="50" w:after="50" w:afterLines="50"/>
      <w:outlineLvl w:val="1"/>
    </w:pPr>
  </w:style>
  <w:style w:type="paragraph" w:customStyle="1" w:styleId="169">
    <w:name w:val="标准文件_章标题"/>
    <w:next w:val="165"/>
    <w:autoRedefine/>
    <w:qFormat/>
    <w:uiPriority w:val="0"/>
    <w:pPr>
      <w:numPr>
        <w:ilvl w:val="1"/>
        <w:numId w:val="10"/>
      </w:numPr>
      <w:spacing w:before="100" w:beforeLines="100" w:after="100" w:afterLines="100"/>
      <w:jc w:val="both"/>
      <w:outlineLvl w:val="0"/>
    </w:pPr>
    <w:rPr>
      <w:rFonts w:ascii="黑体" w:hAnsi="Times New Roman" w:eastAsia="黑体" w:cs="Times New Roman"/>
      <w:sz w:val="21"/>
      <w:lang w:val="en-US" w:eastAsia="zh-CN" w:bidi="ar-SA"/>
    </w:rPr>
  </w:style>
  <w:style w:type="character" w:customStyle="1" w:styleId="170">
    <w:name w:val="标准文件_段 Char"/>
    <w:basedOn w:val="39"/>
    <w:autoRedefine/>
    <w:qFormat/>
    <w:uiPriority w:val="0"/>
    <w:rPr>
      <w:rFonts w:hint="eastAsia" w:ascii="宋体" w:hAnsi="宋体" w:eastAsia="宋体" w:cs="宋体"/>
      <w:sz w:val="21"/>
    </w:rPr>
  </w:style>
  <w:style w:type="paragraph" w:customStyle="1" w:styleId="171">
    <w:name w:val="标准文件_正文标准名称"/>
    <w:autoRedefine/>
    <w:qFormat/>
    <w:uiPriority w:val="0"/>
    <w:pPr>
      <w:spacing w:after="640" w:line="400" w:lineRule="exact"/>
      <w:jc w:val="center"/>
    </w:pPr>
    <w:rPr>
      <w:rFonts w:ascii="黑体" w:hAnsi="黑体" w:eastAsia="黑体" w:cs="Times New Roman"/>
      <w:kern w:val="2"/>
      <w:sz w:val="32"/>
      <w:szCs w:val="32"/>
      <w:lang w:val="en-US" w:eastAsia="zh-CN" w:bidi="ar-SA"/>
    </w:rPr>
  </w:style>
  <w:style w:type="paragraph" w:customStyle="1" w:styleId="172">
    <w:name w:val="正文1"/>
    <w:qFormat/>
    <w:uiPriority w:val="0"/>
    <w:pPr>
      <w:jc w:val="both"/>
    </w:pPr>
    <w:rPr>
      <w:rFonts w:ascii="Calibri" w:hAnsi="Calibri" w:eastAsia="宋体" w:cs="Calibri"/>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glossaryDocument" Target="glossary/document.xml"/><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23\Desktop\02_GZBD&#26631;&#20934;&#27169;&#26495;.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bdec89b2-61f7-4ca6-98e2-c36374a47443}"/>
        <w:style w:val=""/>
        <w:category>
          <w:name w:val="常规"/>
          <w:gallery w:val="placeholder"/>
        </w:category>
        <w:types>
          <w:type w:val="bbPlcHdr"/>
        </w:types>
        <w:behaviors>
          <w:behavior w:val="content"/>
        </w:behaviors>
        <w:description w:val=""/>
        <w:guid w:val="{bdec89b2-61f7-4ca6-98e2-c36374a47443}"/>
      </w:docPartPr>
      <w:docPartBody>
        <w:p w14:paraId="7CCFB5EC">
          <w:pPr>
            <w:pStyle w:val="2"/>
          </w:pPr>
          <w:r>
            <w:rPr>
              <w:rStyle w:val="3"/>
              <w:rFonts w:hint="eastAsia"/>
            </w:rPr>
            <w:t>单击或点击此处输入文字。</w:t>
          </w:r>
        </w:p>
      </w:docPartBody>
    </w:docPart>
    <w:docPart>
      <w:docPartPr>
        <w:name w:val="{895c72ff-94f7-448d-a500-46cc375d9f57}"/>
        <w:style w:val=""/>
        <w:category>
          <w:name w:val="常规"/>
          <w:gallery w:val="placeholder"/>
        </w:category>
        <w:types>
          <w:type w:val="bbPlcHdr"/>
        </w:types>
        <w:behaviors>
          <w:behavior w:val="content"/>
        </w:behaviors>
        <w:description w:val=""/>
        <w:guid w:val="{895c72ff-94f7-448d-a500-46cc375d9f57}"/>
      </w:docPartPr>
      <w:docPartBody>
        <w:p w14:paraId="4C70552B">
          <w:pPr>
            <w:pStyle w:val="5"/>
            <w:rPr>
              <w:rFonts w:hint="eastAsia"/>
            </w:rPr>
          </w:pPr>
          <w:r>
            <w:rPr>
              <w:rStyle w:val="3"/>
              <w:rFonts w:hint="eastAsia"/>
            </w:rPr>
            <w:t>单击或点击此处输入文字。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5"/>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1" w:name="Default Paragraph Font"/>
    <w:lsdException w:qFormat="1" w:unhideWhenUsed="0" w:uiPriority="99" w:name="Placeholder Text"/>
  </w:latentStyles>
  <w:style w:type="character" w:default="1" w:styleId="1">
    <w:name w:val="Default Paragraph Font"/>
    <w:semiHidden/>
    <w:unhideWhenUsed/>
    <w:qFormat/>
    <w:uiPriority w:val="1"/>
  </w:style>
  <w:style w:type="paragraph" w:customStyle="1" w:styleId="2">
    <w:name w:val="AA4200051FB54D44942A687BA6A275D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styleId="3">
    <w:name w:val="Placeholder Text"/>
    <w:basedOn w:val="1"/>
    <w:semiHidden/>
    <w:qFormat/>
    <w:uiPriority w:val="99"/>
    <w:rPr>
      <w:color w:val="808080"/>
    </w:rPr>
  </w:style>
  <w:style w:type="paragraph" w:customStyle="1" w:styleId="4">
    <w:name w:val="E9DA8C89D00A44EF9FD662033F27A69A"/>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 w:type="paragraph" w:customStyle="1" w:styleId="5">
    <w:name w:val="EB3B5AE215164FD28C384D3F61E9A0AA"/>
    <w:qFormat/>
    <w:uiPriority w:val="0"/>
    <w:pPr>
      <w:widowControl w:val="0"/>
      <w:jc w:val="both"/>
    </w:pPr>
    <w:rPr>
      <w:rFonts w:asciiTheme="minorHAnsi" w:hAnsiTheme="minorHAnsi" w:eastAsiaTheme="minorEastAsia" w:cstheme="minorBidi"/>
      <w:kern w:val="2"/>
      <w:sz w:val="21"/>
      <w:szCs w:val="22"/>
      <w:lang w:val="en-US" w:eastAsia="zh-CN" w:bidi="ar-SA"/>
      <w14:ligatures w14:val="standardContextual"/>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02_GZBD标准模板.dotx</Template>
  <Pages>9</Pages>
  <Words>2740</Words>
  <Characters>2885</Characters>
  <Lines>14</Lines>
  <Paragraphs>3</Paragraphs>
  <TotalTime>2</TotalTime>
  <ScaleCrop>false</ScaleCrop>
  <LinksUpToDate>false</LinksUpToDate>
  <CharactersWithSpaces>2946</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2020-10-14T08:16:00Z</dcterms:created>
  <cp:lastPrinted>2024-05-28T07:02:00Z</cp:lastPrinted>
  <dcterms:modified xsi:type="dcterms:W3CDTF">2026-07-28T09:20:11Z</dcterms:modified>
  <dc:title>标准名称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07A75F493140445F9BA1C4B00C832595_13</vt:lpwstr>
  </property>
  <property fmtid="{D5CDD505-2E9C-101B-9397-08002B2CF9AE}" pid="4" name="KSOTemplateDocerSaveRecord">
    <vt:lpwstr>eyJoZGlkIjoiM2YzNmU0MjVhM2ViMDczMjhlOWMxMTUyZDNlNWQyNzYiLCJ1c2VySWQiOiI3Mjc2MjUzMDgifQ==</vt:lpwstr>
  </property>
</Properties>
</file>