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43.060.1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43.060.10</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T 13"/>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T 13</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default" w:ascii="黑体" w:hAnsi="Times New Roman" w:eastAsia="黑体" w:cs="Times New Roman"/>
          <w:bCs/>
          <w:sz w:val="28"/>
          <w:szCs w:val="28"/>
          <w:lang w:val="en-US" w:eastAsia="zh-CN" w:bidi="ar-SA"/>
        </w:rPr>
        <w:t>     </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轻量化凸轮轴结构设计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轻量化凸轮轴结构设计规范</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Specification for structural design of lightweight camshaft"/>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Specification for structural design of lightweight camshaft</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48612844"/>
      <w:bookmarkStart w:id="21" w:name="_Toc150158766"/>
      <w:bookmarkStart w:id="22" w:name="_Toc150158739"/>
      <w:r>
        <w:rPr>
          <w:rFonts w:hint="eastAsia"/>
          <w:spacing w:val="320"/>
        </w:rPr>
        <w:t>目次</w:t>
      </w:r>
    </w:p>
    <w:p w14:paraId="0CF5709C">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_Toc12785 </w:instrText>
      </w:r>
      <w:r>
        <w:fldChar w:fldCharType="separate"/>
      </w:r>
      <w:r>
        <w:rPr>
          <w:rFonts w:hint="eastAsia"/>
          <w:spacing w:val="320"/>
        </w:rPr>
        <w:t>前言</w:t>
      </w:r>
      <w:r>
        <w:tab/>
      </w:r>
      <w:r>
        <w:fldChar w:fldCharType="begin"/>
      </w:r>
      <w:r>
        <w:instrText xml:space="preserve"> PAGEREF _Toc12785 \h </w:instrText>
      </w:r>
      <w:r>
        <w:fldChar w:fldCharType="separate"/>
      </w:r>
      <w:r>
        <w:t>III</w:t>
      </w:r>
      <w:r>
        <w:fldChar w:fldCharType="end"/>
      </w:r>
      <w:r>
        <w:fldChar w:fldCharType="end"/>
      </w:r>
    </w:p>
    <w:p w14:paraId="53873614">
      <w:pPr>
        <w:pStyle w:val="20"/>
        <w:tabs>
          <w:tab w:val="right" w:leader="dot" w:pos="9355"/>
        </w:tabs>
      </w:pPr>
      <w:r>
        <w:fldChar w:fldCharType="begin"/>
      </w:r>
      <w:r>
        <w:instrText xml:space="preserve"> HYPERLINK \l _Toc23396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_Toc23396 \h </w:instrText>
      </w:r>
      <w:r>
        <w:fldChar w:fldCharType="separate"/>
      </w:r>
      <w:r>
        <w:t>1</w:t>
      </w:r>
      <w:r>
        <w:fldChar w:fldCharType="end"/>
      </w:r>
      <w:r>
        <w:fldChar w:fldCharType="end"/>
      </w:r>
    </w:p>
    <w:p w14:paraId="2D2D4A23">
      <w:pPr>
        <w:pStyle w:val="20"/>
        <w:tabs>
          <w:tab w:val="right" w:leader="dot" w:pos="9355"/>
        </w:tabs>
      </w:pPr>
      <w:r>
        <w:fldChar w:fldCharType="begin"/>
      </w:r>
      <w:r>
        <w:instrText xml:space="preserve"> HYPERLINK \l _Toc2971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_Toc2971 \h </w:instrText>
      </w:r>
      <w:r>
        <w:fldChar w:fldCharType="separate"/>
      </w:r>
      <w:r>
        <w:t>1</w:t>
      </w:r>
      <w:r>
        <w:fldChar w:fldCharType="end"/>
      </w:r>
      <w:r>
        <w:fldChar w:fldCharType="end"/>
      </w:r>
    </w:p>
    <w:p w14:paraId="757E6315">
      <w:pPr>
        <w:pStyle w:val="20"/>
        <w:tabs>
          <w:tab w:val="right" w:leader="dot" w:pos="9355"/>
        </w:tabs>
      </w:pPr>
      <w:r>
        <w:fldChar w:fldCharType="begin"/>
      </w:r>
      <w:r>
        <w:instrText xml:space="preserve"> HYPERLINK \l _Toc5621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_Toc5621 \h </w:instrText>
      </w:r>
      <w:r>
        <w:fldChar w:fldCharType="separate"/>
      </w:r>
      <w:r>
        <w:t>1</w:t>
      </w:r>
      <w:r>
        <w:fldChar w:fldCharType="end"/>
      </w:r>
      <w:r>
        <w:fldChar w:fldCharType="end"/>
      </w:r>
    </w:p>
    <w:p w14:paraId="6A3ED562">
      <w:pPr>
        <w:pStyle w:val="20"/>
        <w:tabs>
          <w:tab w:val="right" w:leader="dot" w:pos="9355"/>
        </w:tabs>
      </w:pPr>
      <w:r>
        <w:fldChar w:fldCharType="begin"/>
      </w:r>
      <w:r>
        <w:instrText xml:space="preserve"> HYPERLINK \l _Toc3004 </w:instrText>
      </w:r>
      <w:r>
        <w:fldChar w:fldCharType="separate"/>
      </w:r>
      <w:r>
        <w:rPr>
          <w:rFonts w:hint="eastAsia" w:ascii="黑体" w:eastAsia="黑体"/>
          <w:i w:val="0"/>
        </w:rPr>
        <w:t xml:space="preserve">4 </w:t>
      </w:r>
      <w:r>
        <w:rPr>
          <w:rFonts w:hint="eastAsia"/>
          <w:lang w:val="en-US" w:eastAsia="zh-CN"/>
        </w:rPr>
        <w:t>总体设计要求</w:t>
      </w:r>
      <w:r>
        <w:tab/>
      </w:r>
      <w:r>
        <w:fldChar w:fldCharType="begin"/>
      </w:r>
      <w:r>
        <w:instrText xml:space="preserve"> PAGEREF _Toc3004 \h </w:instrText>
      </w:r>
      <w:r>
        <w:fldChar w:fldCharType="separate"/>
      </w:r>
      <w:r>
        <w:t>2</w:t>
      </w:r>
      <w:r>
        <w:fldChar w:fldCharType="end"/>
      </w:r>
      <w:r>
        <w:fldChar w:fldCharType="end"/>
      </w:r>
    </w:p>
    <w:p w14:paraId="59C59EC5">
      <w:pPr>
        <w:pStyle w:val="25"/>
        <w:tabs>
          <w:tab w:val="right" w:leader="dot" w:pos="9355"/>
          <w:tab w:val="clear" w:pos="9344"/>
        </w:tabs>
      </w:pPr>
      <w:r>
        <w:fldChar w:fldCharType="begin"/>
      </w:r>
      <w:r>
        <w:instrText xml:space="preserve"> HYPERLINK \l _Toc30638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strike w:val="0"/>
          <w:dstrike w:val="0"/>
          <w:highlight w:val="none"/>
          <w:lang w:val="en-US" w:eastAsia="zh-CN"/>
        </w:rPr>
        <w:t>设计原则</w:t>
      </w:r>
      <w:r>
        <w:tab/>
      </w:r>
      <w:r>
        <w:fldChar w:fldCharType="begin"/>
      </w:r>
      <w:r>
        <w:instrText xml:space="preserve"> PAGEREF _Toc30638 \h </w:instrText>
      </w:r>
      <w:r>
        <w:fldChar w:fldCharType="separate"/>
      </w:r>
      <w:r>
        <w:t>2</w:t>
      </w:r>
      <w:r>
        <w:fldChar w:fldCharType="end"/>
      </w:r>
      <w:r>
        <w:fldChar w:fldCharType="end"/>
      </w:r>
    </w:p>
    <w:p w14:paraId="483DBA35">
      <w:pPr>
        <w:pStyle w:val="25"/>
        <w:tabs>
          <w:tab w:val="right" w:leader="dot" w:pos="9355"/>
          <w:tab w:val="clear" w:pos="9344"/>
        </w:tabs>
      </w:pPr>
      <w:r>
        <w:fldChar w:fldCharType="begin"/>
      </w:r>
      <w:r>
        <w:instrText xml:space="preserve"> HYPERLINK \l _Toc27762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Ansi="Times New Roman" w:cs="Times New Roman"/>
          <w:lang w:val="en-US" w:eastAsia="zh-CN"/>
        </w:rPr>
        <w:t>轻量化指标要求</w:t>
      </w:r>
      <w:r>
        <w:tab/>
      </w:r>
      <w:r>
        <w:fldChar w:fldCharType="begin"/>
      </w:r>
      <w:r>
        <w:instrText xml:space="preserve"> PAGEREF _Toc27762 \h </w:instrText>
      </w:r>
      <w:r>
        <w:fldChar w:fldCharType="separate"/>
      </w:r>
      <w:r>
        <w:t>2</w:t>
      </w:r>
      <w:r>
        <w:fldChar w:fldCharType="end"/>
      </w:r>
      <w:r>
        <w:fldChar w:fldCharType="end"/>
      </w:r>
    </w:p>
    <w:p w14:paraId="18EF0626">
      <w:pPr>
        <w:pStyle w:val="25"/>
        <w:tabs>
          <w:tab w:val="right" w:leader="dot" w:pos="9355"/>
          <w:tab w:val="clear" w:pos="9344"/>
        </w:tabs>
      </w:pPr>
      <w:r>
        <w:fldChar w:fldCharType="begin"/>
      </w:r>
      <w:r>
        <w:instrText xml:space="preserve"> HYPERLINK \l _Toc14859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Ansi="Times New Roman" w:cs="Times New Roman"/>
          <w:lang w:val="en-US" w:eastAsia="zh-CN"/>
        </w:rPr>
        <w:t>工况适配要求</w:t>
      </w:r>
      <w:r>
        <w:tab/>
      </w:r>
      <w:r>
        <w:fldChar w:fldCharType="begin"/>
      </w:r>
      <w:r>
        <w:instrText xml:space="preserve"> PAGEREF _Toc14859 \h </w:instrText>
      </w:r>
      <w:r>
        <w:fldChar w:fldCharType="separate"/>
      </w:r>
      <w:r>
        <w:t>2</w:t>
      </w:r>
      <w:r>
        <w:fldChar w:fldCharType="end"/>
      </w:r>
      <w:r>
        <w:fldChar w:fldCharType="end"/>
      </w:r>
    </w:p>
    <w:p w14:paraId="6282E22B">
      <w:pPr>
        <w:pStyle w:val="25"/>
        <w:tabs>
          <w:tab w:val="right" w:leader="dot" w:pos="9355"/>
          <w:tab w:val="clear" w:pos="9344"/>
        </w:tabs>
      </w:pPr>
      <w:r>
        <w:fldChar w:fldCharType="begin"/>
      </w:r>
      <w:r>
        <w:instrText xml:space="preserve"> HYPERLINK \l _Toc3206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4.4 </w:t>
      </w:r>
      <w:r>
        <w:rPr>
          <w:rFonts w:hint="eastAsia" w:hAnsi="Times New Roman" w:cs="Times New Roman"/>
        </w:rPr>
        <w:t>通用化与模块化要求</w:t>
      </w:r>
      <w:r>
        <w:tab/>
      </w:r>
      <w:r>
        <w:fldChar w:fldCharType="begin"/>
      </w:r>
      <w:r>
        <w:instrText xml:space="preserve"> PAGEREF _Toc3206 \h </w:instrText>
      </w:r>
      <w:r>
        <w:fldChar w:fldCharType="separate"/>
      </w:r>
      <w:r>
        <w:t>2</w:t>
      </w:r>
      <w:r>
        <w:fldChar w:fldCharType="end"/>
      </w:r>
      <w:r>
        <w:fldChar w:fldCharType="end"/>
      </w:r>
    </w:p>
    <w:p w14:paraId="6CE039F5">
      <w:pPr>
        <w:pStyle w:val="20"/>
        <w:tabs>
          <w:tab w:val="right" w:leader="dot" w:pos="9355"/>
        </w:tabs>
      </w:pPr>
      <w:r>
        <w:fldChar w:fldCharType="begin"/>
      </w:r>
      <w:r>
        <w:instrText xml:space="preserve"> HYPERLINK \l _Toc26223 </w:instrText>
      </w:r>
      <w:r>
        <w:fldChar w:fldCharType="separate"/>
      </w:r>
      <w:r>
        <w:rPr>
          <w:rFonts w:hint="eastAsia" w:ascii="黑体" w:eastAsia="黑体"/>
          <w:i w:val="0"/>
        </w:rPr>
        <w:t xml:space="preserve">5 </w:t>
      </w:r>
      <w:r>
        <w:rPr>
          <w:rFonts w:hint="eastAsia"/>
        </w:rPr>
        <w:t>结构设计参数</w:t>
      </w:r>
      <w:r>
        <w:tab/>
      </w:r>
      <w:r>
        <w:fldChar w:fldCharType="begin"/>
      </w:r>
      <w:r>
        <w:instrText xml:space="preserve"> PAGEREF _Toc26223 \h </w:instrText>
      </w:r>
      <w:r>
        <w:fldChar w:fldCharType="separate"/>
      </w:r>
      <w:r>
        <w:t>2</w:t>
      </w:r>
      <w:r>
        <w:fldChar w:fldCharType="end"/>
      </w:r>
      <w:r>
        <w:fldChar w:fldCharType="end"/>
      </w:r>
    </w:p>
    <w:p w14:paraId="51C04C87">
      <w:pPr>
        <w:pStyle w:val="25"/>
        <w:tabs>
          <w:tab w:val="right" w:leader="dot" w:pos="9355"/>
          <w:tab w:val="clear" w:pos="9344"/>
        </w:tabs>
      </w:pPr>
      <w:r>
        <w:fldChar w:fldCharType="begin"/>
      </w:r>
      <w:r>
        <w:instrText xml:space="preserve"> HYPERLINK \l _Toc6933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rPr>
        <w:t>整体结构尺寸参数</w:t>
      </w:r>
      <w:r>
        <w:tab/>
      </w:r>
      <w:r>
        <w:fldChar w:fldCharType="begin"/>
      </w:r>
      <w:r>
        <w:instrText xml:space="preserve"> PAGEREF _Toc6933 \h </w:instrText>
      </w:r>
      <w:r>
        <w:fldChar w:fldCharType="separate"/>
      </w:r>
      <w:r>
        <w:t>2</w:t>
      </w:r>
      <w:r>
        <w:fldChar w:fldCharType="end"/>
      </w:r>
      <w:r>
        <w:fldChar w:fldCharType="end"/>
      </w:r>
    </w:p>
    <w:p w14:paraId="31D4FFC6">
      <w:pPr>
        <w:pStyle w:val="25"/>
        <w:tabs>
          <w:tab w:val="right" w:leader="dot" w:pos="9355"/>
          <w:tab w:val="clear" w:pos="9344"/>
        </w:tabs>
      </w:pPr>
      <w:r>
        <w:fldChar w:fldCharType="begin"/>
      </w:r>
      <w:r>
        <w:instrText xml:space="preserve"> HYPERLINK \l _Toc21172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5.2 </w:t>
      </w:r>
      <w:r>
        <w:rPr>
          <w:rFonts w:hint="eastAsia" w:hAnsi="Times New Roman" w:cs="Times New Roman"/>
        </w:rPr>
        <w:t>凸轮结构</w:t>
      </w:r>
      <w:r>
        <w:rPr>
          <w:rFonts w:hint="eastAsia" w:hAnsi="Times New Roman" w:cs="Times New Roman"/>
          <w:lang w:val="en-US" w:eastAsia="zh-CN"/>
        </w:rPr>
        <w:t>精度</w:t>
      </w:r>
      <w:r>
        <w:rPr>
          <w:rFonts w:hint="eastAsia" w:hAnsi="Times New Roman" w:cs="Times New Roman"/>
        </w:rPr>
        <w:t>参数</w:t>
      </w:r>
      <w:r>
        <w:tab/>
      </w:r>
      <w:r>
        <w:fldChar w:fldCharType="begin"/>
      </w:r>
      <w:r>
        <w:instrText xml:space="preserve"> PAGEREF _Toc21172 \h </w:instrText>
      </w:r>
      <w:r>
        <w:fldChar w:fldCharType="separate"/>
      </w:r>
      <w:r>
        <w:t>2</w:t>
      </w:r>
      <w:r>
        <w:fldChar w:fldCharType="end"/>
      </w:r>
      <w:r>
        <w:fldChar w:fldCharType="end"/>
      </w:r>
    </w:p>
    <w:p w14:paraId="60B67193">
      <w:pPr>
        <w:pStyle w:val="25"/>
        <w:tabs>
          <w:tab w:val="right" w:leader="dot" w:pos="9355"/>
          <w:tab w:val="clear" w:pos="9344"/>
        </w:tabs>
      </w:pPr>
      <w:r>
        <w:fldChar w:fldCharType="begin"/>
      </w:r>
      <w:r>
        <w:instrText xml:space="preserve"> HYPERLINK \l _Toc5395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hAnsi="Times New Roman" w:cs="Times New Roman"/>
        </w:rPr>
        <w:t>轴颈结构</w:t>
      </w:r>
      <w:r>
        <w:rPr>
          <w:rFonts w:hint="eastAsia" w:hAnsi="Times New Roman" w:cs="Times New Roman"/>
          <w:lang w:val="en-US" w:eastAsia="zh-CN"/>
        </w:rPr>
        <w:t>精度</w:t>
      </w:r>
      <w:r>
        <w:rPr>
          <w:rFonts w:hint="eastAsia" w:hAnsi="Times New Roman" w:cs="Times New Roman"/>
        </w:rPr>
        <w:t>参数</w:t>
      </w:r>
      <w:r>
        <w:tab/>
      </w:r>
      <w:r>
        <w:fldChar w:fldCharType="begin"/>
      </w:r>
      <w:r>
        <w:instrText xml:space="preserve"> PAGEREF _Toc5395 \h </w:instrText>
      </w:r>
      <w:r>
        <w:fldChar w:fldCharType="separate"/>
      </w:r>
      <w:r>
        <w:t>3</w:t>
      </w:r>
      <w:r>
        <w:fldChar w:fldCharType="end"/>
      </w:r>
      <w:r>
        <w:fldChar w:fldCharType="end"/>
      </w:r>
    </w:p>
    <w:p w14:paraId="5C756056">
      <w:pPr>
        <w:pStyle w:val="20"/>
        <w:tabs>
          <w:tab w:val="right" w:leader="dot" w:pos="9355"/>
        </w:tabs>
      </w:pPr>
      <w:r>
        <w:fldChar w:fldCharType="begin"/>
      </w:r>
      <w:r>
        <w:instrText xml:space="preserve"> HYPERLINK \l _Toc5237 </w:instrText>
      </w:r>
      <w:r>
        <w:fldChar w:fldCharType="separate"/>
      </w:r>
      <w:r>
        <w:rPr>
          <w:rFonts w:hint="eastAsia" w:ascii="黑体" w:hAnsi="Times New Roman" w:eastAsia="黑体" w:cs="Times New Roman"/>
          <w:i w:val="0"/>
        </w:rPr>
        <w:t xml:space="preserve">6 </w:t>
      </w:r>
      <w:r>
        <w:rPr>
          <w:rFonts w:hint="eastAsia" w:hAnsi="Times New Roman" w:cs="Times New Roman"/>
        </w:rPr>
        <w:t>轻量化结构设计要求</w:t>
      </w:r>
      <w:r>
        <w:tab/>
      </w:r>
      <w:r>
        <w:fldChar w:fldCharType="begin"/>
      </w:r>
      <w:r>
        <w:instrText xml:space="preserve"> PAGEREF _Toc5237 \h </w:instrText>
      </w:r>
      <w:r>
        <w:fldChar w:fldCharType="separate"/>
      </w:r>
      <w:r>
        <w:t>3</w:t>
      </w:r>
      <w:r>
        <w:fldChar w:fldCharType="end"/>
      </w:r>
      <w:r>
        <w:fldChar w:fldCharType="end"/>
      </w:r>
    </w:p>
    <w:p w14:paraId="06CAA7C4">
      <w:pPr>
        <w:pStyle w:val="25"/>
        <w:tabs>
          <w:tab w:val="right" w:leader="dot" w:pos="9355"/>
          <w:tab w:val="clear" w:pos="9344"/>
        </w:tabs>
      </w:pPr>
      <w:r>
        <w:fldChar w:fldCharType="begin"/>
      </w:r>
      <w:r>
        <w:instrText xml:space="preserve"> HYPERLINK \l _Toc31807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hAnsi="Times New Roman" w:cs="Times New Roman"/>
          <w:lang w:val="en-US" w:eastAsia="zh-CN"/>
        </w:rPr>
        <w:t>材料选型</w:t>
      </w:r>
      <w:r>
        <w:tab/>
      </w:r>
      <w:r>
        <w:fldChar w:fldCharType="begin"/>
      </w:r>
      <w:r>
        <w:instrText xml:space="preserve"> PAGEREF _Toc31807 \h </w:instrText>
      </w:r>
      <w:r>
        <w:fldChar w:fldCharType="separate"/>
      </w:r>
      <w:r>
        <w:t>3</w:t>
      </w:r>
      <w:r>
        <w:fldChar w:fldCharType="end"/>
      </w:r>
      <w:r>
        <w:fldChar w:fldCharType="end"/>
      </w:r>
    </w:p>
    <w:p w14:paraId="56A536BB">
      <w:pPr>
        <w:pStyle w:val="25"/>
        <w:tabs>
          <w:tab w:val="right" w:leader="dot" w:pos="9355"/>
          <w:tab w:val="clear" w:pos="9344"/>
        </w:tabs>
      </w:pPr>
      <w:r>
        <w:fldChar w:fldCharType="begin"/>
      </w:r>
      <w:r>
        <w:instrText xml:space="preserve"> HYPERLINK \l _Toc9919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default" w:hAnsi="Times New Roman" w:cs="Times New Roman"/>
          <w:lang w:val="en-US" w:eastAsia="zh-CN"/>
        </w:rPr>
        <w:t>整体式空心凸轮轴结构设计</w:t>
      </w:r>
      <w:r>
        <w:tab/>
      </w:r>
      <w:r>
        <w:fldChar w:fldCharType="begin"/>
      </w:r>
      <w:r>
        <w:instrText xml:space="preserve"> PAGEREF _Toc9919 \h </w:instrText>
      </w:r>
      <w:r>
        <w:fldChar w:fldCharType="separate"/>
      </w:r>
      <w:r>
        <w:t>4</w:t>
      </w:r>
      <w:r>
        <w:fldChar w:fldCharType="end"/>
      </w:r>
      <w:r>
        <w:fldChar w:fldCharType="end"/>
      </w:r>
    </w:p>
    <w:p w14:paraId="468DC0C6">
      <w:pPr>
        <w:pStyle w:val="25"/>
        <w:tabs>
          <w:tab w:val="right" w:leader="dot" w:pos="9355"/>
          <w:tab w:val="clear" w:pos="9344"/>
        </w:tabs>
      </w:pPr>
      <w:r>
        <w:fldChar w:fldCharType="begin"/>
      </w:r>
      <w:r>
        <w:instrText xml:space="preserve"> HYPERLINK \l _Toc1689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default" w:hAnsi="Times New Roman" w:cs="Times New Roman"/>
          <w:lang w:val="en-US" w:eastAsia="zh-CN"/>
        </w:rPr>
        <w:t>装配式凸轮轴结构设计</w:t>
      </w:r>
      <w:r>
        <w:tab/>
      </w:r>
      <w:r>
        <w:fldChar w:fldCharType="begin"/>
      </w:r>
      <w:r>
        <w:instrText xml:space="preserve"> PAGEREF _Toc1689 \h </w:instrText>
      </w:r>
      <w:r>
        <w:fldChar w:fldCharType="separate"/>
      </w:r>
      <w:r>
        <w:t>4</w:t>
      </w:r>
      <w:r>
        <w:fldChar w:fldCharType="end"/>
      </w:r>
      <w:r>
        <w:fldChar w:fldCharType="end"/>
      </w:r>
    </w:p>
    <w:p w14:paraId="4F45DB39">
      <w:pPr>
        <w:pStyle w:val="25"/>
        <w:tabs>
          <w:tab w:val="right" w:leader="dot" w:pos="9355"/>
          <w:tab w:val="clear" w:pos="9344"/>
        </w:tabs>
      </w:pPr>
      <w:r>
        <w:fldChar w:fldCharType="begin"/>
      </w:r>
      <w:r>
        <w:instrText xml:space="preserve"> HYPERLINK \l _Toc31275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default" w:hAnsi="Times New Roman" w:cs="Times New Roman"/>
          <w:lang w:val="en-US" w:eastAsia="zh-CN"/>
        </w:rPr>
        <w:t>轻量化结构优化</w:t>
      </w:r>
      <w:r>
        <w:tab/>
      </w:r>
      <w:r>
        <w:fldChar w:fldCharType="begin"/>
      </w:r>
      <w:r>
        <w:instrText xml:space="preserve"> PAGEREF _Toc31275 \h </w:instrText>
      </w:r>
      <w:r>
        <w:fldChar w:fldCharType="separate"/>
      </w:r>
      <w:r>
        <w:t>4</w:t>
      </w:r>
      <w:r>
        <w:fldChar w:fldCharType="end"/>
      </w:r>
      <w:r>
        <w:fldChar w:fldCharType="end"/>
      </w:r>
    </w:p>
    <w:p w14:paraId="455B6229">
      <w:pPr>
        <w:pStyle w:val="25"/>
        <w:tabs>
          <w:tab w:val="right" w:leader="dot" w:pos="9355"/>
          <w:tab w:val="clear" w:pos="9344"/>
        </w:tabs>
      </w:pPr>
      <w:r>
        <w:fldChar w:fldCharType="begin"/>
      </w:r>
      <w:r>
        <w:instrText xml:space="preserve"> HYPERLINK \l _Toc4741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default" w:hAnsi="Times New Roman" w:cs="Times New Roman"/>
          <w:lang w:val="en-US" w:eastAsia="zh-CN"/>
        </w:rPr>
        <w:t>结构刚度与强度适配设计</w:t>
      </w:r>
      <w:r>
        <w:tab/>
      </w:r>
      <w:r>
        <w:fldChar w:fldCharType="begin"/>
      </w:r>
      <w:r>
        <w:instrText xml:space="preserve"> PAGEREF _Toc4741 \h </w:instrText>
      </w:r>
      <w:r>
        <w:fldChar w:fldCharType="separate"/>
      </w:r>
      <w:r>
        <w:t>4</w:t>
      </w:r>
      <w:r>
        <w:fldChar w:fldCharType="end"/>
      </w:r>
      <w:r>
        <w:fldChar w:fldCharType="end"/>
      </w:r>
    </w:p>
    <w:p w14:paraId="40CCDC03">
      <w:pPr>
        <w:pStyle w:val="20"/>
        <w:tabs>
          <w:tab w:val="right" w:leader="dot" w:pos="9355"/>
        </w:tabs>
      </w:pPr>
      <w:r>
        <w:fldChar w:fldCharType="begin"/>
      </w:r>
      <w:r>
        <w:instrText xml:space="preserve"> HYPERLINK \l _Toc11003 </w:instrText>
      </w:r>
      <w:r>
        <w:fldChar w:fldCharType="separate"/>
      </w:r>
      <w:r>
        <w:rPr>
          <w:rFonts w:hint="eastAsia" w:ascii="黑体" w:hAnsi="Times New Roman" w:eastAsia="黑体" w:cs="Times New Roman"/>
          <w:i w:val="0"/>
          <w:lang w:val="en-US" w:eastAsia="zh-CN"/>
        </w:rPr>
        <w:t xml:space="preserve">7 </w:t>
      </w:r>
      <w:r>
        <w:rPr>
          <w:rFonts w:hint="default" w:hAnsi="Times New Roman" w:cs="Times New Roman"/>
          <w:lang w:val="en-US" w:eastAsia="zh-CN"/>
        </w:rPr>
        <w:t>设计验证要求</w:t>
      </w:r>
      <w:r>
        <w:tab/>
      </w:r>
      <w:r>
        <w:fldChar w:fldCharType="begin"/>
      </w:r>
      <w:r>
        <w:instrText xml:space="preserve"> PAGEREF _Toc11003 \h </w:instrText>
      </w:r>
      <w:r>
        <w:fldChar w:fldCharType="separate"/>
      </w:r>
      <w:r>
        <w:t>5</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10339"/>
      <w:bookmarkStart w:id="24" w:name="_Toc4119"/>
      <w:bookmarkStart w:id="25" w:name="_Toc22953"/>
      <w:bookmarkStart w:id="26" w:name="_Toc12785"/>
      <w:bookmarkStart w:id="27" w:name="_Toc12023"/>
      <w:bookmarkStart w:id="28" w:name="_Toc6409"/>
      <w:bookmarkStart w:id="29" w:name="_Toc1089"/>
      <w:bookmarkStart w:id="30" w:name="_Toc24248"/>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start="3"/>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rPr>
            <w:t>轻量化凸轮轴结构设计规范</w:t>
          </w:r>
        </w:p>
      </w:sdtContent>
    </w:sdt>
    <w:bookmarkEnd w:id="33"/>
    <w:p w14:paraId="1B252E94">
      <w:pPr>
        <w:pStyle w:val="108"/>
      </w:pPr>
      <w:bookmarkStart w:id="34" w:name="_Toc148612845"/>
      <w:bookmarkStart w:id="35" w:name="_Toc24884218"/>
      <w:bookmarkStart w:id="36" w:name="_Toc23396"/>
      <w:bookmarkStart w:id="37" w:name="_Toc26986771"/>
      <w:bookmarkStart w:id="38" w:name="_Toc3015"/>
      <w:bookmarkStart w:id="39" w:name="_Toc95723355"/>
      <w:bookmarkStart w:id="40" w:name="_Toc24884211"/>
      <w:bookmarkStart w:id="41" w:name="_Toc31963"/>
      <w:bookmarkStart w:id="42" w:name="_Toc28437"/>
      <w:bookmarkStart w:id="43" w:name="_Toc17233333"/>
      <w:bookmarkStart w:id="44" w:name="_Toc8165"/>
      <w:bookmarkStart w:id="45" w:name="_Toc150158740"/>
      <w:bookmarkStart w:id="46" w:name="_Toc26718930"/>
      <w:bookmarkStart w:id="47" w:name="_Toc95920575"/>
      <w:bookmarkStart w:id="48" w:name="_Toc95920558"/>
      <w:bookmarkStart w:id="49" w:name="_Toc26986530"/>
      <w:bookmarkStart w:id="50" w:name="_Toc26648465"/>
      <w:bookmarkStart w:id="51" w:name="_Toc31759"/>
      <w:bookmarkStart w:id="52" w:name="_Toc16952"/>
      <w:bookmarkStart w:id="53" w:name="_Toc150158767"/>
      <w:bookmarkStart w:id="54" w:name="_Toc17233325"/>
      <w:bookmarkStart w:id="55" w:name="_Toc32303"/>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C41A64">
      <w:pPr>
        <w:pStyle w:val="60"/>
        <w:ind w:firstLine="420"/>
        <w:rPr>
          <w:rFonts w:hint="eastAsia"/>
        </w:rPr>
      </w:pPr>
      <w:r>
        <w:rPr>
          <w:rFonts w:hint="eastAsia"/>
        </w:rPr>
        <w:t>本文件规定了轻量化凸轮轴</w:t>
      </w:r>
      <w:r>
        <w:rPr>
          <w:rFonts w:hint="eastAsia"/>
          <w:lang w:val="en-US" w:eastAsia="zh-CN"/>
        </w:rPr>
        <w:t>结构设计</w:t>
      </w:r>
      <w:r>
        <w:rPr>
          <w:rFonts w:hint="eastAsia"/>
        </w:rPr>
        <w:t>的总体设计要求、结构</w:t>
      </w:r>
      <w:r>
        <w:rPr>
          <w:rFonts w:hint="eastAsia"/>
          <w:lang w:val="en-US" w:eastAsia="zh-CN"/>
        </w:rPr>
        <w:t>设计</w:t>
      </w:r>
      <w:r>
        <w:rPr>
          <w:rFonts w:hint="eastAsia"/>
        </w:rPr>
        <w:t>参数、</w:t>
      </w:r>
      <w:r>
        <w:rPr>
          <w:rFonts w:hint="eastAsia"/>
          <w:lang w:val="en-US" w:eastAsia="zh-CN"/>
        </w:rPr>
        <w:t>轻量化结构设计要求及设计验证要求</w:t>
      </w:r>
      <w:r>
        <w:rPr>
          <w:rFonts w:hint="eastAsia"/>
        </w:rPr>
        <w:t>。</w:t>
      </w:r>
    </w:p>
    <w:p w14:paraId="7EFB3324">
      <w:pPr>
        <w:pStyle w:val="60"/>
        <w:ind w:firstLine="420"/>
      </w:pPr>
      <w:r>
        <w:rPr>
          <w:rFonts w:hint="eastAsia"/>
        </w:rPr>
        <w:t>本文件适用于往复式内燃机、通用动力机械、小型工程机械配套的空心装配式、薄壁整体式轻量化凸轮轴的结构设计，其他轻量化异形凸轮轴可参照执行。</w:t>
      </w:r>
    </w:p>
    <w:p w14:paraId="720FAAF1">
      <w:pPr>
        <w:pStyle w:val="108"/>
      </w:pPr>
      <w:bookmarkStart w:id="56" w:name="_Toc26986772"/>
      <w:bookmarkStart w:id="57" w:name="_Toc23549"/>
      <w:bookmarkStart w:id="58" w:name="_Toc95920576"/>
      <w:bookmarkStart w:id="59" w:name="_Toc12693"/>
      <w:bookmarkStart w:id="60" w:name="_Toc26986531"/>
      <w:bookmarkStart w:id="61" w:name="_Toc24884219"/>
      <w:bookmarkStart w:id="62" w:name="_Toc7083"/>
      <w:bookmarkStart w:id="63" w:name="_Toc221"/>
      <w:bookmarkStart w:id="64" w:name="_Toc26648466"/>
      <w:bookmarkStart w:id="65" w:name="_Toc148612846"/>
      <w:bookmarkStart w:id="66" w:name="_Toc26718931"/>
      <w:bookmarkStart w:id="67" w:name="_Toc150158768"/>
      <w:bookmarkStart w:id="68" w:name="_Toc95723356"/>
      <w:bookmarkStart w:id="69" w:name="_Toc150158741"/>
      <w:bookmarkStart w:id="70" w:name="_Toc95920559"/>
      <w:bookmarkStart w:id="71" w:name="_Toc24884212"/>
      <w:bookmarkStart w:id="72" w:name="_Toc17233326"/>
      <w:bookmarkStart w:id="73" w:name="_Toc10750"/>
      <w:bookmarkStart w:id="74" w:name="_Toc3515"/>
      <w:bookmarkStart w:id="75" w:name="_Toc2971"/>
      <w:bookmarkStart w:id="76" w:name="_Toc31578"/>
      <w:bookmarkStart w:id="77" w:name="_Toc17233334"/>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61243F78">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GB/T 1184</w:t>
      </w:r>
      <w:r>
        <w:rPr>
          <w:rFonts w:hint="eastAsia" w:ascii="宋体" w:hAnsi="宋体" w:eastAsia="宋体" w:cs="宋体"/>
          <w:szCs w:val="21"/>
          <w:highlight w:val="none"/>
          <w:lang w:val="en-US" w:eastAsia="zh-CN"/>
        </w:rPr>
        <w:t xml:space="preserve">  形状和位置公差 未注公差值</w:t>
      </w:r>
    </w:p>
    <w:p w14:paraId="15FCC889">
      <w:pPr>
        <w:pStyle w:val="60"/>
        <w:ind w:firstLine="420"/>
        <w:jc w:val="left"/>
        <w:rPr>
          <w:rFonts w:hint="eastAsia" w:ascii="宋体" w:hAnsi="宋体" w:eastAsia="宋体" w:cs="宋体"/>
          <w:szCs w:val="21"/>
          <w:highlight w:val="none"/>
        </w:rPr>
      </w:pPr>
      <w:r>
        <w:rPr>
          <w:rFonts w:hint="eastAsia" w:ascii="宋体" w:hAnsi="宋体" w:eastAsia="宋体" w:cs="宋体"/>
          <w:szCs w:val="21"/>
          <w:highlight w:val="none"/>
        </w:rPr>
        <w:t>GB/T 1348  球墨铸铁件</w:t>
      </w:r>
    </w:p>
    <w:p w14:paraId="1C8E1810">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GB/T 1800.2</w:t>
      </w:r>
      <w:r>
        <w:rPr>
          <w:rFonts w:hint="eastAsia" w:ascii="宋体" w:hAnsi="宋体" w:eastAsia="宋体" w:cs="宋体"/>
          <w:szCs w:val="21"/>
          <w:highlight w:val="none"/>
          <w:lang w:val="en-US" w:eastAsia="zh-CN"/>
        </w:rPr>
        <w:t xml:space="preserve">  产品几何技术规范（GPS） 线性尺寸公差ISO代号体系 第2部分：标准公差带代号和孔、轴的极限偏差表</w:t>
      </w:r>
    </w:p>
    <w:p w14:paraId="452D7715">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GB/T 2689.4</w:t>
      </w:r>
      <w:r>
        <w:rPr>
          <w:rFonts w:hint="eastAsia" w:ascii="宋体" w:hAnsi="宋体" w:eastAsia="宋体" w:cs="宋体"/>
          <w:szCs w:val="21"/>
          <w:highlight w:val="none"/>
          <w:lang w:val="en-US" w:eastAsia="zh-CN"/>
        </w:rPr>
        <w:t xml:space="preserve">  寿命试验和加速寿命试验的最好线性无偏估计法（用于威布尔分布）</w:t>
      </w:r>
    </w:p>
    <w:p w14:paraId="650873D5">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GB/T 3077</w:t>
      </w:r>
      <w:r>
        <w:rPr>
          <w:rFonts w:hint="eastAsia" w:ascii="宋体" w:hAnsi="宋体" w:eastAsia="宋体" w:cs="宋体"/>
          <w:szCs w:val="21"/>
          <w:highlight w:val="none"/>
          <w:lang w:val="en-US" w:eastAsia="zh-CN"/>
        </w:rPr>
        <w:t xml:space="preserve">  合金结构钢</w:t>
      </w:r>
    </w:p>
    <w:p w14:paraId="69A71307">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GB/T 9439</w:t>
      </w:r>
      <w:r>
        <w:rPr>
          <w:rFonts w:hint="eastAsia" w:ascii="宋体" w:hAnsi="宋体" w:eastAsia="宋体" w:cs="宋体"/>
          <w:szCs w:val="21"/>
          <w:highlight w:val="none"/>
          <w:lang w:val="en-US" w:eastAsia="zh-CN"/>
        </w:rPr>
        <w:t xml:space="preserve">  灰铸铁件</w:t>
      </w:r>
    </w:p>
    <w:p w14:paraId="348FCE1E">
      <w:pPr>
        <w:pStyle w:val="60"/>
        <w:ind w:firstLine="42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JB/T 6728.1</w:t>
      </w:r>
      <w:r>
        <w:rPr>
          <w:rFonts w:hint="eastAsia" w:ascii="宋体" w:hAnsi="宋体" w:eastAsia="宋体" w:cs="宋体"/>
          <w:szCs w:val="21"/>
          <w:highlight w:val="none"/>
          <w:lang w:val="en-US" w:eastAsia="zh-CN"/>
        </w:rPr>
        <w:t xml:space="preserve">  内燃机 凸轮轴 第1部分:技术条件</w:t>
      </w:r>
    </w:p>
    <w:p w14:paraId="74F56451">
      <w:pPr>
        <w:pStyle w:val="60"/>
        <w:rPr>
          <w:rFonts w:hint="eastAsia" w:ascii="宋体" w:hAnsi="宋体" w:eastAsia="宋体" w:cs="宋体"/>
          <w:szCs w:val="21"/>
          <w:highlight w:val="none"/>
        </w:rPr>
      </w:pPr>
      <w:r>
        <w:rPr>
          <w:rFonts w:hint="eastAsia" w:ascii="宋体" w:hAnsi="宋体" w:eastAsia="宋体" w:cs="宋体"/>
        </w:rPr>
        <w:t>QC/T 544</w:t>
      </w:r>
      <w:r>
        <w:rPr>
          <w:rFonts w:hint="eastAsia" w:ascii="宋体" w:hAnsi="宋体" w:eastAsia="宋体" w:cs="宋体"/>
          <w:lang w:val="en-US" w:eastAsia="zh-CN"/>
        </w:rPr>
        <w:t xml:space="preserve">  </w:t>
      </w:r>
      <w:r>
        <w:rPr>
          <w:rFonts w:hint="eastAsia" w:ascii="宋体" w:hAnsi="宋体" w:eastAsia="宋体" w:cs="宋体"/>
        </w:rPr>
        <w:t>汽车发动机凸轮轴</w:t>
      </w:r>
    </w:p>
    <w:p w14:paraId="33B04CE7">
      <w:pPr>
        <w:pStyle w:val="108"/>
      </w:pPr>
      <w:bookmarkStart w:id="79" w:name="_Toc7797"/>
      <w:bookmarkStart w:id="80" w:name="_Toc18478"/>
      <w:bookmarkStart w:id="81" w:name="_Toc20221"/>
      <w:bookmarkStart w:id="82" w:name="_Toc3185"/>
      <w:bookmarkStart w:id="83" w:name="_Toc1462"/>
      <w:bookmarkStart w:id="84" w:name="_Toc27619"/>
      <w:bookmarkStart w:id="85" w:name="_Toc522"/>
      <w:bookmarkStart w:id="86" w:name="_Toc5621"/>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eastAsia"/>
            </w:rPr>
            <w:t>QC/T 544</w:t>
          </w:r>
          <w:r>
            <w:rPr>
              <w:rFonts w:hint="default" w:ascii="宋体" w:hAnsi="宋体" w:eastAsia="宋体" w:cs="宋体"/>
              <w:sz w:val="21"/>
              <w:highlight w:val="none"/>
              <w:lang w:val="en-US" w:eastAsia="zh-CN" w:bidi="ar-SA"/>
            </w:rPr>
            <w:t>界定的以及下列术语和定义适用于本文件。</w:t>
          </w:r>
        </w:sdtContent>
      </w:sdt>
      <w:bookmarkStart w:id="87" w:name="_Toc30596"/>
      <w:bookmarkEnd w:id="87"/>
      <w:bookmarkStart w:id="88" w:name="_Toc23256"/>
      <w:bookmarkEnd w:id="88"/>
      <w:bookmarkStart w:id="89" w:name="_Toc11463"/>
      <w:bookmarkEnd w:id="89"/>
      <w:bookmarkStart w:id="90" w:name="_Toc12163"/>
      <w:bookmarkEnd w:id="90"/>
      <w:bookmarkStart w:id="91" w:name="_Toc27383"/>
      <w:bookmarkEnd w:id="91"/>
      <w:bookmarkStart w:id="92" w:name="_Toc22396"/>
      <w:bookmarkEnd w:id="92"/>
      <w:bookmarkStart w:id="93" w:name="_Toc14446"/>
      <w:bookmarkEnd w:id="93"/>
      <w:bookmarkStart w:id="94" w:name="_Toc28571"/>
      <w:bookmarkEnd w:id="94"/>
      <w:bookmarkStart w:id="95" w:name="_Toc9732"/>
      <w:bookmarkEnd w:id="95"/>
      <w:bookmarkStart w:id="96" w:name="_Toc12732"/>
      <w:bookmarkEnd w:id="96"/>
    </w:p>
    <w:p w14:paraId="45E3AC7F">
      <w:pPr>
        <w:pStyle w:val="109"/>
        <w:spacing w:after="120" w:afterLines="50"/>
        <w:ind w:left="0"/>
        <w:jc w:val="both"/>
        <w:rPr>
          <w:rFonts w:hint="eastAsia"/>
        </w:rPr>
      </w:pPr>
      <w:bookmarkStart w:id="97" w:name="_Toc8578"/>
      <w:bookmarkEnd w:id="97"/>
      <w:bookmarkStart w:id="98" w:name="_Toc986"/>
      <w:bookmarkEnd w:id="98"/>
      <w:bookmarkStart w:id="99" w:name="_Toc32297"/>
      <w:bookmarkEnd w:id="99"/>
      <w:bookmarkStart w:id="100" w:name="_Toc24048"/>
    </w:p>
    <w:p w14:paraId="25693C6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eastAsia="黑体"/>
          <w:lang w:val="en-US" w:eastAsia="zh-CN"/>
        </w:rPr>
      </w:pPr>
      <w:bookmarkStart w:id="101" w:name="_Toc14719"/>
      <w:r>
        <w:rPr>
          <w:rFonts w:hint="eastAsia" w:eastAsia="黑体"/>
          <w:lang w:val="en-US" w:eastAsia="zh-CN"/>
        </w:rPr>
        <w:t>轻量化凸轮轴 lightweight camshaft</w:t>
      </w:r>
      <w:bookmarkEnd w:id="101"/>
    </w:p>
    <w:p w14:paraId="5B207740">
      <w:pPr>
        <w:pStyle w:val="60"/>
        <w:rPr>
          <w:rFonts w:hint="eastAsia"/>
          <w:lang w:val="en-US" w:eastAsia="zh-CN"/>
        </w:rPr>
      </w:pPr>
      <w:r>
        <w:rPr>
          <w:rFonts w:hint="default"/>
          <w:lang w:val="en-US" w:eastAsia="zh-CN"/>
        </w:rPr>
        <w:t>采用空心结构、薄壁成型、轻量化合金材料或装配式组合结构，在满足力学性能、运动精度和使用寿命要求的前提下，相较于传统实心铸铁、钢制凸轮轴，减重率不低于20%的凸轮轴总成</w:t>
      </w:r>
      <w:r>
        <w:rPr>
          <w:rFonts w:hint="eastAsia"/>
          <w:lang w:val="en-US" w:eastAsia="zh-CN"/>
        </w:rPr>
        <w:t>。</w:t>
      </w:r>
    </w:p>
    <w:p w14:paraId="0F0658C8">
      <w:pPr>
        <w:pStyle w:val="109"/>
        <w:spacing w:after="120" w:afterLines="50"/>
        <w:ind w:left="0"/>
        <w:jc w:val="both"/>
        <w:rPr>
          <w:rFonts w:hint="default"/>
          <w:lang w:val="en-US" w:eastAsia="zh-CN"/>
        </w:rPr>
      </w:pPr>
      <w:bookmarkStart w:id="102" w:name="_Toc26626"/>
      <w:bookmarkEnd w:id="102"/>
    </w:p>
    <w:p w14:paraId="5D9D690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hAnsi="Times New Roman" w:eastAsia="黑体" w:cs="Times New Roman"/>
          <w:lang w:val="en-US" w:eastAsia="zh-CN"/>
        </w:rPr>
      </w:pPr>
      <w:bookmarkStart w:id="103" w:name="_Toc17874"/>
      <w:r>
        <w:rPr>
          <w:rFonts w:hint="default" w:hAnsi="Times New Roman" w:eastAsia="黑体" w:cs="Times New Roman"/>
          <w:lang w:val="en-US" w:eastAsia="zh-CN"/>
        </w:rPr>
        <w:t>空心整体式凸轮轴</w:t>
      </w:r>
      <w:r>
        <w:rPr>
          <w:rFonts w:hint="eastAsia" w:hAnsi="Times New Roman" w:cs="Times New Roman"/>
          <w:lang w:val="en-US" w:eastAsia="zh-CN"/>
        </w:rPr>
        <w:t xml:space="preserve"> integrated hollow camshaft</w:t>
      </w:r>
      <w:bookmarkEnd w:id="103"/>
    </w:p>
    <w:p w14:paraId="0E9613E2">
      <w:pPr>
        <w:pStyle w:val="60"/>
        <w:rPr>
          <w:rFonts w:hint="default"/>
          <w:lang w:val="en-US" w:eastAsia="zh-CN"/>
        </w:rPr>
      </w:pPr>
      <w:r>
        <w:rPr>
          <w:rFonts w:hint="default"/>
          <w:lang w:val="en-US" w:eastAsia="zh-CN"/>
        </w:rPr>
        <w:t>通过精密锻造、深孔加工工艺成型，轴体为一体化空心结构，凸轮与轴体为整体结构的轻量化凸轮轴。</w:t>
      </w:r>
    </w:p>
    <w:p w14:paraId="4FEE1AC9">
      <w:pPr>
        <w:pStyle w:val="109"/>
        <w:spacing w:after="120" w:afterLines="50"/>
        <w:ind w:left="0"/>
        <w:jc w:val="both"/>
        <w:rPr>
          <w:rFonts w:hint="default"/>
          <w:lang w:val="en-US" w:eastAsia="zh-CN"/>
        </w:rPr>
      </w:pPr>
      <w:bookmarkStart w:id="104" w:name="_Toc10566"/>
      <w:bookmarkEnd w:id="104"/>
    </w:p>
    <w:p w14:paraId="16BAA3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hAnsi="Times New Roman" w:eastAsia="黑体" w:cs="Times New Roman"/>
          <w:lang w:val="en-US" w:eastAsia="zh-CN"/>
        </w:rPr>
      </w:pPr>
      <w:bookmarkStart w:id="105" w:name="_Toc7536"/>
      <w:r>
        <w:rPr>
          <w:rFonts w:hint="default" w:hAnsi="Times New Roman" w:eastAsia="黑体" w:cs="Times New Roman"/>
          <w:lang w:val="en-US" w:eastAsia="zh-CN"/>
        </w:rPr>
        <w:t>装配式轻量化凸轮轴</w:t>
      </w:r>
      <w:r>
        <w:rPr>
          <w:rFonts w:hint="eastAsia" w:hAnsi="Times New Roman" w:cs="Times New Roman"/>
          <w:lang w:val="en-US" w:eastAsia="zh-CN"/>
        </w:rPr>
        <w:t xml:space="preserve"> assembled lightweight camshaft</w:t>
      </w:r>
      <w:bookmarkEnd w:id="105"/>
    </w:p>
    <w:p w14:paraId="20D1A2D6">
      <w:pPr>
        <w:pStyle w:val="60"/>
        <w:rPr>
          <w:rFonts w:hint="default"/>
          <w:lang w:val="en-US" w:eastAsia="zh-CN"/>
        </w:rPr>
      </w:pPr>
      <w:r>
        <w:rPr>
          <w:rFonts w:hint="default"/>
          <w:lang w:val="en-US" w:eastAsia="zh-CN"/>
        </w:rPr>
        <w:t>采用空心薄壁轴管，通过过盈装配、焊接固定凸轮片、轴颈、端头配件组成的模块化轻量化凸轮轴。</w:t>
      </w:r>
    </w:p>
    <w:p w14:paraId="564C04D1">
      <w:pPr>
        <w:pStyle w:val="109"/>
        <w:spacing w:after="120" w:afterLines="50"/>
        <w:ind w:left="0"/>
        <w:jc w:val="both"/>
        <w:rPr>
          <w:rFonts w:hint="default"/>
          <w:lang w:val="en-US" w:eastAsia="zh-CN"/>
        </w:rPr>
      </w:pPr>
      <w:bookmarkStart w:id="106" w:name="_Toc26066"/>
      <w:bookmarkEnd w:id="106"/>
    </w:p>
    <w:p w14:paraId="70A5D08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hAnsi="Times New Roman" w:eastAsia="黑体" w:cs="Times New Roman"/>
          <w:lang w:val="en-US" w:eastAsia="zh-CN"/>
        </w:rPr>
      </w:pPr>
      <w:bookmarkStart w:id="107" w:name="_Toc23740"/>
      <w:r>
        <w:rPr>
          <w:rFonts w:hint="default" w:hAnsi="Times New Roman" w:eastAsia="黑体" w:cs="Times New Roman"/>
          <w:lang w:val="en-US" w:eastAsia="zh-CN"/>
        </w:rPr>
        <w:t>凸轮基圆</w:t>
      </w:r>
      <w:r>
        <w:rPr>
          <w:rFonts w:hint="eastAsia" w:hAnsi="Times New Roman" w:cs="Times New Roman"/>
          <w:lang w:val="en-US" w:eastAsia="zh-CN"/>
        </w:rPr>
        <w:t xml:space="preserve"> cam base circle</w:t>
      </w:r>
      <w:bookmarkEnd w:id="107"/>
    </w:p>
    <w:p w14:paraId="585C3AF7">
      <w:pPr>
        <w:pStyle w:val="60"/>
        <w:rPr>
          <w:rFonts w:hint="default"/>
          <w:lang w:val="en-US" w:eastAsia="zh-CN"/>
        </w:rPr>
      </w:pPr>
      <w:r>
        <w:rPr>
          <w:rFonts w:hint="default"/>
          <w:lang w:val="en-US" w:eastAsia="zh-CN"/>
        </w:rPr>
        <w:t>凸轮型线的基准圆，即凸轮轮廓曲线中半径最小的圆，其圆心与凸轮轴回转轴线重合，是衡量凸轮轴回转精度、凸轮型线精度的核心基准要素。</w:t>
      </w:r>
    </w:p>
    <w:p w14:paraId="3588B628">
      <w:pPr>
        <w:pStyle w:val="108"/>
      </w:pPr>
      <w:bookmarkStart w:id="108" w:name="_Toc3004"/>
      <w:r>
        <w:rPr>
          <w:rFonts w:hint="eastAsia"/>
          <w:lang w:val="en-US" w:eastAsia="zh-CN"/>
        </w:rPr>
        <w:t>总体设计要求</w:t>
      </w:r>
      <w:bookmarkEnd w:id="108"/>
    </w:p>
    <w:bookmarkEnd w:id="78"/>
    <w:bookmarkEnd w:id="100"/>
    <w:p w14:paraId="46CE3BE7">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09" w:name="_Toc30638"/>
      <w:r>
        <w:rPr>
          <w:rFonts w:hint="eastAsia"/>
          <w:strike w:val="0"/>
          <w:dstrike w:val="0"/>
          <w:highlight w:val="none"/>
          <w:lang w:val="en-US" w:eastAsia="zh-CN"/>
        </w:rPr>
        <w:t>设计原则</w:t>
      </w:r>
      <w:bookmarkEnd w:id="109"/>
    </w:p>
    <w:p w14:paraId="52F9BD01">
      <w:pPr>
        <w:pStyle w:val="60"/>
      </w:pPr>
      <w:r>
        <w:rPr>
          <w:rFonts w:hint="eastAsia"/>
        </w:rPr>
        <w:t>轻量化凸轮轴结构设计应遵循轻量化优先、性能匹配、精度可控、工艺可行、耐久可靠的原则，在实现减重目标的同时，不</w:t>
      </w:r>
      <w:r>
        <w:rPr>
          <w:rFonts w:hint="eastAsia"/>
          <w:lang w:val="en-US" w:eastAsia="zh-CN"/>
        </w:rPr>
        <w:t>应</w:t>
      </w:r>
      <w:r>
        <w:rPr>
          <w:rFonts w:hint="eastAsia"/>
        </w:rPr>
        <w:t>降低凸轮轴的运动精度、结构强度、疲劳寿命及适配性。</w:t>
      </w:r>
    </w:p>
    <w:p w14:paraId="716C0C9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Ansi="Times New Roman" w:cs="Times New Roman"/>
        </w:rPr>
      </w:pPr>
      <w:bookmarkStart w:id="110" w:name="_Toc27762"/>
      <w:r>
        <w:rPr>
          <w:rFonts w:hAnsi="Times New Roman" w:cs="Times New Roman"/>
          <w:lang w:val="en-US" w:eastAsia="zh-CN"/>
        </w:rPr>
        <w:t>轻量化指标要求</w:t>
      </w:r>
      <w:bookmarkEnd w:id="110"/>
    </w:p>
    <w:p w14:paraId="3B9A2D44">
      <w:pPr>
        <w:pStyle w:val="60"/>
        <w:rPr>
          <w:rFonts w:hint="eastAsia"/>
        </w:rPr>
      </w:pPr>
      <w:r>
        <w:rPr>
          <w:rFonts w:hint="eastAsia"/>
        </w:rPr>
        <w:t>相较于同规格传统实心凸轮轴，轻量化凸轮轴整体减重率应满足以下要求：</w:t>
      </w:r>
    </w:p>
    <w:p w14:paraId="269782B5">
      <w:pPr>
        <w:pStyle w:val="178"/>
        <w:keepNext w:val="0"/>
        <w:keepLines w:val="0"/>
        <w:pageBreakBefore w:val="0"/>
        <w:widowControl/>
        <w:kinsoku/>
        <w:wordWrap/>
        <w:overflowPunct/>
        <w:topLinePunct w:val="0"/>
        <w:autoSpaceDE/>
        <w:autoSpaceDN/>
        <w:bidi w:val="0"/>
        <w:adjustRightInd/>
        <w:snapToGrid/>
        <w:ind w:left="850" w:hanging="425"/>
        <w:textAlignment w:val="auto"/>
        <w:rPr>
          <w:rFonts w:hint="eastAsia" w:ascii="宋体" w:hAnsi="Times New Roman" w:eastAsia="宋体" w:cs="Times New Roman"/>
          <w:lang w:eastAsia="zh-CN"/>
        </w:rPr>
      </w:pPr>
      <w:r>
        <w:rPr>
          <w:rFonts w:hint="eastAsia" w:ascii="宋体" w:hAnsi="Times New Roman" w:eastAsia="宋体" w:cs="Times New Roman"/>
        </w:rPr>
        <w:t>整体式空心凸轮轴减重率≥20%</w:t>
      </w:r>
      <w:r>
        <w:rPr>
          <w:rFonts w:hint="eastAsia" w:ascii="宋体" w:hAnsi="Times New Roman" w:eastAsia="宋体" w:cs="Times New Roman"/>
          <w:lang w:eastAsia="zh-CN"/>
        </w:rPr>
        <w:t>；</w:t>
      </w:r>
    </w:p>
    <w:p w14:paraId="6385521D">
      <w:pPr>
        <w:pStyle w:val="178"/>
        <w:keepNext w:val="0"/>
        <w:keepLines w:val="0"/>
        <w:pageBreakBefore w:val="0"/>
        <w:widowControl/>
        <w:kinsoku/>
        <w:wordWrap/>
        <w:overflowPunct/>
        <w:topLinePunct w:val="0"/>
        <w:autoSpaceDE/>
        <w:autoSpaceDN/>
        <w:bidi w:val="0"/>
        <w:adjustRightInd/>
        <w:snapToGrid/>
        <w:ind w:left="850" w:hanging="425"/>
        <w:textAlignment w:val="auto"/>
        <w:rPr>
          <w:rFonts w:hint="eastAsia" w:ascii="宋体" w:hAnsi="Times New Roman" w:eastAsia="宋体" w:cs="Times New Roman"/>
          <w:lang w:eastAsia="zh-CN"/>
        </w:rPr>
      </w:pPr>
      <w:r>
        <w:rPr>
          <w:rFonts w:hint="eastAsia" w:ascii="宋体" w:hAnsi="Times New Roman" w:eastAsia="宋体" w:cs="Times New Roman"/>
        </w:rPr>
        <w:t>装配式凸轮轴减重率≥30%</w:t>
      </w:r>
      <w:r>
        <w:rPr>
          <w:rFonts w:hint="eastAsia" w:ascii="宋体" w:hAnsi="Times New Roman" w:eastAsia="宋体" w:cs="Times New Roman"/>
          <w:lang w:eastAsia="zh-CN"/>
        </w:rPr>
        <w:t>；</w:t>
      </w:r>
    </w:p>
    <w:p w14:paraId="5D6153CF">
      <w:pPr>
        <w:pStyle w:val="178"/>
        <w:keepNext w:val="0"/>
        <w:keepLines w:val="0"/>
        <w:pageBreakBefore w:val="0"/>
        <w:widowControl/>
        <w:kinsoku/>
        <w:wordWrap/>
        <w:overflowPunct/>
        <w:topLinePunct w:val="0"/>
        <w:autoSpaceDE/>
        <w:autoSpaceDN/>
        <w:bidi w:val="0"/>
        <w:adjustRightInd/>
        <w:snapToGrid/>
        <w:ind w:left="850" w:hanging="425"/>
        <w:textAlignment w:val="auto"/>
        <w:rPr>
          <w:rFonts w:hint="eastAsia" w:ascii="宋体" w:hAnsi="Times New Roman" w:eastAsia="宋体" w:cs="Times New Roman"/>
          <w:lang w:eastAsia="zh-CN"/>
        </w:rPr>
      </w:pPr>
      <w:r>
        <w:rPr>
          <w:rFonts w:hint="eastAsia" w:ascii="宋体" w:hAnsi="Times New Roman" w:eastAsia="宋体" w:cs="Times New Roman"/>
        </w:rPr>
        <w:t>高强度合金轻量化凸轮轴减重率≥25%</w:t>
      </w:r>
      <w:r>
        <w:rPr>
          <w:rFonts w:hint="eastAsia" w:ascii="宋体" w:hAnsi="Times New Roman" w:eastAsia="宋体" w:cs="Times New Roman"/>
          <w:lang w:eastAsia="zh-CN"/>
        </w:rPr>
        <w:t>。</w:t>
      </w:r>
    </w:p>
    <w:p w14:paraId="3DBF6D91">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rPr>
      </w:pPr>
      <w:bookmarkStart w:id="111" w:name="_Toc14859"/>
      <w:r>
        <w:rPr>
          <w:rFonts w:hAnsi="Times New Roman" w:cs="Times New Roman"/>
          <w:lang w:val="en-US" w:eastAsia="zh-CN"/>
        </w:rPr>
        <w:t>工况适配要求</w:t>
      </w:r>
      <w:bookmarkEnd w:id="111"/>
    </w:p>
    <w:p w14:paraId="2409D5EF">
      <w:pPr>
        <w:pStyle w:val="60"/>
        <w:rPr>
          <w:rFonts w:hint="eastAsia" w:ascii="宋体" w:hAnsi="宋体" w:eastAsia="宋体" w:cs="宋体"/>
        </w:rPr>
      </w:pPr>
      <w:r>
        <w:rPr>
          <w:rFonts w:hint="eastAsia" w:ascii="宋体" w:hAnsi="宋体" w:eastAsia="宋体" w:cs="宋体"/>
          <w:lang w:val="en-US" w:eastAsia="zh-CN"/>
        </w:rPr>
        <w:t>轻量化凸轮轴整体结构应</w:t>
      </w:r>
      <w:r>
        <w:rPr>
          <w:rFonts w:hint="eastAsia" w:ascii="宋体" w:hAnsi="宋体" w:eastAsia="宋体" w:cs="宋体"/>
        </w:rPr>
        <w:t>适配内燃机额定转速3000r/min～8000r/min、工作温度-40℃～180℃、持续交变载荷工况，结构无应力集中、无共振隐患，可长期稳定承受配气机构交变冲击载荷。</w:t>
      </w:r>
    </w:p>
    <w:p w14:paraId="1CF3E628">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rPr>
      </w:pPr>
      <w:bookmarkStart w:id="112" w:name="_Toc3206"/>
      <w:r>
        <w:rPr>
          <w:rFonts w:hint="eastAsia" w:hAnsi="Times New Roman" w:cs="Times New Roman"/>
        </w:rPr>
        <w:t>通用化与模块化要求</w:t>
      </w:r>
      <w:bookmarkEnd w:id="112"/>
    </w:p>
    <w:p w14:paraId="4B9A406F">
      <w:pPr>
        <w:pStyle w:val="60"/>
        <w:rPr>
          <w:rFonts w:hint="eastAsia"/>
        </w:rPr>
      </w:pPr>
      <w:r>
        <w:rPr>
          <w:rFonts w:hint="eastAsia"/>
        </w:rPr>
        <w:t>凸轮轴整体</w:t>
      </w:r>
      <w:r>
        <w:rPr>
          <w:rFonts w:hint="eastAsia" w:ascii="宋体" w:hAnsi="宋体" w:eastAsia="宋体" w:cs="宋体"/>
          <w:lang w:val="en-US" w:eastAsia="zh-CN"/>
        </w:rPr>
        <w:t>应</w:t>
      </w:r>
      <w:r>
        <w:rPr>
          <w:rFonts w:hint="eastAsia"/>
        </w:rPr>
        <w:t>采用模块化标准化设计，轴颈尺寸、凸轮安装间距、端头连接结构优先选用标准规格，适配同系列多机型装配需求，零部件通用率</w:t>
      </w:r>
      <w:r>
        <w:rPr>
          <w:rFonts w:hint="eastAsia"/>
          <w:lang w:val="en-US" w:eastAsia="zh-CN"/>
        </w:rPr>
        <w:t>不低于</w:t>
      </w:r>
      <w:r>
        <w:rPr>
          <w:rFonts w:hint="eastAsia"/>
        </w:rPr>
        <w:t>85%，有效降低加工、装配及后期运维成本。</w:t>
      </w:r>
    </w:p>
    <w:p w14:paraId="59E165B9">
      <w:pPr>
        <w:pStyle w:val="108"/>
        <w:bidi w:val="0"/>
        <w:ind w:left="0" w:leftChars="0" w:firstLine="0" w:firstLineChars="0"/>
      </w:pPr>
      <w:bookmarkStart w:id="113" w:name="_Toc26223"/>
      <w:r>
        <w:rPr>
          <w:rFonts w:hint="eastAsia"/>
        </w:rPr>
        <w:t>结构设计参数</w:t>
      </w:r>
      <w:bookmarkEnd w:id="113"/>
    </w:p>
    <w:p w14:paraId="4B7AFDD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4" w:name="_Toc6933"/>
      <w:r>
        <w:rPr>
          <w:rFonts w:hint="eastAsia"/>
        </w:rPr>
        <w:t>整体结构尺寸参数</w:t>
      </w:r>
      <w:bookmarkEnd w:id="114"/>
    </w:p>
    <w:bookmarkEnd w:id="32"/>
    <w:p w14:paraId="29CB52BA">
      <w:pPr>
        <w:pStyle w:val="178"/>
        <w:keepNext w:val="0"/>
        <w:keepLines w:val="0"/>
        <w:pageBreakBefore w:val="0"/>
        <w:widowControl/>
        <w:numPr>
          <w:ilvl w:val="0"/>
          <w:numId w:val="0"/>
        </w:numPr>
        <w:kinsoku/>
        <w:wordWrap/>
        <w:overflowPunct/>
        <w:topLinePunct w:val="0"/>
        <w:autoSpaceDE/>
        <w:autoSpaceDN/>
        <w:bidi w:val="0"/>
        <w:adjustRightInd/>
        <w:snapToGrid/>
        <w:ind w:left="0" w:leftChars="0" w:firstLine="420" w:firstLineChars="200"/>
        <w:textAlignment w:val="auto"/>
        <w:rPr>
          <w:rFonts w:hint="eastAsia" w:eastAsia="宋体"/>
          <w:lang w:eastAsia="zh-CN"/>
        </w:rPr>
      </w:pPr>
      <w:r>
        <w:rPr>
          <w:rFonts w:hint="eastAsia"/>
        </w:rPr>
        <w:t>轻量化凸轮轴分为空心整体式与装配式两类，核心整体尺寸参数</w:t>
      </w:r>
      <w:r>
        <w:rPr>
          <w:rFonts w:hint="eastAsia"/>
          <w:lang w:val="en-US" w:eastAsia="zh-CN"/>
        </w:rPr>
        <w:t>应</w:t>
      </w:r>
      <w:r>
        <w:rPr>
          <w:rFonts w:hint="eastAsia"/>
        </w:rPr>
        <w:t>符合表1</w:t>
      </w:r>
      <w:r>
        <w:rPr>
          <w:rFonts w:hint="eastAsia"/>
          <w:lang w:val="en-US" w:eastAsia="zh-CN"/>
        </w:rPr>
        <w:t>的</w:t>
      </w:r>
      <w:r>
        <w:rPr>
          <w:rFonts w:hint="eastAsia"/>
        </w:rPr>
        <w:t>规定</w:t>
      </w:r>
      <w:r>
        <w:rPr>
          <w:rFonts w:hint="eastAsia"/>
          <w:lang w:eastAsia="zh-CN"/>
        </w:rPr>
        <w:t>。</w:t>
      </w:r>
    </w:p>
    <w:p w14:paraId="0378B97C">
      <w:pPr>
        <w:pStyle w:val="118"/>
        <w:bidi w:val="0"/>
        <w:ind w:left="0" w:leftChars="0" w:firstLine="0" w:firstLineChars="0"/>
        <w:rPr>
          <w:rFonts w:hint="eastAsia"/>
        </w:rPr>
      </w:pPr>
      <w:r>
        <w:rPr>
          <w:rFonts w:hint="eastAsia"/>
        </w:rPr>
        <w:t>轻量化凸轮轴整体结构核心尺寸参数</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339"/>
        <w:gridCol w:w="1926"/>
        <w:gridCol w:w="1632"/>
        <w:gridCol w:w="1632"/>
        <w:gridCol w:w="1395"/>
      </w:tblGrid>
      <w:tr w14:paraId="55EF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8" w:type="pct"/>
            <w:vAlign w:val="center"/>
          </w:tcPr>
          <w:p w14:paraId="1FB41E32">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结构类型</w:t>
            </w:r>
          </w:p>
        </w:tc>
        <w:tc>
          <w:tcPr>
            <w:tcW w:w="716" w:type="pct"/>
            <w:vAlign w:val="center"/>
          </w:tcPr>
          <w:p w14:paraId="0154EF0C">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轴体外径（mm）</w:t>
            </w:r>
          </w:p>
        </w:tc>
        <w:tc>
          <w:tcPr>
            <w:tcW w:w="1030" w:type="pct"/>
            <w:vAlign w:val="center"/>
          </w:tcPr>
          <w:p w14:paraId="000AC244">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轴体内径（空心）（mm）</w:t>
            </w:r>
          </w:p>
        </w:tc>
        <w:tc>
          <w:tcPr>
            <w:tcW w:w="873" w:type="pct"/>
            <w:vAlign w:val="center"/>
          </w:tcPr>
          <w:p w14:paraId="4B21A572">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轴壁最小厚度（mm）</w:t>
            </w:r>
          </w:p>
        </w:tc>
        <w:tc>
          <w:tcPr>
            <w:tcW w:w="873" w:type="pct"/>
            <w:vAlign w:val="center"/>
          </w:tcPr>
          <w:p w14:paraId="29C9ACC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有效长度范围（mm）</w:t>
            </w:r>
          </w:p>
        </w:tc>
        <w:tc>
          <w:tcPr>
            <w:tcW w:w="746" w:type="pct"/>
            <w:vAlign w:val="center"/>
          </w:tcPr>
          <w:p w14:paraId="49F4716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单轴减重率（%）</w:t>
            </w:r>
          </w:p>
        </w:tc>
      </w:tr>
      <w:tr w14:paraId="02DB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8" w:type="pct"/>
            <w:vAlign w:val="center"/>
          </w:tcPr>
          <w:p w14:paraId="5350967C">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小型内燃机整体式</w:t>
            </w:r>
          </w:p>
        </w:tc>
        <w:tc>
          <w:tcPr>
            <w:tcW w:w="716" w:type="pct"/>
            <w:vAlign w:val="center"/>
          </w:tcPr>
          <w:p w14:paraId="548F0B87">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20～30</w:t>
            </w:r>
          </w:p>
        </w:tc>
        <w:tc>
          <w:tcPr>
            <w:tcW w:w="1030" w:type="pct"/>
            <w:vAlign w:val="center"/>
          </w:tcPr>
          <w:p w14:paraId="2D3E3DE1">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12～18</w:t>
            </w:r>
          </w:p>
        </w:tc>
        <w:tc>
          <w:tcPr>
            <w:tcW w:w="873" w:type="pct"/>
            <w:vAlign w:val="center"/>
          </w:tcPr>
          <w:p w14:paraId="08B458A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≥4.0</w:t>
            </w:r>
          </w:p>
        </w:tc>
        <w:tc>
          <w:tcPr>
            <w:tcW w:w="873" w:type="pct"/>
            <w:vAlign w:val="center"/>
          </w:tcPr>
          <w:p w14:paraId="66875731">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200～450</w:t>
            </w:r>
          </w:p>
        </w:tc>
        <w:tc>
          <w:tcPr>
            <w:tcW w:w="746" w:type="pct"/>
            <w:vAlign w:val="center"/>
          </w:tcPr>
          <w:p w14:paraId="710E66C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20～28</w:t>
            </w:r>
          </w:p>
        </w:tc>
      </w:tr>
      <w:tr w14:paraId="12C3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8" w:type="pct"/>
            <w:vAlign w:val="center"/>
          </w:tcPr>
          <w:p w14:paraId="3D4D990B">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中型内燃机整体式</w:t>
            </w:r>
          </w:p>
        </w:tc>
        <w:tc>
          <w:tcPr>
            <w:tcW w:w="716" w:type="pct"/>
            <w:vAlign w:val="center"/>
          </w:tcPr>
          <w:p w14:paraId="418DF7E3">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30～45</w:t>
            </w:r>
          </w:p>
        </w:tc>
        <w:tc>
          <w:tcPr>
            <w:tcW w:w="1030" w:type="pct"/>
            <w:vAlign w:val="center"/>
          </w:tcPr>
          <w:p w14:paraId="6E43C37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18～28</w:t>
            </w:r>
          </w:p>
        </w:tc>
        <w:tc>
          <w:tcPr>
            <w:tcW w:w="873" w:type="pct"/>
            <w:vAlign w:val="center"/>
          </w:tcPr>
          <w:p w14:paraId="231F729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≥5.0</w:t>
            </w:r>
          </w:p>
        </w:tc>
        <w:tc>
          <w:tcPr>
            <w:tcW w:w="873" w:type="pct"/>
            <w:vAlign w:val="center"/>
          </w:tcPr>
          <w:p w14:paraId="102F721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450～700</w:t>
            </w:r>
          </w:p>
        </w:tc>
        <w:tc>
          <w:tcPr>
            <w:tcW w:w="746" w:type="pct"/>
            <w:vAlign w:val="center"/>
          </w:tcPr>
          <w:p w14:paraId="1239D587">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22～30</w:t>
            </w:r>
          </w:p>
        </w:tc>
      </w:tr>
      <w:tr w14:paraId="0A9A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8" w:type="pct"/>
            <w:vAlign w:val="center"/>
          </w:tcPr>
          <w:p w14:paraId="450F493E">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小型装配式</w:t>
            </w:r>
          </w:p>
        </w:tc>
        <w:tc>
          <w:tcPr>
            <w:tcW w:w="716" w:type="pct"/>
            <w:vAlign w:val="center"/>
          </w:tcPr>
          <w:p w14:paraId="33AA870A">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20～30</w:t>
            </w:r>
          </w:p>
        </w:tc>
        <w:tc>
          <w:tcPr>
            <w:tcW w:w="1030" w:type="pct"/>
            <w:vAlign w:val="center"/>
          </w:tcPr>
          <w:p w14:paraId="24C5F40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14～20</w:t>
            </w:r>
          </w:p>
        </w:tc>
        <w:tc>
          <w:tcPr>
            <w:tcW w:w="873" w:type="pct"/>
            <w:vAlign w:val="center"/>
          </w:tcPr>
          <w:p w14:paraId="10E69B5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≥3.0</w:t>
            </w:r>
          </w:p>
        </w:tc>
        <w:tc>
          <w:tcPr>
            <w:tcW w:w="873" w:type="pct"/>
            <w:vAlign w:val="center"/>
          </w:tcPr>
          <w:p w14:paraId="40B4932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200～450</w:t>
            </w:r>
          </w:p>
        </w:tc>
        <w:tc>
          <w:tcPr>
            <w:tcW w:w="746" w:type="pct"/>
            <w:vAlign w:val="center"/>
          </w:tcPr>
          <w:p w14:paraId="475A217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30～38</w:t>
            </w:r>
          </w:p>
        </w:tc>
      </w:tr>
      <w:tr w14:paraId="1BBC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8" w:type="pct"/>
            <w:vAlign w:val="center"/>
          </w:tcPr>
          <w:p w14:paraId="324A80C1">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中型装配式</w:t>
            </w:r>
          </w:p>
        </w:tc>
        <w:tc>
          <w:tcPr>
            <w:tcW w:w="716" w:type="pct"/>
            <w:vAlign w:val="center"/>
          </w:tcPr>
          <w:p w14:paraId="7ECDC448">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30～45</w:t>
            </w:r>
          </w:p>
        </w:tc>
        <w:tc>
          <w:tcPr>
            <w:tcW w:w="1030" w:type="pct"/>
            <w:vAlign w:val="center"/>
          </w:tcPr>
          <w:p w14:paraId="39DBAC94">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20～32</w:t>
            </w:r>
          </w:p>
        </w:tc>
        <w:tc>
          <w:tcPr>
            <w:tcW w:w="873" w:type="pct"/>
            <w:vAlign w:val="center"/>
          </w:tcPr>
          <w:p w14:paraId="0584EB1E">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≥4.0</w:t>
            </w:r>
          </w:p>
        </w:tc>
        <w:tc>
          <w:tcPr>
            <w:tcW w:w="873" w:type="pct"/>
            <w:vAlign w:val="center"/>
          </w:tcPr>
          <w:p w14:paraId="7D508F72">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450～700</w:t>
            </w:r>
          </w:p>
        </w:tc>
        <w:tc>
          <w:tcPr>
            <w:tcW w:w="746" w:type="pct"/>
            <w:vAlign w:val="center"/>
          </w:tcPr>
          <w:p w14:paraId="2F60757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32～40</w:t>
            </w:r>
          </w:p>
        </w:tc>
      </w:tr>
    </w:tbl>
    <w:p w14:paraId="4A20478D">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rPr>
      </w:pPr>
      <w:bookmarkStart w:id="115" w:name="_Toc21172"/>
      <w:r>
        <w:rPr>
          <w:rFonts w:hint="eastAsia" w:hAnsi="Times New Roman" w:cs="Times New Roman"/>
        </w:rPr>
        <w:t>凸轮结构</w:t>
      </w:r>
      <w:r>
        <w:rPr>
          <w:rFonts w:hint="eastAsia" w:hAnsi="Times New Roman" w:cs="Times New Roman"/>
          <w:lang w:val="en-US" w:eastAsia="zh-CN"/>
        </w:rPr>
        <w:t>精度</w:t>
      </w:r>
      <w:r>
        <w:rPr>
          <w:rFonts w:hint="eastAsia" w:hAnsi="Times New Roman" w:cs="Times New Roman"/>
        </w:rPr>
        <w:t>参数</w:t>
      </w:r>
      <w:bookmarkEnd w:id="115"/>
    </w:p>
    <w:p w14:paraId="15B3C61B">
      <w:pPr>
        <w:pStyle w:val="178"/>
        <w:keepNext w:val="0"/>
        <w:keepLines w:val="0"/>
        <w:pageBreakBefore w:val="0"/>
        <w:widowControl/>
        <w:numPr>
          <w:ilvl w:val="0"/>
          <w:numId w:val="0"/>
        </w:numPr>
        <w:kinsoku/>
        <w:wordWrap/>
        <w:overflowPunct/>
        <w:topLinePunct w:val="0"/>
        <w:autoSpaceDE/>
        <w:autoSpaceDN/>
        <w:bidi w:val="0"/>
        <w:adjustRightInd/>
        <w:snapToGrid/>
        <w:ind w:left="0" w:leftChars="0" w:firstLine="420" w:firstLineChars="200"/>
        <w:textAlignment w:val="auto"/>
        <w:rPr>
          <w:rFonts w:hint="eastAsia" w:ascii="宋体" w:hAnsi="Times New Roman" w:eastAsia="宋体" w:cs="Times New Roman"/>
        </w:rPr>
      </w:pPr>
      <w:r>
        <w:rPr>
          <w:rFonts w:hint="eastAsia" w:ascii="宋体" w:hAnsi="Times New Roman" w:eastAsia="宋体" w:cs="Times New Roman"/>
        </w:rPr>
        <w:t>凸轮</w:t>
      </w:r>
      <w:r>
        <w:rPr>
          <w:rFonts w:hint="eastAsia" w:ascii="宋体" w:hAnsi="Times New Roman" w:eastAsia="宋体" w:cs="Times New Roman"/>
          <w:lang w:val="en-US" w:eastAsia="zh-CN"/>
        </w:rPr>
        <w:t>应</w:t>
      </w:r>
      <w:r>
        <w:rPr>
          <w:rFonts w:hint="eastAsia" w:ascii="宋体" w:hAnsi="Times New Roman" w:eastAsia="宋体" w:cs="Times New Roman"/>
        </w:rPr>
        <w:t>符合JB/T 6728.1</w:t>
      </w:r>
      <w:r>
        <w:rPr>
          <w:rFonts w:hint="eastAsia" w:ascii="宋体" w:hAnsi="Times New Roman" w:eastAsia="宋体" w:cs="Times New Roman"/>
          <w:lang w:val="en-US" w:eastAsia="zh-CN"/>
        </w:rPr>
        <w:t>的规定</w:t>
      </w:r>
      <w:r>
        <w:rPr>
          <w:rFonts w:hint="eastAsia" w:ascii="宋体" w:hAnsi="Times New Roman" w:eastAsia="宋体" w:cs="Times New Roman"/>
        </w:rPr>
        <w:t>，核心参数见表2。</w:t>
      </w:r>
    </w:p>
    <w:p w14:paraId="34B67CA0">
      <w:pPr>
        <w:pStyle w:val="118"/>
        <w:bidi w:val="0"/>
        <w:ind w:left="0" w:leftChars="0" w:firstLine="0" w:firstLineChars="0"/>
        <w:rPr>
          <w:rFonts w:hint="eastAsia" w:hAnsi="Times New Roman" w:cs="Times New Roman"/>
        </w:rPr>
      </w:pPr>
      <w:r>
        <w:rPr>
          <w:rFonts w:hint="eastAsia" w:hAnsi="Times New Roman" w:cs="Times New Roman"/>
        </w:rPr>
        <w:t>凸轮核心结构精度参数</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226"/>
        <w:gridCol w:w="4889"/>
      </w:tblGrid>
      <w:tr w14:paraId="5538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5B37914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项目</w:t>
            </w:r>
          </w:p>
        </w:tc>
        <w:tc>
          <w:tcPr>
            <w:tcW w:w="1191" w:type="pct"/>
            <w:vAlign w:val="center"/>
          </w:tcPr>
          <w:p w14:paraId="0830899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设计标准值</w:t>
            </w:r>
          </w:p>
        </w:tc>
        <w:tc>
          <w:tcPr>
            <w:tcW w:w="2616" w:type="pct"/>
            <w:vAlign w:val="center"/>
          </w:tcPr>
          <w:p w14:paraId="627E6643">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允许偏差</w:t>
            </w:r>
          </w:p>
        </w:tc>
      </w:tr>
      <w:tr w14:paraId="691C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73ABFFA6">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凸轮基圆直径</w:t>
            </w:r>
          </w:p>
        </w:tc>
        <w:tc>
          <w:tcPr>
            <w:tcW w:w="1191" w:type="pct"/>
            <w:vAlign w:val="center"/>
          </w:tcPr>
          <w:p w14:paraId="37C791CC">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依据机型匹配设计</w:t>
            </w:r>
          </w:p>
        </w:tc>
        <w:tc>
          <w:tcPr>
            <w:tcW w:w="2616" w:type="pct"/>
            <w:vAlign w:val="center"/>
          </w:tcPr>
          <w:p w14:paraId="24CF8FDE">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±0.02mm</w:t>
            </w:r>
          </w:p>
        </w:tc>
      </w:tr>
      <w:tr w14:paraId="632D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0ABBDBF4">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凸轮最大升程</w:t>
            </w:r>
          </w:p>
        </w:tc>
        <w:tc>
          <w:tcPr>
            <w:tcW w:w="1191" w:type="pct"/>
            <w:vAlign w:val="center"/>
          </w:tcPr>
          <w:p w14:paraId="67E43AA2">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机型匹配定值</w:t>
            </w:r>
          </w:p>
        </w:tc>
        <w:tc>
          <w:tcPr>
            <w:tcW w:w="2616" w:type="pct"/>
            <w:vAlign w:val="center"/>
          </w:tcPr>
          <w:p w14:paraId="7BB2CFD8">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±0.03mm</w:t>
            </w:r>
          </w:p>
        </w:tc>
      </w:tr>
      <w:tr w14:paraId="49B0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064417A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凸轮型线轮廓偏差</w:t>
            </w:r>
          </w:p>
        </w:tc>
        <w:tc>
          <w:tcPr>
            <w:tcW w:w="1191" w:type="pct"/>
            <w:vAlign w:val="center"/>
          </w:tcPr>
          <w:p w14:paraId="1EFF60B1">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理论型线贴合</w:t>
            </w:r>
          </w:p>
        </w:tc>
        <w:tc>
          <w:tcPr>
            <w:tcW w:w="2616" w:type="pct"/>
            <w:vAlign w:val="center"/>
          </w:tcPr>
          <w:p w14:paraId="3F859DC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±0.03mm</w:t>
            </w:r>
          </w:p>
        </w:tc>
      </w:tr>
      <w:tr w14:paraId="52AD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20EE8D91">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相邻凸轮角度偏差</w:t>
            </w:r>
          </w:p>
        </w:tc>
        <w:tc>
          <w:tcPr>
            <w:tcW w:w="1191" w:type="pct"/>
            <w:vAlign w:val="center"/>
          </w:tcPr>
          <w:p w14:paraId="0B672B6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标准配气相位</w:t>
            </w:r>
          </w:p>
        </w:tc>
        <w:tc>
          <w:tcPr>
            <w:tcW w:w="2616" w:type="pct"/>
            <w:vAlign w:val="center"/>
          </w:tcPr>
          <w:p w14:paraId="4951A55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≤±0.5°（单双缸）；≤±0.6°（多缸）</w:t>
            </w:r>
          </w:p>
        </w:tc>
      </w:tr>
      <w:tr w14:paraId="52A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061E87F3">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同缸凸轮角位差</w:t>
            </w:r>
          </w:p>
        </w:tc>
        <w:tc>
          <w:tcPr>
            <w:tcW w:w="1191" w:type="pct"/>
            <w:vAlign w:val="center"/>
          </w:tcPr>
          <w:p w14:paraId="58B44BA6">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w:t>
            </w:r>
          </w:p>
        </w:tc>
        <w:tc>
          <w:tcPr>
            <w:tcW w:w="2616" w:type="pct"/>
            <w:vAlign w:val="center"/>
          </w:tcPr>
          <w:p w14:paraId="34CDCBC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＜10′</w:t>
            </w:r>
          </w:p>
        </w:tc>
      </w:tr>
      <w:tr w14:paraId="2922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1" w:type="pct"/>
            <w:vAlign w:val="center"/>
          </w:tcPr>
          <w:p w14:paraId="76621E12">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凸轮对称度</w:t>
            </w:r>
          </w:p>
        </w:tc>
        <w:tc>
          <w:tcPr>
            <w:tcW w:w="1191" w:type="pct"/>
            <w:vAlign w:val="center"/>
          </w:tcPr>
          <w:p w14:paraId="2BB561A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中心对称</w:t>
            </w:r>
          </w:p>
        </w:tc>
        <w:tc>
          <w:tcPr>
            <w:tcW w:w="2616" w:type="pct"/>
            <w:vAlign w:val="center"/>
          </w:tcPr>
          <w:p w14:paraId="0457C43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≤0.03mm</w:t>
            </w:r>
          </w:p>
        </w:tc>
      </w:tr>
    </w:tbl>
    <w:p w14:paraId="0E29EB22">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rPr>
      </w:pPr>
      <w:bookmarkStart w:id="116" w:name="_Toc5395"/>
      <w:r>
        <w:rPr>
          <w:rFonts w:hint="eastAsia" w:hAnsi="Times New Roman" w:cs="Times New Roman"/>
        </w:rPr>
        <w:t>轴颈结构</w:t>
      </w:r>
      <w:r>
        <w:rPr>
          <w:rFonts w:hint="eastAsia" w:hAnsi="Times New Roman" w:cs="Times New Roman"/>
          <w:lang w:val="en-US" w:eastAsia="zh-CN"/>
        </w:rPr>
        <w:t>精度</w:t>
      </w:r>
      <w:r>
        <w:rPr>
          <w:rFonts w:hint="eastAsia" w:hAnsi="Times New Roman" w:cs="Times New Roman"/>
        </w:rPr>
        <w:t>参数</w:t>
      </w:r>
      <w:bookmarkEnd w:id="116"/>
    </w:p>
    <w:p w14:paraId="7078CBE1">
      <w:pPr>
        <w:pStyle w:val="178"/>
        <w:keepNext w:val="0"/>
        <w:keepLines w:val="0"/>
        <w:pageBreakBefore w:val="0"/>
        <w:widowControl/>
        <w:numPr>
          <w:ilvl w:val="0"/>
          <w:numId w:val="0"/>
        </w:numPr>
        <w:kinsoku/>
        <w:wordWrap/>
        <w:overflowPunct/>
        <w:topLinePunct w:val="0"/>
        <w:autoSpaceDE/>
        <w:autoSpaceDN/>
        <w:bidi w:val="0"/>
        <w:adjustRightInd/>
        <w:snapToGrid/>
        <w:ind w:left="0" w:leftChars="0" w:firstLine="420" w:firstLineChars="200"/>
        <w:textAlignment w:val="auto"/>
        <w:rPr>
          <w:rFonts w:hint="eastAsia" w:ascii="宋体" w:hAnsi="Times New Roman" w:eastAsia="宋体" w:cs="Times New Roman"/>
          <w:lang w:val="en-US" w:eastAsia="zh-CN"/>
        </w:rPr>
      </w:pPr>
      <w:r>
        <w:rPr>
          <w:rFonts w:hint="eastAsia" w:ascii="宋体" w:hAnsi="Times New Roman" w:eastAsia="宋体" w:cs="Times New Roman"/>
        </w:rPr>
        <w:t>支承轴颈为核心承载摩擦部件，</w:t>
      </w:r>
      <w:r>
        <w:rPr>
          <w:rFonts w:hint="eastAsia" w:ascii="宋体" w:hAnsi="Times New Roman" w:eastAsia="宋体" w:cs="Times New Roman"/>
          <w:lang w:val="en-US" w:eastAsia="zh-CN"/>
        </w:rPr>
        <w:t>其核心参数应</w:t>
      </w:r>
      <w:r>
        <w:rPr>
          <w:rFonts w:hint="eastAsia" w:ascii="宋体" w:hAnsi="Times New Roman" w:eastAsia="宋体" w:cs="Times New Roman"/>
        </w:rPr>
        <w:t>符合表3</w:t>
      </w:r>
      <w:r>
        <w:rPr>
          <w:rFonts w:hint="eastAsia" w:ascii="宋体" w:hAnsi="Times New Roman" w:eastAsia="宋体" w:cs="Times New Roman"/>
          <w:lang w:val="en-US" w:eastAsia="zh-CN"/>
        </w:rPr>
        <w:t>的规定。</w:t>
      </w:r>
    </w:p>
    <w:p w14:paraId="04C4A4FD">
      <w:pPr>
        <w:pStyle w:val="11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hAnsi="Times New Roman" w:cs="Times New Roman"/>
        </w:rPr>
      </w:pPr>
      <w:r>
        <w:rPr>
          <w:rFonts w:hint="eastAsia" w:hAnsi="Times New Roman" w:cs="Times New Roman"/>
        </w:rPr>
        <w:t>支承轴颈结构精度参数</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1891"/>
        <w:gridCol w:w="2878"/>
        <w:gridCol w:w="2417"/>
      </w:tblGrid>
      <w:tr w14:paraId="46C2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3" w:type="pct"/>
            <w:vAlign w:val="center"/>
          </w:tcPr>
          <w:p w14:paraId="51A8F488">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轴颈规格（mm）</w:t>
            </w:r>
          </w:p>
        </w:tc>
        <w:tc>
          <w:tcPr>
            <w:tcW w:w="1012" w:type="pct"/>
            <w:vAlign w:val="center"/>
          </w:tcPr>
          <w:p w14:paraId="4CB6055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直径公差等级</w:t>
            </w:r>
          </w:p>
        </w:tc>
        <w:tc>
          <w:tcPr>
            <w:tcW w:w="1540" w:type="pct"/>
            <w:vAlign w:val="center"/>
          </w:tcPr>
          <w:p w14:paraId="1E27DE6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表面粗糙度Ra（μm）</w:t>
            </w:r>
          </w:p>
        </w:tc>
        <w:tc>
          <w:tcPr>
            <w:tcW w:w="1293" w:type="pct"/>
            <w:vAlign w:val="center"/>
          </w:tcPr>
          <w:p w14:paraId="69B43D2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径向圆跳动（mm）</w:t>
            </w:r>
          </w:p>
        </w:tc>
      </w:tr>
      <w:tr w14:paraId="3A37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3" w:type="pct"/>
            <w:vAlign w:val="center"/>
          </w:tcPr>
          <w:p w14:paraId="279D8FD4">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≤25</w:t>
            </w:r>
          </w:p>
        </w:tc>
        <w:tc>
          <w:tcPr>
            <w:tcW w:w="1012" w:type="pct"/>
            <w:vAlign w:val="center"/>
          </w:tcPr>
          <w:p w14:paraId="19A65BB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h6</w:t>
            </w:r>
          </w:p>
        </w:tc>
        <w:tc>
          <w:tcPr>
            <w:tcW w:w="1540" w:type="pct"/>
            <w:vAlign w:val="center"/>
          </w:tcPr>
          <w:p w14:paraId="3A119578">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≤0.8</w:t>
            </w:r>
          </w:p>
        </w:tc>
        <w:tc>
          <w:tcPr>
            <w:tcW w:w="1293" w:type="pct"/>
            <w:vAlign w:val="center"/>
          </w:tcPr>
          <w:p w14:paraId="421B614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≤0.020</w:t>
            </w:r>
          </w:p>
        </w:tc>
      </w:tr>
      <w:tr w14:paraId="556E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3" w:type="pct"/>
            <w:vAlign w:val="center"/>
          </w:tcPr>
          <w:p w14:paraId="38331B6C">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25～40</w:t>
            </w:r>
          </w:p>
        </w:tc>
        <w:tc>
          <w:tcPr>
            <w:tcW w:w="1012" w:type="pct"/>
            <w:vAlign w:val="center"/>
          </w:tcPr>
          <w:p w14:paraId="43C1285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h6</w:t>
            </w:r>
          </w:p>
        </w:tc>
        <w:tc>
          <w:tcPr>
            <w:tcW w:w="1540" w:type="pct"/>
            <w:vAlign w:val="center"/>
          </w:tcPr>
          <w:p w14:paraId="45C97279">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≤0.8</w:t>
            </w:r>
          </w:p>
        </w:tc>
        <w:tc>
          <w:tcPr>
            <w:tcW w:w="1293" w:type="pct"/>
            <w:vAlign w:val="center"/>
          </w:tcPr>
          <w:p w14:paraId="4AE96D6D">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≤0.025</w:t>
            </w:r>
          </w:p>
        </w:tc>
      </w:tr>
      <w:tr w14:paraId="1110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3" w:type="pct"/>
            <w:vAlign w:val="center"/>
          </w:tcPr>
          <w:p w14:paraId="5E91D6A5">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＞40</w:t>
            </w:r>
          </w:p>
        </w:tc>
        <w:tc>
          <w:tcPr>
            <w:tcW w:w="1012" w:type="pct"/>
            <w:vAlign w:val="center"/>
          </w:tcPr>
          <w:p w14:paraId="265238D4">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h7</w:t>
            </w:r>
          </w:p>
        </w:tc>
        <w:tc>
          <w:tcPr>
            <w:tcW w:w="1540" w:type="pct"/>
            <w:vAlign w:val="center"/>
          </w:tcPr>
          <w:p w14:paraId="554AC2DF">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≤1.6</w:t>
            </w:r>
          </w:p>
        </w:tc>
        <w:tc>
          <w:tcPr>
            <w:tcW w:w="1293" w:type="pct"/>
            <w:vAlign w:val="center"/>
          </w:tcPr>
          <w:p w14:paraId="136D6DB7">
            <w:pPr>
              <w:pStyle w:val="178"/>
              <w:keepNext w:val="0"/>
              <w:keepLines w:val="0"/>
              <w:pageBreakBefore w:val="0"/>
              <w:widowControl/>
              <w:numPr>
                <w:ilvl w:val="0"/>
                <w:numId w:val="0"/>
              </w:numPr>
              <w:kinsoku/>
              <w:wordWrap/>
              <w:overflowPunct/>
              <w:topLinePunct w:val="0"/>
              <w:autoSpaceDE/>
              <w:autoSpaceDN/>
              <w:bidi w:val="0"/>
              <w:adjustRightInd/>
              <w:snapToGrid/>
              <w:jc w:val="center"/>
              <w:textAlignment w:val="auto"/>
              <w:rPr>
                <w:sz w:val="18"/>
                <w:szCs w:val="18"/>
              </w:rPr>
            </w:pPr>
            <w:r>
              <w:rPr>
                <w:rFonts w:hint="eastAsia" w:ascii="宋体" w:hAnsi="Times New Roman" w:eastAsia="宋体" w:cs="Times New Roman"/>
                <w:sz w:val="18"/>
                <w:szCs w:val="18"/>
              </w:rPr>
              <w:t>≤0.030</w:t>
            </w:r>
          </w:p>
        </w:tc>
      </w:tr>
    </w:tbl>
    <w:p w14:paraId="71315C6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r>
        <w:rPr>
          <w:rFonts w:hint="eastAsia" w:hAnsi="Times New Roman" w:cs="Times New Roman"/>
          <w:lang w:val="en-US" w:eastAsia="zh-CN"/>
        </w:rPr>
        <w:t>形位公差参数</w:t>
      </w:r>
    </w:p>
    <w:p w14:paraId="2E116582">
      <w:pPr>
        <w:keepNext w:val="0"/>
        <w:keepLines w:val="0"/>
        <w:pageBreakBefore w:val="0"/>
        <w:widowControl/>
        <w:kinsoku/>
        <w:wordWrap/>
        <w:overflowPunct/>
        <w:topLinePunct w:val="0"/>
        <w:autoSpaceDE w:val="0"/>
        <w:autoSpaceDN w:val="0"/>
        <w:bidi w:val="0"/>
        <w:adjustRightInd/>
        <w:snapToGrid/>
        <w:spacing w:line="240" w:lineRule="auto"/>
        <w:ind w:firstLine="420" w:firstLineChars="200"/>
        <w:jc w:val="both"/>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轻量化凸轮轴形位公差</w:t>
      </w:r>
      <w:r>
        <w:rPr>
          <w:rFonts w:hint="eastAsia" w:ascii="宋体" w:hAnsi="Times New Roman" w:eastAsia="宋体" w:cs="Times New Roman"/>
          <w:sz w:val="21"/>
          <w:highlight w:val="none"/>
          <w:lang w:val="en-US" w:eastAsia="zh-CN" w:bidi="ar-SA"/>
        </w:rPr>
        <w:t>按照</w:t>
      </w:r>
      <w:r>
        <w:rPr>
          <w:rFonts w:hint="default" w:ascii="宋体" w:hAnsi="Times New Roman" w:eastAsia="宋体" w:cs="Times New Roman"/>
          <w:sz w:val="21"/>
          <w:highlight w:val="none"/>
          <w:lang w:val="en-US" w:eastAsia="zh-CN" w:bidi="ar-SA"/>
        </w:rPr>
        <w:t>GB/T 1184制定，具体参数应符合表</w:t>
      </w:r>
      <w:r>
        <w:rPr>
          <w:rFonts w:hint="eastAsia" w:ascii="宋体" w:hAnsi="Times New Roman" w:eastAsia="宋体" w:cs="Times New Roman"/>
          <w:sz w:val="21"/>
          <w:highlight w:val="none"/>
          <w:lang w:val="en-US" w:eastAsia="zh-CN" w:bidi="ar-SA"/>
        </w:rPr>
        <w:t>4的</w:t>
      </w:r>
      <w:r>
        <w:rPr>
          <w:rFonts w:hint="default" w:ascii="宋体" w:hAnsi="Times New Roman" w:eastAsia="宋体" w:cs="Times New Roman"/>
          <w:sz w:val="21"/>
          <w:highlight w:val="none"/>
          <w:lang w:val="en-US" w:eastAsia="zh-CN" w:bidi="ar-SA"/>
        </w:rPr>
        <w:t>规定。</w:t>
      </w:r>
    </w:p>
    <w:p w14:paraId="316B37D5">
      <w:pPr>
        <w:keepNext w:val="0"/>
        <w:keepLines w:val="0"/>
        <w:pageBreakBefore w:val="0"/>
        <w:widowControl w:val="0"/>
        <w:numPr>
          <w:ilvl w:val="0"/>
          <w:numId w:val="17"/>
        </w:numPr>
        <w:kinsoku/>
        <w:wordWrap/>
        <w:overflowPunct/>
        <w:topLinePunct w:val="0"/>
        <w:autoSpaceDE/>
        <w:autoSpaceDN/>
        <w:bidi w:val="0"/>
        <w:adjustRightInd w:val="0"/>
        <w:snapToGrid/>
        <w:spacing w:beforeLines="50" w:afterLines="50" w:line="240" w:lineRule="auto"/>
        <w:ind w:left="0" w:leftChars="0" w:firstLine="0" w:firstLineChars="0"/>
        <w:jc w:val="center"/>
        <w:textAlignment w:val="auto"/>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轻量化凸轮轴形位公差要求</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8"/>
        <w:gridCol w:w="1394"/>
        <w:gridCol w:w="2471"/>
        <w:gridCol w:w="2738"/>
      </w:tblGrid>
      <w:tr w14:paraId="0574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65" w:type="pct"/>
            <w:vAlign w:val="center"/>
          </w:tcPr>
          <w:p w14:paraId="1AA8D0BE">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项目</w:t>
            </w:r>
          </w:p>
        </w:tc>
        <w:tc>
          <w:tcPr>
            <w:tcW w:w="746" w:type="pct"/>
            <w:vAlign w:val="center"/>
          </w:tcPr>
          <w:p w14:paraId="643460FC">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精度等级</w:t>
            </w:r>
          </w:p>
        </w:tc>
        <w:tc>
          <w:tcPr>
            <w:tcW w:w="1322" w:type="pct"/>
            <w:vAlign w:val="center"/>
          </w:tcPr>
          <w:p w14:paraId="51D4EBC0">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允许误差值（mm）</w:t>
            </w:r>
          </w:p>
        </w:tc>
        <w:tc>
          <w:tcPr>
            <w:tcW w:w="1465" w:type="pct"/>
            <w:vAlign w:val="center"/>
          </w:tcPr>
          <w:p w14:paraId="53F0E5DD">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检测位置</w:t>
            </w:r>
          </w:p>
        </w:tc>
      </w:tr>
      <w:tr w14:paraId="7C2E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65" w:type="pct"/>
            <w:vAlign w:val="center"/>
          </w:tcPr>
          <w:p w14:paraId="52D67592">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轴颈径向圆跳动</w:t>
            </w:r>
          </w:p>
        </w:tc>
        <w:tc>
          <w:tcPr>
            <w:tcW w:w="746" w:type="pct"/>
            <w:vAlign w:val="center"/>
          </w:tcPr>
          <w:p w14:paraId="21C7307F">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8级</w:t>
            </w:r>
          </w:p>
        </w:tc>
        <w:tc>
          <w:tcPr>
            <w:tcW w:w="1322" w:type="pct"/>
            <w:vAlign w:val="center"/>
          </w:tcPr>
          <w:p w14:paraId="7C2C8584">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≤0.025</w:t>
            </w:r>
          </w:p>
        </w:tc>
        <w:tc>
          <w:tcPr>
            <w:tcW w:w="1465" w:type="pct"/>
            <w:vAlign w:val="center"/>
          </w:tcPr>
          <w:p w14:paraId="50BD1B8C">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各支承轴颈工作面</w:t>
            </w:r>
          </w:p>
        </w:tc>
      </w:tr>
      <w:tr w14:paraId="5C75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65" w:type="pct"/>
            <w:vAlign w:val="center"/>
          </w:tcPr>
          <w:p w14:paraId="232FA0F0">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凸轮基圆径向圆跳动</w:t>
            </w:r>
          </w:p>
        </w:tc>
        <w:tc>
          <w:tcPr>
            <w:tcW w:w="746" w:type="pct"/>
            <w:vAlign w:val="center"/>
          </w:tcPr>
          <w:p w14:paraId="24B1CDC2">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8级</w:t>
            </w:r>
          </w:p>
        </w:tc>
        <w:tc>
          <w:tcPr>
            <w:tcW w:w="1322" w:type="pct"/>
            <w:vAlign w:val="center"/>
          </w:tcPr>
          <w:p w14:paraId="76DF73E0">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≤0.030</w:t>
            </w:r>
          </w:p>
        </w:tc>
        <w:tc>
          <w:tcPr>
            <w:tcW w:w="1465" w:type="pct"/>
            <w:vAlign w:val="center"/>
          </w:tcPr>
          <w:p w14:paraId="5DE68318">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所有凸轮基圆工作面</w:t>
            </w:r>
          </w:p>
        </w:tc>
      </w:tr>
      <w:tr w14:paraId="46FE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65" w:type="pct"/>
            <w:vAlign w:val="center"/>
          </w:tcPr>
          <w:p w14:paraId="7EAC89CC">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轴体直线度</w:t>
            </w:r>
          </w:p>
        </w:tc>
        <w:tc>
          <w:tcPr>
            <w:tcW w:w="746" w:type="pct"/>
            <w:vAlign w:val="center"/>
          </w:tcPr>
          <w:p w14:paraId="2E2BC717">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9级</w:t>
            </w:r>
          </w:p>
        </w:tc>
        <w:tc>
          <w:tcPr>
            <w:tcW w:w="1322" w:type="pct"/>
            <w:vAlign w:val="center"/>
          </w:tcPr>
          <w:p w14:paraId="3937A66C">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≤0.04（全长）</w:t>
            </w:r>
          </w:p>
        </w:tc>
        <w:tc>
          <w:tcPr>
            <w:tcW w:w="1465" w:type="pct"/>
            <w:vAlign w:val="center"/>
          </w:tcPr>
          <w:p w14:paraId="71B54FB5">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凸轮轴整体轴线</w:t>
            </w:r>
          </w:p>
        </w:tc>
      </w:tr>
      <w:tr w14:paraId="01BD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65" w:type="pct"/>
            <w:vAlign w:val="center"/>
          </w:tcPr>
          <w:p w14:paraId="391F4B17">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凸轮端面垂直度</w:t>
            </w:r>
          </w:p>
        </w:tc>
        <w:tc>
          <w:tcPr>
            <w:tcW w:w="746" w:type="pct"/>
            <w:vAlign w:val="center"/>
          </w:tcPr>
          <w:p w14:paraId="5BF3602E">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9级</w:t>
            </w:r>
          </w:p>
        </w:tc>
        <w:tc>
          <w:tcPr>
            <w:tcW w:w="1322" w:type="pct"/>
            <w:vAlign w:val="center"/>
          </w:tcPr>
          <w:p w14:paraId="50025136">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≤0.02</w:t>
            </w:r>
          </w:p>
        </w:tc>
        <w:tc>
          <w:tcPr>
            <w:tcW w:w="1465" w:type="pct"/>
            <w:vAlign w:val="center"/>
          </w:tcPr>
          <w:p w14:paraId="088E390E">
            <w:pPr>
              <w:autoSpaceDE w:val="0"/>
              <w:autoSpaceDN w:val="0"/>
              <w:ind w:left="0" w:leftChars="0" w:firstLine="0" w:firstLineChars="0"/>
              <w:jc w:val="center"/>
              <w:rPr>
                <w:rFonts w:hint="eastAsia" w:ascii="宋体" w:hAnsi="宋体" w:eastAsia="宋体" w:cs="宋体"/>
                <w:sz w:val="18"/>
                <w:szCs w:val="18"/>
                <w:lang w:val="en-US" w:eastAsia="zh-CN" w:bidi="ar-SA"/>
              </w:rPr>
            </w:pPr>
            <w:r>
              <w:rPr>
                <w:rFonts w:hint="eastAsia" w:ascii="宋体" w:hAnsi="宋体" w:eastAsia="宋体" w:cs="宋体"/>
                <w:sz w:val="18"/>
                <w:szCs w:val="18"/>
                <w:highlight w:val="none"/>
                <w:lang w:val="en-US" w:eastAsia="zh-CN" w:bidi="ar-SA"/>
              </w:rPr>
              <w:t>凸轮端面与轴线</w:t>
            </w:r>
          </w:p>
        </w:tc>
      </w:tr>
    </w:tbl>
    <w:p w14:paraId="20BFCC2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lang w:val="en-US" w:eastAsia="zh-CN"/>
        </w:rPr>
      </w:pPr>
      <w:r>
        <w:rPr>
          <w:rFonts w:hint="eastAsia" w:hAnsi="Times New Roman" w:cs="Times New Roman"/>
          <w:lang w:val="en-US" w:eastAsia="zh-CN"/>
        </w:rPr>
        <w:t>尺寸公差参数</w:t>
      </w:r>
    </w:p>
    <w:p w14:paraId="55B70F9D">
      <w:pPr>
        <w:keepNext w:val="0"/>
        <w:keepLines w:val="0"/>
        <w:pageBreakBefore w:val="0"/>
        <w:widowControl/>
        <w:kinsoku/>
        <w:wordWrap/>
        <w:overflowPunct/>
        <w:topLinePunct w:val="0"/>
        <w:autoSpaceDE w:val="0"/>
        <w:autoSpaceDN w:val="0"/>
        <w:bidi w:val="0"/>
        <w:adjustRightInd/>
        <w:snapToGrid/>
        <w:spacing w:line="240" w:lineRule="auto"/>
        <w:ind w:firstLine="420" w:firstLineChars="200"/>
        <w:jc w:val="both"/>
        <w:textAlignment w:val="auto"/>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按照GB/T 1800.2的规定，固化全品类尺寸公差取值标准：核心配合面采用h6/h7精密公差等级，轴颈与轴瓦标准配合间隙0.015mm～0.040mm，非功能自由尺寸未注公差统一执行IT12级。</w:t>
      </w:r>
    </w:p>
    <w:p w14:paraId="5CC33D47">
      <w:pPr>
        <w:pStyle w:val="10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hAnsi="Times New Roman" w:cs="Times New Roman"/>
        </w:rPr>
      </w:pPr>
      <w:bookmarkStart w:id="117" w:name="_Toc5237"/>
      <w:r>
        <w:rPr>
          <w:rFonts w:hint="eastAsia" w:hAnsi="Times New Roman" w:cs="Times New Roman"/>
        </w:rPr>
        <w:t>轻量化结构设计要求</w:t>
      </w:r>
      <w:bookmarkEnd w:id="117"/>
    </w:p>
    <w:p w14:paraId="323D885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lang w:val="en-US" w:eastAsia="zh-CN"/>
        </w:rPr>
      </w:pPr>
      <w:bookmarkStart w:id="118" w:name="_Toc31807"/>
      <w:r>
        <w:rPr>
          <w:rFonts w:hint="eastAsia" w:hAnsi="Times New Roman" w:cs="Times New Roman"/>
          <w:lang w:val="en-US" w:eastAsia="zh-CN"/>
        </w:rPr>
        <w:t>材料选型</w:t>
      </w:r>
      <w:bookmarkEnd w:id="118"/>
    </w:p>
    <w:p w14:paraId="54E2F9C7">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lang w:val="en-US" w:eastAsia="zh-CN"/>
        </w:rPr>
      </w:pPr>
      <w:r>
        <w:rPr>
          <w:rFonts w:hint="eastAsia" w:hAnsi="Times New Roman" w:cs="Times New Roman"/>
          <w:lang w:val="en-US" w:eastAsia="zh-CN"/>
        </w:rPr>
        <w:t>选型原则</w:t>
      </w:r>
    </w:p>
    <w:p w14:paraId="438E9BFA">
      <w:pPr>
        <w:pStyle w:val="60"/>
        <w:rPr>
          <w:rFonts w:hint="default" w:ascii="宋体" w:hAnsi="Times New Roman" w:eastAsia="宋体" w:cs="Times New Roman"/>
          <w:lang w:val="en-US" w:eastAsia="zh-CN"/>
        </w:rPr>
      </w:pPr>
      <w:r>
        <w:rPr>
          <w:rFonts w:hint="default" w:ascii="宋体" w:hAnsi="Times New Roman" w:eastAsia="宋体" w:cs="Times New Roman"/>
          <w:lang w:val="en-US" w:eastAsia="zh-CN"/>
        </w:rPr>
        <w:t>轻量化凸轮轴材料选型应优先选用高强度薄壁合金钢材、高性能球墨铸铁、耐磨合金铸铁等轻量化专用材料</w:t>
      </w:r>
      <w:r>
        <w:rPr>
          <w:rFonts w:hint="eastAsia" w:ascii="宋体" w:hAnsi="Times New Roman" w:eastAsia="宋体" w:cs="Times New Roman"/>
          <w:lang w:val="en-US" w:eastAsia="zh-CN"/>
        </w:rPr>
        <w:t>，</w:t>
      </w:r>
      <w:r>
        <w:rPr>
          <w:rFonts w:hint="default" w:ascii="宋体" w:hAnsi="Times New Roman" w:eastAsia="宋体" w:cs="Times New Roman"/>
          <w:lang w:val="en-US" w:eastAsia="zh-CN"/>
        </w:rPr>
        <w:t>所选材料应符合GB/T 1348</w:t>
      </w:r>
      <w:r>
        <w:rPr>
          <w:rFonts w:hint="eastAsia" w:ascii="宋体" w:hAnsi="Times New Roman" w:eastAsia="宋体" w:cs="Times New Roman"/>
          <w:lang w:val="en-US" w:eastAsia="zh-CN"/>
        </w:rPr>
        <w:t>、</w:t>
      </w:r>
      <w:r>
        <w:rPr>
          <w:rFonts w:hint="default" w:ascii="宋体" w:hAnsi="Times New Roman" w:eastAsia="宋体" w:cs="Times New Roman"/>
          <w:lang w:val="en-US" w:eastAsia="zh-CN"/>
        </w:rPr>
        <w:t>GB/T 3077、GB/T 9439的相关要求</w:t>
      </w:r>
      <w:r>
        <w:rPr>
          <w:rFonts w:hint="eastAsia" w:ascii="宋体" w:hAnsi="Times New Roman" w:eastAsia="宋体" w:cs="Times New Roman"/>
          <w:lang w:val="en-US" w:eastAsia="zh-CN"/>
        </w:rPr>
        <w:t>。</w:t>
      </w:r>
    </w:p>
    <w:p w14:paraId="5BD6E9B3">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结构材料匹配</w:t>
      </w:r>
    </w:p>
    <w:p w14:paraId="5D7F434A">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结合轻量化凸轮轴的结构形式、载荷等级及运行工况，不同结构凸轮轴的适配材料、核心力学性能及适用场景应符合表</w:t>
      </w:r>
      <w:r>
        <w:rPr>
          <w:rFonts w:hint="eastAsia" w:cs="Times New Roman"/>
          <w:sz w:val="21"/>
          <w:highlight w:val="none"/>
          <w:lang w:val="en-US" w:eastAsia="zh-CN" w:bidi="ar-SA"/>
        </w:rPr>
        <w:t>5</w:t>
      </w:r>
      <w:r>
        <w:rPr>
          <w:rFonts w:hint="default" w:ascii="宋体" w:hAnsi="Times New Roman" w:eastAsia="宋体" w:cs="Times New Roman"/>
          <w:sz w:val="21"/>
          <w:highlight w:val="none"/>
          <w:lang w:val="en-US" w:eastAsia="zh-CN" w:bidi="ar-SA"/>
        </w:rPr>
        <w:t>的规定，设计时</w:t>
      </w:r>
      <w:r>
        <w:rPr>
          <w:rFonts w:hint="eastAsia"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根据机型参数精准选材。</w:t>
      </w:r>
    </w:p>
    <w:p w14:paraId="29B035B0">
      <w:pPr>
        <w:pStyle w:val="11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hAnsi="Times New Roman" w:cs="Times New Roman"/>
          <w:lang w:val="en-US" w:eastAsia="zh-CN"/>
        </w:rPr>
      </w:pPr>
      <w:r>
        <w:rPr>
          <w:rFonts w:hint="default" w:hAnsi="Times New Roman" w:cs="Times New Roman"/>
          <w:lang w:val="en-US" w:eastAsia="zh-CN"/>
        </w:rPr>
        <w:t>轻量化凸轮轴适配材料及力学性能参数</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541"/>
        <w:gridCol w:w="1464"/>
        <w:gridCol w:w="1425"/>
        <w:gridCol w:w="1464"/>
        <w:gridCol w:w="1969"/>
      </w:tblGrid>
      <w:tr w14:paraId="4E23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Align w:val="center"/>
          </w:tcPr>
          <w:p w14:paraId="50F103C8">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结构类型</w:t>
            </w:r>
          </w:p>
        </w:tc>
        <w:tc>
          <w:tcPr>
            <w:tcW w:w="824" w:type="pct"/>
            <w:vAlign w:val="center"/>
          </w:tcPr>
          <w:p w14:paraId="5FFC0F11">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适配材料</w:t>
            </w:r>
          </w:p>
        </w:tc>
        <w:tc>
          <w:tcPr>
            <w:tcW w:w="783" w:type="pct"/>
            <w:vAlign w:val="center"/>
          </w:tcPr>
          <w:p w14:paraId="13275BB2">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抗拉强度（MPa）</w:t>
            </w:r>
          </w:p>
        </w:tc>
        <w:tc>
          <w:tcPr>
            <w:tcW w:w="762" w:type="pct"/>
            <w:vAlign w:val="center"/>
          </w:tcPr>
          <w:p w14:paraId="66CB0B10">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硬度（HRC/HB）</w:t>
            </w:r>
          </w:p>
        </w:tc>
        <w:tc>
          <w:tcPr>
            <w:tcW w:w="783" w:type="pct"/>
            <w:vAlign w:val="center"/>
          </w:tcPr>
          <w:p w14:paraId="0CE25F57">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疲劳极限（MPa）</w:t>
            </w:r>
          </w:p>
        </w:tc>
        <w:tc>
          <w:tcPr>
            <w:tcW w:w="1053" w:type="pct"/>
            <w:vAlign w:val="center"/>
          </w:tcPr>
          <w:p w14:paraId="473A1AF2">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适用工况</w:t>
            </w:r>
          </w:p>
        </w:tc>
      </w:tr>
      <w:tr w14:paraId="6DC4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Align w:val="center"/>
          </w:tcPr>
          <w:p w14:paraId="55651780">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整体式空心凸轮轴</w:t>
            </w:r>
          </w:p>
        </w:tc>
        <w:tc>
          <w:tcPr>
            <w:tcW w:w="824" w:type="pct"/>
            <w:vAlign w:val="center"/>
          </w:tcPr>
          <w:p w14:paraId="32E1778F">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45Mn2合金结构钢</w:t>
            </w:r>
          </w:p>
        </w:tc>
        <w:tc>
          <w:tcPr>
            <w:tcW w:w="783" w:type="pct"/>
            <w:vAlign w:val="center"/>
          </w:tcPr>
          <w:p w14:paraId="13D0E821">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≥835</w:t>
            </w:r>
          </w:p>
        </w:tc>
        <w:tc>
          <w:tcPr>
            <w:tcW w:w="762" w:type="pct"/>
            <w:vAlign w:val="center"/>
          </w:tcPr>
          <w:p w14:paraId="0A45F3CF">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28～32HRC</w:t>
            </w:r>
          </w:p>
        </w:tc>
        <w:tc>
          <w:tcPr>
            <w:tcW w:w="783" w:type="pct"/>
            <w:vAlign w:val="center"/>
          </w:tcPr>
          <w:p w14:paraId="6057DF79">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≥380</w:t>
            </w:r>
          </w:p>
        </w:tc>
        <w:tc>
          <w:tcPr>
            <w:tcW w:w="1053" w:type="pct"/>
            <w:vAlign w:val="center"/>
          </w:tcPr>
          <w:p w14:paraId="6076FBCD">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中高速、中等载荷内燃机</w:t>
            </w:r>
          </w:p>
        </w:tc>
      </w:tr>
      <w:tr w14:paraId="0A6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Align w:val="center"/>
          </w:tcPr>
          <w:p w14:paraId="0670171C">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整体式空心凸轮轴</w:t>
            </w:r>
          </w:p>
        </w:tc>
        <w:tc>
          <w:tcPr>
            <w:tcW w:w="824" w:type="pct"/>
            <w:vAlign w:val="center"/>
          </w:tcPr>
          <w:p w14:paraId="792A61E2">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QT600-3球墨铸铁</w:t>
            </w:r>
          </w:p>
        </w:tc>
        <w:tc>
          <w:tcPr>
            <w:tcW w:w="783" w:type="pct"/>
            <w:vAlign w:val="center"/>
          </w:tcPr>
          <w:p w14:paraId="162C455C">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≥600</w:t>
            </w:r>
          </w:p>
        </w:tc>
        <w:tc>
          <w:tcPr>
            <w:tcW w:w="762" w:type="pct"/>
            <w:vAlign w:val="center"/>
          </w:tcPr>
          <w:p w14:paraId="17A0CC96">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220～260HB</w:t>
            </w:r>
          </w:p>
        </w:tc>
        <w:tc>
          <w:tcPr>
            <w:tcW w:w="783" w:type="pct"/>
            <w:vAlign w:val="center"/>
          </w:tcPr>
          <w:p w14:paraId="2F9EE170">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≥280</w:t>
            </w:r>
          </w:p>
        </w:tc>
        <w:tc>
          <w:tcPr>
            <w:tcW w:w="1053" w:type="pct"/>
            <w:vAlign w:val="center"/>
          </w:tcPr>
          <w:p w14:paraId="34D95505">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低速、轻载通用机械</w:t>
            </w:r>
          </w:p>
        </w:tc>
      </w:tr>
      <w:tr w14:paraId="5A7B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Align w:val="center"/>
          </w:tcPr>
          <w:p w14:paraId="3C327A58">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装配式凸轮轴轴管</w:t>
            </w:r>
          </w:p>
        </w:tc>
        <w:tc>
          <w:tcPr>
            <w:tcW w:w="824" w:type="pct"/>
            <w:vAlign w:val="center"/>
          </w:tcPr>
          <w:p w14:paraId="780FF5D1">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20CrMo薄壁钢管</w:t>
            </w:r>
          </w:p>
        </w:tc>
        <w:tc>
          <w:tcPr>
            <w:tcW w:w="783" w:type="pct"/>
            <w:vAlign w:val="center"/>
          </w:tcPr>
          <w:p w14:paraId="1BE76B62">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≥885</w:t>
            </w:r>
          </w:p>
        </w:tc>
        <w:tc>
          <w:tcPr>
            <w:tcW w:w="762" w:type="pct"/>
            <w:vAlign w:val="center"/>
          </w:tcPr>
          <w:p w14:paraId="021A981C">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30～35HRC</w:t>
            </w:r>
          </w:p>
        </w:tc>
        <w:tc>
          <w:tcPr>
            <w:tcW w:w="783" w:type="pct"/>
            <w:vAlign w:val="center"/>
          </w:tcPr>
          <w:p w14:paraId="1030DE38">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≥420</w:t>
            </w:r>
          </w:p>
        </w:tc>
        <w:tc>
          <w:tcPr>
            <w:tcW w:w="1053" w:type="pct"/>
            <w:vAlign w:val="center"/>
          </w:tcPr>
          <w:p w14:paraId="7DC7D82F">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高速、重载内燃机</w:t>
            </w:r>
          </w:p>
        </w:tc>
      </w:tr>
      <w:tr w14:paraId="49BF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Align w:val="center"/>
          </w:tcPr>
          <w:p w14:paraId="08CFF571">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装配式凸轮片</w:t>
            </w:r>
          </w:p>
        </w:tc>
        <w:tc>
          <w:tcPr>
            <w:tcW w:w="824" w:type="pct"/>
            <w:vAlign w:val="center"/>
          </w:tcPr>
          <w:p w14:paraId="019F9148">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高铬耐磨合金铸铁</w:t>
            </w:r>
          </w:p>
        </w:tc>
        <w:tc>
          <w:tcPr>
            <w:tcW w:w="783" w:type="pct"/>
            <w:vAlign w:val="center"/>
          </w:tcPr>
          <w:p w14:paraId="300EB7E1">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≥750</w:t>
            </w:r>
          </w:p>
        </w:tc>
        <w:tc>
          <w:tcPr>
            <w:tcW w:w="762" w:type="pct"/>
            <w:vAlign w:val="center"/>
          </w:tcPr>
          <w:p w14:paraId="5033ECFB">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45～50HRC</w:t>
            </w:r>
          </w:p>
        </w:tc>
        <w:tc>
          <w:tcPr>
            <w:tcW w:w="783" w:type="pct"/>
            <w:vAlign w:val="center"/>
          </w:tcPr>
          <w:p w14:paraId="33AB426E">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≥350</w:t>
            </w:r>
          </w:p>
        </w:tc>
        <w:tc>
          <w:tcPr>
            <w:tcW w:w="1053" w:type="pct"/>
            <w:vAlign w:val="center"/>
          </w:tcPr>
          <w:p w14:paraId="40F7A1B2">
            <w:pPr>
              <w:pStyle w:val="60"/>
              <w:ind w:left="0" w:leftChars="0" w:firstLine="0" w:firstLineChars="0"/>
              <w:jc w:val="center"/>
              <w:rPr>
                <w:sz w:val="18"/>
                <w:szCs w:val="18"/>
              </w:rPr>
            </w:pPr>
            <w:r>
              <w:rPr>
                <w:rFonts w:hint="eastAsia" w:ascii="宋体" w:hAnsi="宋体" w:eastAsia="宋体" w:cs="宋体"/>
                <w:sz w:val="18"/>
                <w:szCs w:val="18"/>
                <w:highlight w:val="none"/>
                <w:lang w:val="en-US" w:eastAsia="zh-CN" w:bidi="ar-SA"/>
              </w:rPr>
              <w:t>全工况配气机构</w:t>
            </w:r>
          </w:p>
        </w:tc>
      </w:tr>
    </w:tbl>
    <w:p w14:paraId="7618DC4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19" w:name="_Toc9919"/>
      <w:r>
        <w:rPr>
          <w:rFonts w:hint="default" w:hAnsi="Times New Roman" w:cs="Times New Roman"/>
          <w:lang w:val="en-US" w:eastAsia="zh-CN"/>
        </w:rPr>
        <w:t>整体式空心凸轮轴结构设计</w:t>
      </w:r>
      <w:bookmarkEnd w:id="119"/>
    </w:p>
    <w:p w14:paraId="13BEADCD">
      <w:pPr>
        <w:pStyle w:val="60"/>
        <w:rPr>
          <w:rFonts w:hint="default" w:ascii="宋体" w:hAnsi="宋体" w:eastAsia="宋体" w:cs="宋体"/>
          <w:lang w:val="en-US" w:eastAsia="zh-CN"/>
        </w:rPr>
      </w:pPr>
      <w:r>
        <w:rPr>
          <w:rFonts w:hint="eastAsia" w:ascii="宋体" w:hAnsi="宋体" w:eastAsia="宋体" w:cs="宋体"/>
          <w:lang w:val="en-US" w:eastAsia="zh-CN"/>
        </w:rPr>
        <w:t>设计要求如下：</w:t>
      </w:r>
    </w:p>
    <w:p w14:paraId="03CB48F6">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整体式空心凸轮轴应采用一体化空心轴体结构，严格控制腔体加工精度与结构均匀性；</w:t>
      </w:r>
    </w:p>
    <w:p w14:paraId="0847105F">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轴体空心孔应采用同心深孔加工工艺，孔壁光滑无台阶、无毛刺、无加工缺陷，轴壁厚度均匀性误差不大于0.3mm，有效规避局部薄壁区域产生应力集中问题；</w:t>
      </w:r>
    </w:p>
    <w:p w14:paraId="4C4C9CE0">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空心轴体两端应配套设计密封封堵结构，封堵结构与轴体端部贴合匹配、装配稳固，形成封闭腔体结构，有效阻隔水汽、润滑油、加工碎屑进入腔体内部，防止腔体锈蚀、积垢引发的结构性失效。</w:t>
      </w:r>
    </w:p>
    <w:p w14:paraId="63BE59B8">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0" w:name="_Toc1689"/>
      <w:r>
        <w:rPr>
          <w:rFonts w:hint="default" w:hAnsi="Times New Roman" w:cs="Times New Roman"/>
          <w:lang w:val="en-US" w:eastAsia="zh-CN"/>
        </w:rPr>
        <w:t>装配式凸轮轴结构设计</w:t>
      </w:r>
      <w:bookmarkEnd w:id="120"/>
    </w:p>
    <w:p w14:paraId="5C3337A3">
      <w:pPr>
        <w:pStyle w:val="60"/>
        <w:rPr>
          <w:rFonts w:hint="default"/>
          <w:lang w:val="en-US" w:eastAsia="zh-CN"/>
        </w:rPr>
      </w:pPr>
      <w:r>
        <w:rPr>
          <w:rFonts w:hint="eastAsia" w:ascii="宋体" w:hAnsi="宋体" w:eastAsia="宋体" w:cs="宋体"/>
          <w:lang w:val="en-US" w:eastAsia="zh-CN"/>
        </w:rPr>
        <w:t>设计要求如下：</w:t>
      </w:r>
    </w:p>
    <w:p w14:paraId="038B1335">
      <w:pPr>
        <w:pStyle w:val="178"/>
        <w:keepNext w:val="0"/>
        <w:keepLines w:val="0"/>
        <w:pageBreakBefore w:val="0"/>
        <w:widowControl/>
        <w:numPr>
          <w:ilvl w:val="0"/>
          <w:numId w:val="39"/>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default" w:ascii="宋体" w:hAnsi="Times New Roman" w:eastAsia="宋体" w:cs="Times New Roman"/>
          <w:lang w:val="en-US" w:eastAsia="zh-CN"/>
        </w:rPr>
        <w:t>装配式凸轮轴</w:t>
      </w:r>
      <w:r>
        <w:rPr>
          <w:rFonts w:hint="eastAsia" w:ascii="宋体" w:hAnsi="Times New Roman" w:eastAsia="宋体" w:cs="Times New Roman"/>
          <w:lang w:val="en-US" w:eastAsia="zh-CN"/>
        </w:rPr>
        <w:t>应</w:t>
      </w:r>
      <w:r>
        <w:rPr>
          <w:rFonts w:hint="default" w:ascii="宋体" w:hAnsi="Times New Roman" w:eastAsia="宋体" w:cs="Times New Roman"/>
          <w:lang w:val="en-US" w:eastAsia="zh-CN"/>
        </w:rPr>
        <w:t>采用空心薄壁轴管与独立凸轮片组合结构，凸轮片与轴管采用过盈配合+激光焊接复合固定工艺</w:t>
      </w:r>
      <w:r>
        <w:rPr>
          <w:rFonts w:hint="eastAsia" w:ascii="宋体" w:hAnsi="Times New Roman" w:eastAsia="宋体" w:cs="Times New Roman"/>
          <w:lang w:val="en-US" w:eastAsia="zh-CN"/>
        </w:rPr>
        <w:t>；</w:t>
      </w:r>
    </w:p>
    <w:p w14:paraId="0D79B680">
      <w:pPr>
        <w:pStyle w:val="178"/>
        <w:keepNext w:val="0"/>
        <w:keepLines w:val="0"/>
        <w:pageBreakBefore w:val="0"/>
        <w:widowControl/>
        <w:numPr>
          <w:ilvl w:val="0"/>
          <w:numId w:val="39"/>
        </w:numPr>
        <w:kinsoku/>
        <w:wordWrap/>
        <w:overflowPunct/>
        <w:topLinePunct w:val="0"/>
        <w:autoSpaceDE/>
        <w:autoSpaceDN/>
        <w:bidi w:val="0"/>
        <w:adjustRightInd/>
        <w:snapToGrid/>
        <w:ind w:left="850" w:hanging="425"/>
        <w:textAlignment w:val="auto"/>
        <w:rPr>
          <w:rFonts w:hint="default" w:ascii="宋体" w:hAnsi="Times New Roman" w:eastAsia="宋体" w:cs="Times New Roman"/>
          <w:lang w:val="en-US" w:eastAsia="zh-CN"/>
        </w:rPr>
      </w:pPr>
      <w:r>
        <w:rPr>
          <w:rFonts w:hint="default" w:ascii="宋体" w:hAnsi="Times New Roman" w:eastAsia="宋体" w:cs="Times New Roman"/>
          <w:lang w:val="en-US" w:eastAsia="zh-CN"/>
        </w:rPr>
        <w:t>装配过盈量</w:t>
      </w:r>
      <w:r>
        <w:rPr>
          <w:rFonts w:hint="eastAsia" w:ascii="宋体" w:hAnsi="Times New Roman" w:eastAsia="宋体" w:cs="Times New Roman"/>
          <w:lang w:val="en-US" w:eastAsia="zh-CN"/>
        </w:rPr>
        <w:t>应</w:t>
      </w:r>
      <w:r>
        <w:rPr>
          <w:rFonts w:hint="default" w:ascii="宋体" w:hAnsi="Times New Roman" w:eastAsia="宋体" w:cs="Times New Roman"/>
          <w:lang w:val="en-US" w:eastAsia="zh-CN"/>
        </w:rPr>
        <w:t>统一控制在0.08mm～0.15mm，装配完成后，总成轴向拉拔力</w:t>
      </w:r>
      <w:r>
        <w:rPr>
          <w:rFonts w:hint="eastAsia" w:ascii="宋体" w:hAnsi="Times New Roman" w:eastAsia="宋体" w:cs="Times New Roman"/>
          <w:lang w:val="en-US" w:eastAsia="zh-CN"/>
        </w:rPr>
        <w:t>应</w:t>
      </w:r>
      <w:r>
        <w:rPr>
          <w:rFonts w:hint="default" w:ascii="宋体" w:hAnsi="Times New Roman" w:eastAsia="宋体" w:cs="Times New Roman"/>
          <w:lang w:val="en-US" w:eastAsia="zh-CN"/>
        </w:rPr>
        <w:t>不低于8000N，静态抗扭力矩不低于150N·m，各项装配强度指标</w:t>
      </w:r>
      <w:r>
        <w:rPr>
          <w:rFonts w:hint="eastAsia" w:ascii="宋体" w:hAnsi="Times New Roman" w:eastAsia="宋体" w:cs="Times New Roman"/>
          <w:lang w:val="en-US" w:eastAsia="zh-CN"/>
        </w:rPr>
        <w:t>应</w:t>
      </w:r>
      <w:r>
        <w:rPr>
          <w:rFonts w:hint="default" w:ascii="宋体" w:hAnsi="Times New Roman" w:eastAsia="宋体" w:cs="Times New Roman"/>
          <w:lang w:val="en-US" w:eastAsia="zh-CN"/>
        </w:rPr>
        <w:t>满足JB/T 6728.1的要求。</w:t>
      </w:r>
    </w:p>
    <w:p w14:paraId="0110188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1" w:name="_Toc31275"/>
      <w:r>
        <w:rPr>
          <w:rFonts w:hint="default" w:hAnsi="Times New Roman" w:cs="Times New Roman"/>
          <w:lang w:val="en-US" w:eastAsia="zh-CN"/>
        </w:rPr>
        <w:t>轻量化结构优化</w:t>
      </w:r>
      <w:bookmarkEnd w:id="121"/>
    </w:p>
    <w:p w14:paraId="3FB43E53">
      <w:pPr>
        <w:keepNext w:val="0"/>
        <w:keepLines w:val="0"/>
        <w:pageBreakBefore w:val="0"/>
        <w:kinsoku/>
        <w:wordWrap/>
        <w:overflowPunct/>
        <w:topLinePunct w:val="0"/>
        <w:autoSpaceDE w:val="0"/>
        <w:autoSpaceDN w:val="0"/>
        <w:bidi w:val="0"/>
        <w:snapToGrid/>
        <w:spacing w:line="240" w:lineRule="auto"/>
        <w:ind w:firstLine="420" w:firstLineChars="200"/>
        <w:jc w:val="both"/>
        <w:textAlignment w:val="auto"/>
        <w:rPr>
          <w:rFonts w:hint="default" w:ascii="宋体" w:hAnsi="Times New Roman" w:eastAsia="宋体" w:cs="Times New Roman"/>
          <w:sz w:val="21"/>
          <w:szCs w:val="21"/>
          <w:lang w:val="en-US" w:eastAsia="zh-CN" w:bidi="ar-SA"/>
        </w:rPr>
      </w:pPr>
      <w:r>
        <w:rPr>
          <w:rFonts w:hint="default" w:ascii="宋体" w:hAnsi="Times New Roman" w:eastAsia="宋体" w:cs="Times New Roman"/>
          <w:sz w:val="21"/>
          <w:szCs w:val="21"/>
          <w:lang w:val="en-US" w:eastAsia="zh-CN" w:bidi="ar-SA"/>
        </w:rPr>
        <w:t>具体要求如下：</w:t>
      </w:r>
    </w:p>
    <w:p w14:paraId="0711A5D5">
      <w:pPr>
        <w:keepNext w:val="0"/>
        <w:keepLines w:val="0"/>
        <w:pageBreakBefore w:val="0"/>
        <w:widowControl/>
        <w:numPr>
          <w:ilvl w:val="0"/>
          <w:numId w:val="40"/>
        </w:numPr>
        <w:tabs>
          <w:tab w:val="left" w:pos="851"/>
        </w:tabs>
        <w:kinsoku/>
        <w:wordWrap/>
        <w:overflowPunct/>
        <w:topLinePunct w:val="0"/>
        <w:autoSpaceDE/>
        <w:autoSpaceDN/>
        <w:bidi w:val="0"/>
        <w:adjustRightInd/>
        <w:snapToGrid/>
        <w:spacing w:line="240" w:lineRule="auto"/>
        <w:ind w:left="850" w:hanging="425"/>
        <w:jc w:val="both"/>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轻量化减重优化应遵循“非受力区域减材、核心受力区域保强”的总体设计原则，在保证结构强度与使用可靠性的前提下开展轻量化优化；</w:t>
      </w:r>
    </w:p>
    <w:p w14:paraId="3E0D34FB">
      <w:pPr>
        <w:keepNext w:val="0"/>
        <w:keepLines w:val="0"/>
        <w:pageBreakBefore w:val="0"/>
        <w:widowControl/>
        <w:numPr>
          <w:ilvl w:val="0"/>
          <w:numId w:val="40"/>
        </w:numPr>
        <w:tabs>
          <w:tab w:val="left" w:pos="851"/>
        </w:tabs>
        <w:kinsoku/>
        <w:wordWrap/>
        <w:overflowPunct/>
        <w:topLinePunct w:val="0"/>
        <w:autoSpaceDE/>
        <w:autoSpaceDN/>
        <w:bidi w:val="0"/>
        <w:adjustRightInd/>
        <w:snapToGrid/>
        <w:spacing w:line="240" w:lineRule="auto"/>
        <w:ind w:left="850" w:hanging="425"/>
        <w:jc w:val="both"/>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可对凸轮轴非承载、非配合区域采用局部减薄、开槽等结构形式进行轻量化优化设计，降低整体自重；</w:t>
      </w:r>
    </w:p>
    <w:p w14:paraId="6387EC4E">
      <w:pPr>
        <w:keepNext w:val="0"/>
        <w:keepLines w:val="0"/>
        <w:pageBreakBefore w:val="0"/>
        <w:widowControl/>
        <w:numPr>
          <w:ilvl w:val="0"/>
          <w:numId w:val="40"/>
        </w:numPr>
        <w:tabs>
          <w:tab w:val="left" w:pos="851"/>
        </w:tabs>
        <w:kinsoku/>
        <w:wordWrap/>
        <w:overflowPunct/>
        <w:topLinePunct w:val="0"/>
        <w:autoSpaceDE/>
        <w:autoSpaceDN/>
        <w:bidi w:val="0"/>
        <w:adjustRightInd/>
        <w:snapToGrid/>
        <w:spacing w:line="240" w:lineRule="auto"/>
        <w:ind w:left="850" w:hanging="425"/>
        <w:jc w:val="both"/>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轴颈、凸轮根部等核心受力承载区域禁止减重削薄处理，凸轮轴整体承载刚度与结构强度应满足工况要求；</w:t>
      </w:r>
    </w:p>
    <w:p w14:paraId="704C39D2">
      <w:pPr>
        <w:keepNext w:val="0"/>
        <w:keepLines w:val="0"/>
        <w:pageBreakBefore w:val="0"/>
        <w:widowControl/>
        <w:numPr>
          <w:ilvl w:val="0"/>
          <w:numId w:val="40"/>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sz w:val="21"/>
          <w:szCs w:val="21"/>
          <w:lang w:val="en-US" w:eastAsia="zh-CN"/>
        </w:rPr>
      </w:pPr>
      <w:r>
        <w:rPr>
          <w:rFonts w:hint="eastAsia" w:ascii="宋体" w:hAnsi="宋体" w:eastAsia="宋体" w:cs="宋体"/>
          <w:sz w:val="21"/>
          <w:szCs w:val="21"/>
          <w:lang w:val="en-US" w:eastAsia="zh-CN" w:bidi="ar-SA"/>
        </w:rPr>
        <w:t>所有轻量化优化结构的过渡位置应设置圆弧过渡结构，过渡圆角R不小于2.0mm，消除结构应力集中隐患，提升凸轮轴整体疲劳耐久性能。</w:t>
      </w:r>
    </w:p>
    <w:p w14:paraId="618B536E">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2" w:name="_Toc4741"/>
      <w:r>
        <w:rPr>
          <w:rFonts w:hint="default" w:hAnsi="Times New Roman" w:cs="Times New Roman"/>
          <w:lang w:val="en-US" w:eastAsia="zh-CN"/>
        </w:rPr>
        <w:t>结构刚度与强度适配设计</w:t>
      </w:r>
      <w:bookmarkEnd w:id="122"/>
    </w:p>
    <w:p w14:paraId="20640591">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强度适配设计</w:t>
      </w:r>
    </w:p>
    <w:p w14:paraId="449FAD04">
      <w:pPr>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jc w:val="both"/>
        <w:textAlignment w:val="auto"/>
        <w:rPr>
          <w:rFonts w:hint="default"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具体要求如下</w:t>
      </w:r>
      <w:r>
        <w:rPr>
          <w:rFonts w:hint="default" w:ascii="宋体" w:hAnsi="Times New Roman" w:eastAsia="宋体" w:cs="Times New Roman"/>
          <w:sz w:val="21"/>
          <w:highlight w:val="none"/>
          <w:lang w:val="en-US" w:eastAsia="zh-CN" w:bidi="ar-SA"/>
        </w:rPr>
        <w:t>：</w:t>
      </w:r>
    </w:p>
    <w:p w14:paraId="6602E73A">
      <w:pPr>
        <w:keepNext w:val="0"/>
        <w:keepLines w:val="0"/>
        <w:pageBreakBefore w:val="0"/>
        <w:widowControl/>
        <w:numPr>
          <w:ilvl w:val="0"/>
          <w:numId w:val="41"/>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额定工况下弯曲、扭转应力不</w:t>
      </w:r>
      <w:r>
        <w:rPr>
          <w:rFonts w:hint="eastAsia" w:ascii="宋体" w:hAnsi="宋体" w:eastAsia="宋体" w:cs="宋体"/>
          <w:sz w:val="21"/>
          <w:lang w:val="en-US" w:eastAsia="zh-CN" w:bidi="ar-SA"/>
        </w:rPr>
        <w:t>应</w:t>
      </w:r>
      <w:r>
        <w:rPr>
          <w:rFonts w:hint="default" w:ascii="宋体" w:hAnsi="宋体" w:eastAsia="宋体" w:cs="宋体"/>
          <w:sz w:val="21"/>
          <w:lang w:val="en-US" w:eastAsia="zh-CN" w:bidi="ar-SA"/>
        </w:rPr>
        <w:t>超出材料许用应力范围；</w:t>
      </w:r>
    </w:p>
    <w:p w14:paraId="1C9F233F">
      <w:pPr>
        <w:keepNext w:val="0"/>
        <w:keepLines w:val="0"/>
        <w:pageBreakBefore w:val="0"/>
        <w:widowControl/>
        <w:numPr>
          <w:ilvl w:val="0"/>
          <w:numId w:val="41"/>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整体结构安全系数不低于1.8；</w:t>
      </w:r>
    </w:p>
    <w:p w14:paraId="6C11940A">
      <w:pPr>
        <w:keepNext w:val="0"/>
        <w:keepLines w:val="0"/>
        <w:pageBreakBefore w:val="0"/>
        <w:widowControl/>
        <w:numPr>
          <w:ilvl w:val="0"/>
          <w:numId w:val="41"/>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重点强化空心薄壁区域、结构过渡区域的结构强度设计。</w:t>
      </w:r>
    </w:p>
    <w:p w14:paraId="289D04CB">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刚度适配设计</w:t>
      </w:r>
    </w:p>
    <w:p w14:paraId="68F4D89F">
      <w:pPr>
        <w:pStyle w:val="60"/>
        <w:rPr>
          <w:rFonts w:hint="default"/>
          <w:lang w:val="en-US" w:eastAsia="zh-CN"/>
        </w:rPr>
      </w:pPr>
      <w:r>
        <w:rPr>
          <w:rFonts w:hint="default"/>
          <w:lang w:val="en-US" w:eastAsia="zh-CN"/>
        </w:rPr>
        <w:t>轻量化结构设计</w:t>
      </w:r>
      <w:r>
        <w:rPr>
          <w:rFonts w:hint="eastAsia"/>
          <w:lang w:val="en-US" w:eastAsia="zh-CN"/>
        </w:rPr>
        <w:t>应</w:t>
      </w:r>
      <w:r>
        <w:rPr>
          <w:rFonts w:hint="default"/>
          <w:lang w:val="en-US" w:eastAsia="zh-CN"/>
        </w:rPr>
        <w:t>兼顾减重与刚度平衡，规避变形失效：</w:t>
      </w:r>
    </w:p>
    <w:p w14:paraId="5339D38B">
      <w:pPr>
        <w:keepNext w:val="0"/>
        <w:keepLines w:val="0"/>
        <w:pageBreakBefore w:val="0"/>
        <w:widowControl/>
        <w:numPr>
          <w:ilvl w:val="0"/>
          <w:numId w:val="42"/>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额定转速工况下轴体整体挠度应控制在合理范围；</w:t>
      </w:r>
    </w:p>
    <w:p w14:paraId="17AFA0FA">
      <w:pPr>
        <w:keepNext w:val="0"/>
        <w:keepLines w:val="0"/>
        <w:pageBreakBefore w:val="0"/>
        <w:widowControl/>
        <w:numPr>
          <w:ilvl w:val="0"/>
          <w:numId w:val="42"/>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极限工况下结构应无异常变形、无配气相位偏移；</w:t>
      </w:r>
    </w:p>
    <w:p w14:paraId="3DF5E598">
      <w:pPr>
        <w:keepNext w:val="0"/>
        <w:keepLines w:val="0"/>
        <w:pageBreakBefore w:val="0"/>
        <w:widowControl/>
        <w:numPr>
          <w:ilvl w:val="0"/>
          <w:numId w:val="42"/>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空心结构刚度衰减量应不超过同规格实心凸轮轴的10%。</w:t>
      </w:r>
    </w:p>
    <w:p w14:paraId="4D420F5B">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疲劳耐久结构设计</w:t>
      </w:r>
    </w:p>
    <w:p w14:paraId="26EBF063">
      <w:pPr>
        <w:keepNext w:val="0"/>
        <w:keepLines w:val="0"/>
        <w:pageBreakBefore w:val="0"/>
        <w:widowControl/>
        <w:numPr>
          <w:ilvl w:val="0"/>
          <w:numId w:val="43"/>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结构设计应适配长期交变载荷工况，保证疲劳耐久性能：</w:t>
      </w:r>
    </w:p>
    <w:p w14:paraId="58CEC69A">
      <w:pPr>
        <w:keepNext w:val="0"/>
        <w:keepLines w:val="0"/>
        <w:pageBreakBefore w:val="0"/>
        <w:widowControl/>
        <w:numPr>
          <w:ilvl w:val="0"/>
          <w:numId w:val="43"/>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装配式连接结构设计应规避交变载荷下的松脱、开裂风险；</w:t>
      </w:r>
    </w:p>
    <w:p w14:paraId="550BCE12">
      <w:pPr>
        <w:keepNext w:val="0"/>
        <w:keepLines w:val="0"/>
        <w:pageBreakBefore w:val="0"/>
        <w:widowControl/>
        <w:numPr>
          <w:ilvl w:val="0"/>
          <w:numId w:val="43"/>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整体式空心凸轮轴设计使用寿命应不低于8000h；</w:t>
      </w:r>
    </w:p>
    <w:p w14:paraId="38EEC8F0">
      <w:pPr>
        <w:keepNext w:val="0"/>
        <w:keepLines w:val="0"/>
        <w:pageBreakBefore w:val="0"/>
        <w:widowControl/>
        <w:numPr>
          <w:ilvl w:val="0"/>
          <w:numId w:val="43"/>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结构设计应保证全寿命周期无疲劳失效、无明显精度衰减。</w:t>
      </w:r>
    </w:p>
    <w:p w14:paraId="79DAE423">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附属功能</w:t>
      </w:r>
      <w:r>
        <w:rPr>
          <w:rFonts w:hint="eastAsia" w:ascii="黑体" w:hAnsi="Times New Roman" w:eastAsia="黑体" w:cs="Times New Roman"/>
          <w:sz w:val="21"/>
          <w:lang w:val="en-US" w:eastAsia="zh-CN" w:bidi="ar-SA"/>
        </w:rPr>
        <w:t>结构</w:t>
      </w:r>
      <w:r>
        <w:rPr>
          <w:rFonts w:hint="default" w:ascii="黑体" w:hAnsi="Times New Roman" w:eastAsia="黑体" w:cs="Times New Roman"/>
          <w:sz w:val="21"/>
          <w:lang w:val="en-US" w:eastAsia="zh-CN" w:bidi="ar-SA"/>
        </w:rPr>
        <w:t>设计</w:t>
      </w:r>
    </w:p>
    <w:p w14:paraId="5EE222FC">
      <w:pPr>
        <w:keepNext w:val="0"/>
        <w:keepLines w:val="0"/>
        <w:pageBreakBefore w:val="0"/>
        <w:widowControl w:val="0"/>
        <w:numPr>
          <w:ilvl w:val="3"/>
          <w:numId w:val="2"/>
        </w:numPr>
        <w:kinsoku/>
        <w:wordWrap/>
        <w:overflowPunct/>
        <w:topLinePunct w:val="0"/>
        <w:autoSpaceDE/>
        <w:autoSpaceDN/>
        <w:bidi w:val="0"/>
        <w:adjustRightInd/>
        <w:snapToGrid/>
        <w:spacing w:before="0" w:beforeLines="0" w:after="0" w:afterLines="0" w:line="240" w:lineRule="auto"/>
        <w:jc w:val="both"/>
        <w:textAlignment w:val="auto"/>
        <w:outlineLvl w:val="2"/>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润滑结构设计</w:t>
      </w:r>
    </w:p>
    <w:p w14:paraId="50CA9826">
      <w:pPr>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jc w:val="both"/>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凸轮轴结构</w:t>
      </w:r>
      <w:r>
        <w:rPr>
          <w:rFonts w:hint="eastAsia" w:ascii="宋体" w:hAnsi="Times New Roman" w:eastAsia="宋体"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集成适配的润滑结构，保障摩擦副长期可靠运行：</w:t>
      </w:r>
    </w:p>
    <w:p w14:paraId="35D9184C">
      <w:pPr>
        <w:keepNext w:val="0"/>
        <w:keepLines w:val="0"/>
        <w:pageBreakBefore w:val="0"/>
        <w:widowControl/>
        <w:numPr>
          <w:ilvl w:val="0"/>
          <w:numId w:val="44"/>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合理布置润滑油道与油孔，正对轴颈摩擦区域，供油均匀全覆盖；</w:t>
      </w:r>
    </w:p>
    <w:p w14:paraId="4B8FE978">
      <w:pPr>
        <w:keepNext w:val="0"/>
        <w:keepLines w:val="0"/>
        <w:pageBreakBefore w:val="0"/>
        <w:widowControl/>
        <w:numPr>
          <w:ilvl w:val="0"/>
          <w:numId w:val="44"/>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油孔尺寸统一、过渡圆滑，无锐边应力集中；</w:t>
      </w:r>
    </w:p>
    <w:p w14:paraId="6E7ABC96">
      <w:pPr>
        <w:keepNext w:val="0"/>
        <w:keepLines w:val="0"/>
        <w:pageBreakBefore w:val="0"/>
        <w:widowControl/>
        <w:numPr>
          <w:ilvl w:val="0"/>
          <w:numId w:val="44"/>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空心轴体采用贯通式润滑结构，集成轻量化与润滑功能。</w:t>
      </w:r>
    </w:p>
    <w:p w14:paraId="0FCA977B">
      <w:pPr>
        <w:keepNext w:val="0"/>
        <w:keepLines w:val="0"/>
        <w:pageBreakBefore w:val="0"/>
        <w:widowControl w:val="0"/>
        <w:numPr>
          <w:ilvl w:val="3"/>
          <w:numId w:val="2"/>
        </w:numPr>
        <w:kinsoku/>
        <w:wordWrap/>
        <w:overflowPunct/>
        <w:topLinePunct w:val="0"/>
        <w:autoSpaceDE/>
        <w:autoSpaceDN/>
        <w:bidi w:val="0"/>
        <w:adjustRightInd/>
        <w:snapToGrid/>
        <w:spacing w:before="0" w:beforeLines="0" w:after="0" w:afterLines="0" w:line="240" w:lineRule="auto"/>
        <w:jc w:val="both"/>
        <w:textAlignment w:val="auto"/>
        <w:outlineLvl w:val="2"/>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结构减振降噪设计</w:t>
      </w:r>
    </w:p>
    <w:p w14:paraId="17DAC470">
      <w:pPr>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jc w:val="both"/>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针对空心薄壁结构易振动特性，结构设计</w:t>
      </w:r>
      <w:r>
        <w:rPr>
          <w:rFonts w:hint="eastAsia" w:ascii="宋体" w:hAnsi="Times New Roman" w:eastAsia="宋体"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做减振优化：</w:t>
      </w:r>
    </w:p>
    <w:p w14:paraId="584FEE59">
      <w:pPr>
        <w:keepNext w:val="0"/>
        <w:keepLines w:val="0"/>
        <w:pageBreakBefore w:val="0"/>
        <w:widowControl/>
        <w:numPr>
          <w:ilvl w:val="0"/>
          <w:numId w:val="45"/>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轴体壁厚</w:t>
      </w:r>
      <w:r>
        <w:rPr>
          <w:rFonts w:hint="eastAsia" w:ascii="宋体" w:hAnsi="宋体" w:eastAsia="宋体" w:cs="宋体"/>
          <w:sz w:val="21"/>
          <w:lang w:val="en-US" w:eastAsia="zh-CN" w:bidi="ar-SA"/>
        </w:rPr>
        <w:t>应</w:t>
      </w:r>
      <w:r>
        <w:rPr>
          <w:rFonts w:hint="default" w:ascii="宋体" w:hAnsi="宋体" w:eastAsia="宋体" w:cs="宋体"/>
          <w:sz w:val="21"/>
          <w:lang w:val="en-US" w:eastAsia="zh-CN" w:bidi="ar-SA"/>
        </w:rPr>
        <w:t>均匀，规避局部薄壁共振区域；</w:t>
      </w:r>
    </w:p>
    <w:p w14:paraId="4CEA4CE1">
      <w:pPr>
        <w:keepNext w:val="0"/>
        <w:keepLines w:val="0"/>
        <w:pageBreakBefore w:val="0"/>
        <w:widowControl/>
        <w:numPr>
          <w:ilvl w:val="0"/>
          <w:numId w:val="45"/>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优化凸轮型线过渡结构，降低配气机构冲击载荷；</w:t>
      </w:r>
    </w:p>
    <w:p w14:paraId="7ACDDDEB">
      <w:pPr>
        <w:keepNext w:val="0"/>
        <w:keepLines w:val="0"/>
        <w:pageBreakBefore w:val="0"/>
        <w:widowControl/>
        <w:numPr>
          <w:ilvl w:val="0"/>
          <w:numId w:val="45"/>
        </w:numPr>
        <w:tabs>
          <w:tab w:val="left" w:pos="851"/>
        </w:tabs>
        <w:kinsoku/>
        <w:wordWrap/>
        <w:overflowPunct/>
        <w:topLinePunct w:val="0"/>
        <w:autoSpaceDE/>
        <w:autoSpaceDN/>
        <w:bidi w:val="0"/>
        <w:adjustRightInd/>
        <w:snapToGrid/>
        <w:spacing w:line="240" w:lineRule="auto"/>
        <w:ind w:left="850" w:hanging="425"/>
        <w:jc w:val="both"/>
        <w:textAlignment w:val="auto"/>
        <w:rPr>
          <w:rFonts w:hint="default"/>
          <w:lang w:val="en-US" w:eastAsia="zh-CN"/>
        </w:rPr>
      </w:pPr>
      <w:r>
        <w:rPr>
          <w:rFonts w:hint="default" w:ascii="宋体" w:hAnsi="宋体" w:eastAsia="宋体" w:cs="宋体"/>
          <w:sz w:val="21"/>
          <w:lang w:val="en-US" w:eastAsia="zh-CN" w:bidi="ar-SA"/>
        </w:rPr>
        <w:t>通过结构构型优化提升整体结构阻尼，抑制运转振动与噪声。</w:t>
      </w:r>
    </w:p>
    <w:p w14:paraId="43587F63">
      <w:pPr>
        <w:pStyle w:val="10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hAnsi="Times New Roman" w:cs="Times New Roman"/>
          <w:lang w:val="en-US" w:eastAsia="zh-CN"/>
        </w:rPr>
      </w:pPr>
      <w:bookmarkStart w:id="123" w:name="_Toc11003"/>
      <w:r>
        <w:rPr>
          <w:rFonts w:hint="default" w:hAnsi="Times New Roman" w:cs="Times New Roman"/>
          <w:lang w:val="en-US" w:eastAsia="zh-CN"/>
        </w:rPr>
        <w:t>设计验证要求</w:t>
      </w:r>
      <w:bookmarkEnd w:id="123"/>
    </w:p>
    <w:p w14:paraId="35BFDE8F">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尺寸精度验证</w:t>
      </w:r>
    </w:p>
    <w:p w14:paraId="2EDA955A">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设计样机</w:t>
      </w:r>
      <w:r>
        <w:rPr>
          <w:rFonts w:hint="default" w:ascii="宋体" w:hAnsi="宋体" w:eastAsia="宋体" w:cs="宋体"/>
          <w:sz w:val="21"/>
          <w:lang w:val="en-US" w:eastAsia="zh-CN" w:bidi="ar-SA"/>
        </w:rPr>
        <w:t>应</w:t>
      </w:r>
      <w:r>
        <w:rPr>
          <w:rFonts w:hint="default" w:ascii="宋体" w:hAnsi="Times New Roman" w:eastAsia="宋体" w:cs="Times New Roman"/>
          <w:sz w:val="21"/>
          <w:highlight w:val="none"/>
          <w:lang w:val="en-US" w:eastAsia="zh-CN" w:bidi="ar-SA"/>
        </w:rPr>
        <w:t>采用三坐标测量仪、凸轮轴综合检测仪完成全尺寸检测，核对结构参数、形位公差、凸轮型线精度，所有指标</w:t>
      </w:r>
      <w:r>
        <w:rPr>
          <w:rFonts w:hint="eastAsia" w:ascii="宋体" w:hAnsi="Times New Roman" w:eastAsia="宋体"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符合本文件要求。</w:t>
      </w:r>
    </w:p>
    <w:p w14:paraId="539896AD">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性能试验验证</w:t>
      </w:r>
    </w:p>
    <w:p w14:paraId="415DBE23">
      <w:pPr>
        <w:keepNext w:val="0"/>
        <w:keepLines w:val="0"/>
        <w:pageBreakBefore w:val="0"/>
        <w:widowControl w:val="0"/>
        <w:numPr>
          <w:ilvl w:val="3"/>
          <w:numId w:val="2"/>
        </w:numPr>
        <w:kinsoku/>
        <w:wordWrap/>
        <w:overflowPunct/>
        <w:topLinePunct w:val="0"/>
        <w:autoSpaceDE/>
        <w:autoSpaceDN/>
        <w:bidi w:val="0"/>
        <w:adjustRightInd/>
        <w:snapToGrid/>
        <w:spacing w:before="0" w:beforeLines="0" w:after="0" w:afterLines="0" w:line="240" w:lineRule="auto"/>
        <w:jc w:val="both"/>
        <w:textAlignment w:val="auto"/>
        <w:outlineLvl w:val="2"/>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力学性能试验</w:t>
      </w:r>
    </w:p>
    <w:p w14:paraId="64DFDDF9">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按照</w:t>
      </w:r>
      <w:r>
        <w:rPr>
          <w:rFonts w:hint="default" w:ascii="宋体" w:hAnsi="Times New Roman" w:eastAsia="宋体" w:cs="Times New Roman"/>
          <w:sz w:val="21"/>
          <w:highlight w:val="none"/>
          <w:lang w:val="en-US" w:eastAsia="zh-CN" w:bidi="ar-SA"/>
        </w:rPr>
        <w:t>GB/T 3077</w:t>
      </w:r>
      <w:r>
        <w:rPr>
          <w:rFonts w:hint="eastAsia" w:ascii="宋体" w:hAnsi="Times New Roman" w:eastAsia="宋体" w:cs="Times New Roman"/>
          <w:sz w:val="21"/>
          <w:highlight w:val="none"/>
          <w:lang w:val="en-US" w:eastAsia="zh-CN" w:bidi="ar-SA"/>
        </w:rPr>
        <w:t>的规定</w:t>
      </w:r>
      <w:r>
        <w:rPr>
          <w:rFonts w:hint="default" w:ascii="宋体" w:hAnsi="Times New Roman" w:eastAsia="宋体" w:cs="Times New Roman"/>
          <w:sz w:val="21"/>
          <w:highlight w:val="none"/>
          <w:lang w:val="en-US" w:eastAsia="zh-CN" w:bidi="ar-SA"/>
        </w:rPr>
        <w:t>开展抗拉、抗弯、抗扭试验。</w:t>
      </w:r>
    </w:p>
    <w:p w14:paraId="41364FE5">
      <w:pPr>
        <w:keepNext w:val="0"/>
        <w:keepLines w:val="0"/>
        <w:pageBreakBefore w:val="0"/>
        <w:widowControl w:val="0"/>
        <w:numPr>
          <w:ilvl w:val="3"/>
          <w:numId w:val="2"/>
        </w:numPr>
        <w:kinsoku/>
        <w:wordWrap/>
        <w:overflowPunct/>
        <w:topLinePunct w:val="0"/>
        <w:autoSpaceDE/>
        <w:autoSpaceDN/>
        <w:bidi w:val="0"/>
        <w:adjustRightInd/>
        <w:snapToGrid/>
        <w:spacing w:before="0" w:beforeLines="0" w:after="0" w:afterLines="0" w:line="240" w:lineRule="auto"/>
        <w:jc w:val="both"/>
        <w:textAlignment w:val="auto"/>
        <w:outlineLvl w:val="2"/>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疲劳耐久试验</w:t>
      </w:r>
    </w:p>
    <w:p w14:paraId="1A758962">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按照</w:t>
      </w:r>
      <w:r>
        <w:rPr>
          <w:rFonts w:hint="default" w:ascii="宋体" w:hAnsi="Times New Roman" w:eastAsia="宋体" w:cs="Times New Roman"/>
          <w:sz w:val="21"/>
          <w:highlight w:val="none"/>
          <w:lang w:val="en-US" w:eastAsia="zh-CN" w:bidi="ar-SA"/>
        </w:rPr>
        <w:t>GB/T 2689.4</w:t>
      </w:r>
      <w:r>
        <w:rPr>
          <w:rFonts w:hint="eastAsia" w:ascii="宋体" w:hAnsi="Times New Roman" w:eastAsia="宋体" w:cs="Times New Roman"/>
          <w:sz w:val="21"/>
          <w:highlight w:val="none"/>
          <w:lang w:val="en-US" w:eastAsia="zh-CN" w:bidi="ar-SA"/>
        </w:rPr>
        <w:t>的规定执行。</w:t>
      </w:r>
    </w:p>
    <w:p w14:paraId="7DE78587">
      <w:pPr>
        <w:keepNext w:val="0"/>
        <w:keepLines w:val="0"/>
        <w:pageBreakBefore w:val="0"/>
        <w:widowControl w:val="0"/>
        <w:numPr>
          <w:ilvl w:val="3"/>
          <w:numId w:val="2"/>
        </w:numPr>
        <w:kinsoku/>
        <w:wordWrap/>
        <w:overflowPunct/>
        <w:topLinePunct w:val="0"/>
        <w:autoSpaceDE/>
        <w:autoSpaceDN/>
        <w:bidi w:val="0"/>
        <w:adjustRightInd/>
        <w:snapToGrid/>
        <w:spacing w:before="0" w:beforeLines="0" w:after="0" w:afterLines="0" w:line="240" w:lineRule="auto"/>
        <w:jc w:val="both"/>
        <w:textAlignment w:val="auto"/>
        <w:outlineLvl w:val="2"/>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工况适配试验</w:t>
      </w:r>
    </w:p>
    <w:p w14:paraId="3E812552">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sz w:val="21"/>
          <w:highlight w:val="none"/>
          <w:lang w:val="en-US" w:eastAsia="zh-CN" w:bidi="ar-SA"/>
        </w:rPr>
      </w:pPr>
      <w:r>
        <w:rPr>
          <w:rFonts w:hint="eastAsia" w:ascii="宋体" w:hAnsi="宋体" w:eastAsia="宋体" w:cs="宋体"/>
          <w:sz w:val="21"/>
          <w:highlight w:val="none"/>
          <w:lang w:val="en-US" w:eastAsia="zh-CN" w:bidi="ar-SA"/>
        </w:rPr>
        <w:t>模拟4.3条规定的-40℃～180℃工作温度、3000r/min～8000r/min额定转速全工况，持续运行200h，每20h检测一次精度衰减量、磨损量及结构变形情况。</w:t>
      </w:r>
    </w:p>
    <w:p w14:paraId="03EED082">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减重效果验证</w:t>
      </w:r>
    </w:p>
    <w:p w14:paraId="1B978592">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样机称重对比同规格传统实心凸轮轴，核算实际减重率，</w:t>
      </w:r>
      <w:r>
        <w:rPr>
          <w:rFonts w:hint="eastAsia" w:ascii="宋体" w:hAnsi="Times New Roman" w:eastAsia="宋体"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满足4.2条轻量化指标要求，未达标</w:t>
      </w:r>
      <w:r>
        <w:rPr>
          <w:rFonts w:hint="eastAsia" w:ascii="宋体" w:hAnsi="Times New Roman" w:eastAsia="宋体" w:cs="Times New Roman"/>
          <w:sz w:val="21"/>
          <w:highlight w:val="none"/>
          <w:lang w:val="en-US" w:eastAsia="zh-CN" w:bidi="ar-SA"/>
        </w:rPr>
        <w:t>应</w:t>
      </w:r>
      <w:r>
        <w:rPr>
          <w:rFonts w:hint="default" w:ascii="宋体" w:hAnsi="Times New Roman" w:eastAsia="宋体" w:cs="Times New Roman"/>
          <w:sz w:val="21"/>
          <w:highlight w:val="none"/>
          <w:lang w:val="en-US" w:eastAsia="zh-CN" w:bidi="ar-SA"/>
        </w:rPr>
        <w:t>优化空心结构、材料配比重新设计。</w:t>
      </w:r>
    </w:p>
    <w:p w14:paraId="4373629A">
      <w:pPr>
        <w:pStyle w:val="60"/>
        <w:ind w:left="0" w:leftChars="0" w:firstLine="0" w:firstLineChars="0"/>
        <w:rPr>
          <w:rFonts w:hint="default" w:ascii="宋体" w:hAnsi="Times New Roman" w:eastAsia="宋体" w:cs="Times New Roman"/>
          <w:sz w:val="21"/>
          <w:highlight w:val="none"/>
          <w:lang w:val="en-US" w:eastAsia="zh-CN" w:bidi="ar-SA"/>
        </w:rPr>
      </w:pPr>
    </w:p>
    <w:p w14:paraId="7F61B6AF">
      <w:pPr>
        <w:pStyle w:val="60"/>
        <w:ind w:left="0" w:leftChars="0" w:firstLine="0" w:firstLineChars="0"/>
        <w:rPr>
          <w:rFonts w:hint="default" w:ascii="宋体" w:hAnsi="Times New Roman" w:eastAsia="宋体" w:cs="Times New Roman"/>
          <w:sz w:val="21"/>
          <w:highlight w:val="none"/>
          <w:lang w:val="en-US" w:eastAsia="zh-CN" w:bidi="ar-SA"/>
        </w:rPr>
      </w:pPr>
    </w:p>
    <w:p w14:paraId="6732659E">
      <w:pPr>
        <w:pStyle w:val="60"/>
        <w:ind w:left="0" w:leftChars="0" w:firstLine="0" w:firstLineChars="0"/>
        <w:rPr>
          <w:rFonts w:hint="default" w:ascii="宋体" w:hAnsi="Times New Roman" w:eastAsia="宋体" w:cs="Times New Roman"/>
          <w:sz w:val="21"/>
          <w:highlight w:val="none"/>
          <w:lang w:val="en-US" w:eastAsia="zh-CN" w:bidi="ar-SA"/>
        </w:rPr>
      </w:pPr>
    </w:p>
    <w:p w14:paraId="33439AD8">
      <w:pPr>
        <w:pStyle w:val="60"/>
        <w:ind w:left="0" w:leftChars="0" w:firstLine="0" w:firstLineChars="0"/>
        <w:rPr>
          <w:rFonts w:hint="default" w:ascii="宋体" w:hAnsi="Times New Roman" w:eastAsia="宋体" w:cs="Times New Roman"/>
          <w:sz w:val="21"/>
          <w:highlight w:val="none"/>
          <w:lang w:val="en-US" w:eastAsia="zh-CN" w:bidi="ar-SA"/>
        </w:rPr>
      </w:pPr>
    </w:p>
    <w:p w14:paraId="5D54AC48">
      <w:pPr>
        <w:pStyle w:val="60"/>
        <w:ind w:left="0" w:leftChars="0" w:firstLine="0" w:firstLineChars="0"/>
        <w:rPr>
          <w:rFonts w:hint="default" w:ascii="宋体" w:hAnsi="Times New Roman" w:eastAsia="宋体" w:cs="Times New Roman"/>
          <w:sz w:val="21"/>
          <w:highlight w:val="none"/>
          <w:lang w:val="en-US" w:eastAsia="zh-CN" w:bidi="ar-SA"/>
        </w:rPr>
      </w:pPr>
    </w:p>
    <w:p w14:paraId="4A78B2C7">
      <w:pPr>
        <w:pStyle w:val="60"/>
        <w:ind w:left="0" w:leftChars="0" w:firstLine="0" w:firstLineChars="0"/>
        <w:rPr>
          <w:rFonts w:hint="default" w:ascii="宋体" w:hAnsi="Times New Roman" w:eastAsia="宋体" w:cs="Times New Roman"/>
          <w:sz w:val="21"/>
          <w:highlight w:val="none"/>
          <w:lang w:val="en-US" w:eastAsia="zh-CN" w:bidi="ar-SA"/>
        </w:rPr>
      </w:pPr>
    </w:p>
    <w:p w14:paraId="541D38AB">
      <w:pPr>
        <w:pStyle w:val="60"/>
        <w:ind w:left="0" w:leftChars="0" w:firstLine="0" w:firstLineChars="0"/>
        <w:rPr>
          <w:rFonts w:hint="default" w:ascii="宋体" w:hAnsi="Times New Roman" w:eastAsia="宋体" w:cs="Times New Roman"/>
          <w:sz w:val="21"/>
          <w:highlight w:val="none"/>
          <w:lang w:val="en-US" w:eastAsia="zh-CN" w:bidi="ar-SA"/>
        </w:rPr>
      </w:pPr>
    </w:p>
    <w:p w14:paraId="6BD738D5">
      <w:pPr>
        <w:pStyle w:val="60"/>
        <w:ind w:left="0" w:leftChars="0" w:firstLine="0" w:firstLineChars="0"/>
        <w:rPr>
          <w:rFonts w:hint="default" w:ascii="宋体" w:hAnsi="Times New Roman" w:eastAsia="宋体" w:cs="Times New Roman"/>
          <w:sz w:val="21"/>
          <w:highlight w:val="none"/>
          <w:lang w:val="en-US" w:eastAsia="zh-CN" w:bidi="ar-SA"/>
        </w:rPr>
      </w:pPr>
    </w:p>
    <w:p w14:paraId="6A457260">
      <w:pPr>
        <w:pStyle w:val="60"/>
        <w:ind w:left="0" w:leftChars="0" w:firstLine="0" w:firstLineChars="0"/>
        <w:rPr>
          <w:rFonts w:hint="default" w:ascii="宋体" w:hAnsi="Times New Roman" w:eastAsia="宋体" w:cs="Times New Roman"/>
          <w:sz w:val="21"/>
          <w:highlight w:val="none"/>
          <w:lang w:val="en-US" w:eastAsia="zh-CN" w:bidi="ar-SA"/>
        </w:rPr>
      </w:pPr>
    </w:p>
    <w:p w14:paraId="5CA36D71">
      <w:pPr>
        <w:pStyle w:val="60"/>
        <w:ind w:left="0" w:leftChars="0" w:firstLine="0" w:firstLineChars="0"/>
        <w:rPr>
          <w:rFonts w:hint="default" w:ascii="宋体" w:hAnsi="Times New Roman" w:eastAsia="宋体" w:cs="Times New Roman"/>
          <w:sz w:val="21"/>
          <w:highlight w:val="none"/>
          <w:lang w:val="en-US" w:eastAsia="zh-CN" w:bidi="ar-SA"/>
        </w:rPr>
      </w:pPr>
    </w:p>
    <w:p w14:paraId="2F1261CC">
      <w:pPr>
        <w:pStyle w:val="60"/>
        <w:ind w:left="0" w:leftChars="0" w:firstLine="0" w:firstLineChars="0"/>
        <w:rPr>
          <w:rFonts w:hint="default" w:ascii="宋体" w:hAnsi="Times New Roman" w:eastAsia="宋体" w:cs="Times New Roman"/>
          <w:sz w:val="21"/>
          <w:highlight w:val="none"/>
          <w:lang w:val="en-US" w:eastAsia="zh-CN" w:bidi="ar-SA"/>
        </w:rPr>
      </w:pPr>
    </w:p>
    <w:p w14:paraId="579FD9D6">
      <w:pPr>
        <w:pStyle w:val="60"/>
        <w:ind w:left="0" w:leftChars="0" w:firstLine="0" w:firstLineChars="0"/>
        <w:rPr>
          <w:rFonts w:hint="default" w:ascii="宋体" w:hAnsi="Times New Roman" w:eastAsia="宋体" w:cs="Times New Roman"/>
          <w:sz w:val="21"/>
          <w:highlight w:val="none"/>
          <w:lang w:val="en-US" w:eastAsia="zh-CN" w:bidi="ar-SA"/>
        </w:rPr>
      </w:pPr>
    </w:p>
    <w:p w14:paraId="64A29448">
      <w:pPr>
        <w:pStyle w:val="60"/>
        <w:ind w:left="0" w:leftChars="0" w:firstLine="0" w:firstLineChars="0"/>
        <w:rPr>
          <w:rFonts w:hint="default" w:ascii="宋体" w:hAnsi="Times New Roman" w:eastAsia="宋体" w:cs="Times New Roman"/>
          <w:sz w:val="21"/>
          <w:highlight w:val="none"/>
          <w:lang w:val="en-US" w:eastAsia="zh-CN" w:bidi="ar-SA"/>
        </w:rPr>
      </w:pPr>
    </w:p>
    <w:p w14:paraId="376E0BEE">
      <w:pPr>
        <w:pStyle w:val="60"/>
        <w:ind w:firstLine="0" w:firstLineChars="0"/>
        <w:jc w:val="center"/>
      </w:pPr>
      <w:bookmarkStart w:id="124" w:name="BookMark8"/>
    </w:p>
    <w:p w14:paraId="28E3BD16">
      <w:pPr>
        <w:pStyle w:val="60"/>
        <w:ind w:firstLine="0" w:firstLineChars="0"/>
        <w:jc w:val="cente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24"/>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9504;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w:t>
      </w:r>
      <w:r>
        <w:rPr>
          <w:rFonts w:hint="eastAsia" w:ascii="黑体" w:eastAsia="黑体"/>
          <w:sz w:val="21"/>
          <w:szCs w:val="21"/>
          <w:lang w:eastAsia="zh-CN"/>
        </w:rPr>
        <w:t>轻量化凸轮轴结构设计规范</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bookmarkStart w:id="125" w:name="_GoBack"/>
      <w:bookmarkEnd w:id="125"/>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X</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X</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220" cy="601345"/>
            <wp:effectExtent l="0" t="0" r="17780" b="8255"/>
            <wp:wrapNone/>
            <wp:docPr id="16" name="图片 3" descr="D:/桌面文件/c94c59d5f104b1a1204d0c791bc384e1.pngc94c59d5f104b1a1204d0c791bc38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桌面文件/c94c59d5f104b1a1204d0c791bc384e1.pngc94c59d5f104b1a1204d0c791bc384e1"/>
                    <pic:cNvPicPr>
                      <a:picLocks noChangeAspect="1"/>
                    </pic:cNvPicPr>
                  </pic:nvPicPr>
                  <pic:blipFill>
                    <a:blip r:embed="rId26"/>
                    <a:srcRect t="8522" b="8522"/>
                    <a:stretch>
                      <a:fillRect/>
                    </a:stretch>
                  </pic:blipFill>
                  <pic:spPr>
                    <a:xfrm>
                      <a:off x="0" y="0"/>
                      <a:ext cx="2268220"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5D10">
    <w:pPr>
      <w:pStyle w:val="19"/>
      <w:jc w:val="right"/>
      <w:rPr>
        <w:rFonts w:hAnsi="黑体" w:cs="黑体"/>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3D8F">
    <w:pPr>
      <w:pStyle w:val="19"/>
      <w:jc w:val="left"/>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7">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AC77BEE"/>
    <w:multiLevelType w:val="multilevel"/>
    <w:tmpl w:val="6AC77BEE"/>
    <w:lvl w:ilvl="0" w:tentative="0">
      <w:start w:val="1"/>
      <w:numFmt w:val="decimal"/>
      <w:pStyle w:val="118"/>
      <w:suff w:val="nothing"/>
      <w:lvlText w:val="表%1　"/>
      <w:lvlJc w:val="left"/>
      <w:pPr>
        <w:tabs>
          <w:tab w:val="left" w:pos="0"/>
        </w:tabs>
        <w:ind w:left="0" w:firstLine="0"/>
      </w:pPr>
      <w:rPr>
        <w:rFonts w:hint="default"/>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8"/>
  </w:num>
  <w:num w:numId="5">
    <w:abstractNumId w:val="23"/>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4"/>
  </w:num>
  <w:num w:numId="16">
    <w:abstractNumId w:val="0"/>
  </w:num>
  <w:num w:numId="17">
    <w:abstractNumId w:val="31"/>
  </w:num>
  <w:num w:numId="18">
    <w:abstractNumId w:val="35"/>
  </w:num>
  <w:num w:numId="19">
    <w:abstractNumId w:val="21"/>
  </w:num>
  <w:num w:numId="20">
    <w:abstractNumId w:val="2"/>
  </w:num>
  <w:num w:numId="21">
    <w:abstractNumId w:val="15"/>
  </w:num>
  <w:num w:numId="22">
    <w:abstractNumId w:val="36"/>
  </w:num>
  <w:num w:numId="23">
    <w:abstractNumId w:val="26"/>
  </w:num>
  <w:num w:numId="24">
    <w:abstractNumId w:val="9"/>
  </w:num>
  <w:num w:numId="25">
    <w:abstractNumId w:val="33"/>
  </w:num>
  <w:num w:numId="26">
    <w:abstractNumId w:val="3"/>
  </w:num>
  <w:num w:numId="27">
    <w:abstractNumId w:val="7"/>
  </w:num>
  <w:num w:numId="28">
    <w:abstractNumId w:val="20"/>
  </w:num>
  <w:num w:numId="29">
    <w:abstractNumId w:val="30"/>
  </w:num>
  <w:num w:numId="30">
    <w:abstractNumId w:val="27"/>
  </w:num>
  <w:num w:numId="31">
    <w:abstractNumId w:val="25"/>
  </w:num>
  <w:num w:numId="32">
    <w:abstractNumId w:val="5"/>
  </w:num>
  <w:num w:numId="33">
    <w:abstractNumId w:val="6"/>
  </w:num>
  <w:num w:numId="34">
    <w:abstractNumId w:val="34"/>
  </w:num>
  <w:num w:numId="35">
    <w:abstractNumId w:val="13"/>
  </w:num>
  <w:num w:numId="36">
    <w:abstractNumId w:val="29"/>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06A3"/>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A76E81"/>
    <w:rsid w:val="02C31095"/>
    <w:rsid w:val="02DC3198"/>
    <w:rsid w:val="02F44E37"/>
    <w:rsid w:val="032C2C0D"/>
    <w:rsid w:val="03443777"/>
    <w:rsid w:val="0357767E"/>
    <w:rsid w:val="03946435"/>
    <w:rsid w:val="03C10461"/>
    <w:rsid w:val="03E2177F"/>
    <w:rsid w:val="03FD209E"/>
    <w:rsid w:val="045029FB"/>
    <w:rsid w:val="045448AA"/>
    <w:rsid w:val="045A77D7"/>
    <w:rsid w:val="046048F9"/>
    <w:rsid w:val="04AE18D1"/>
    <w:rsid w:val="04D05CEB"/>
    <w:rsid w:val="04DF0901"/>
    <w:rsid w:val="04F66143"/>
    <w:rsid w:val="04FE13F4"/>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13D56"/>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9D5934"/>
    <w:rsid w:val="08B84ACC"/>
    <w:rsid w:val="08F41D87"/>
    <w:rsid w:val="08F74A5F"/>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6B6D3C"/>
    <w:rsid w:val="0F7B6853"/>
    <w:rsid w:val="0F7C616D"/>
    <w:rsid w:val="0FB60BC5"/>
    <w:rsid w:val="0FC053D7"/>
    <w:rsid w:val="0FE200C5"/>
    <w:rsid w:val="0FED7751"/>
    <w:rsid w:val="106628A7"/>
    <w:rsid w:val="1066305F"/>
    <w:rsid w:val="10703EDE"/>
    <w:rsid w:val="109C2F25"/>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25C7A"/>
    <w:rsid w:val="162D54D7"/>
    <w:rsid w:val="163C6EA9"/>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51424"/>
    <w:rsid w:val="18F60753"/>
    <w:rsid w:val="19215E2D"/>
    <w:rsid w:val="192C3B89"/>
    <w:rsid w:val="19992F43"/>
    <w:rsid w:val="19CB486B"/>
    <w:rsid w:val="1A064859"/>
    <w:rsid w:val="1A0D279E"/>
    <w:rsid w:val="1A1104E0"/>
    <w:rsid w:val="1A2308F8"/>
    <w:rsid w:val="1A8268CC"/>
    <w:rsid w:val="1ABD41C4"/>
    <w:rsid w:val="1ADF42B2"/>
    <w:rsid w:val="1AEC0ACF"/>
    <w:rsid w:val="1B03673C"/>
    <w:rsid w:val="1B375D24"/>
    <w:rsid w:val="1B570174"/>
    <w:rsid w:val="1B7E2538"/>
    <w:rsid w:val="1B886580"/>
    <w:rsid w:val="1BBE4697"/>
    <w:rsid w:val="1BC42B10"/>
    <w:rsid w:val="1BE73A14"/>
    <w:rsid w:val="1BEA2D97"/>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E4055B"/>
    <w:rsid w:val="20EE1C1F"/>
    <w:rsid w:val="210B5C89"/>
    <w:rsid w:val="2110329F"/>
    <w:rsid w:val="2115671A"/>
    <w:rsid w:val="211B1C44"/>
    <w:rsid w:val="21470C8B"/>
    <w:rsid w:val="219A0DBB"/>
    <w:rsid w:val="21D30729"/>
    <w:rsid w:val="21ED21C6"/>
    <w:rsid w:val="22082616"/>
    <w:rsid w:val="220B7F0B"/>
    <w:rsid w:val="22116A3F"/>
    <w:rsid w:val="228644BC"/>
    <w:rsid w:val="22A4640E"/>
    <w:rsid w:val="22BA5BB9"/>
    <w:rsid w:val="22D57BA3"/>
    <w:rsid w:val="22D87DED"/>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C87134"/>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A0353"/>
    <w:rsid w:val="285C326E"/>
    <w:rsid w:val="28602E72"/>
    <w:rsid w:val="28874A54"/>
    <w:rsid w:val="2892582B"/>
    <w:rsid w:val="28B730AF"/>
    <w:rsid w:val="28C50E13"/>
    <w:rsid w:val="28D252DE"/>
    <w:rsid w:val="28E374EB"/>
    <w:rsid w:val="28F039B6"/>
    <w:rsid w:val="29291515"/>
    <w:rsid w:val="292A336C"/>
    <w:rsid w:val="294E1641"/>
    <w:rsid w:val="29522056"/>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80527A"/>
    <w:rsid w:val="2EE6563F"/>
    <w:rsid w:val="2F486004"/>
    <w:rsid w:val="2F9B7DD2"/>
    <w:rsid w:val="2FA33530"/>
    <w:rsid w:val="2FA86D99"/>
    <w:rsid w:val="2FB57729"/>
    <w:rsid w:val="2FC021F3"/>
    <w:rsid w:val="30040748"/>
    <w:rsid w:val="307D1FD3"/>
    <w:rsid w:val="30A31CD5"/>
    <w:rsid w:val="30D002D1"/>
    <w:rsid w:val="30DA1187"/>
    <w:rsid w:val="30E96AAE"/>
    <w:rsid w:val="31097764"/>
    <w:rsid w:val="310C0943"/>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545566"/>
    <w:rsid w:val="3357192F"/>
    <w:rsid w:val="339A4C4A"/>
    <w:rsid w:val="33B71CA0"/>
    <w:rsid w:val="342804A8"/>
    <w:rsid w:val="342D6CBE"/>
    <w:rsid w:val="34337175"/>
    <w:rsid w:val="347100A1"/>
    <w:rsid w:val="34AD36B8"/>
    <w:rsid w:val="34D128EE"/>
    <w:rsid w:val="34D4418C"/>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576AC"/>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0B0C1F"/>
    <w:rsid w:val="3E1E5270"/>
    <w:rsid w:val="3E2C6DE7"/>
    <w:rsid w:val="3E4427DC"/>
    <w:rsid w:val="3E522122"/>
    <w:rsid w:val="3E7F05B5"/>
    <w:rsid w:val="3E9A2F5F"/>
    <w:rsid w:val="3EB07FB9"/>
    <w:rsid w:val="3EB219E2"/>
    <w:rsid w:val="3EFC2464"/>
    <w:rsid w:val="3F0F1D39"/>
    <w:rsid w:val="3F23468E"/>
    <w:rsid w:val="3F6A6DDC"/>
    <w:rsid w:val="3F6B5BE8"/>
    <w:rsid w:val="3F787264"/>
    <w:rsid w:val="3F825CCD"/>
    <w:rsid w:val="3FFC1167"/>
    <w:rsid w:val="40487E84"/>
    <w:rsid w:val="404F74B5"/>
    <w:rsid w:val="40727100"/>
    <w:rsid w:val="40BB4ECE"/>
    <w:rsid w:val="40BF2194"/>
    <w:rsid w:val="40C35A83"/>
    <w:rsid w:val="40D95004"/>
    <w:rsid w:val="4111051C"/>
    <w:rsid w:val="412B15D8"/>
    <w:rsid w:val="41432DC5"/>
    <w:rsid w:val="41A76EB0"/>
    <w:rsid w:val="41C04359"/>
    <w:rsid w:val="41E9571B"/>
    <w:rsid w:val="423A41C8"/>
    <w:rsid w:val="42467274"/>
    <w:rsid w:val="42796B0B"/>
    <w:rsid w:val="428060AE"/>
    <w:rsid w:val="428E1E1E"/>
    <w:rsid w:val="429A2DFF"/>
    <w:rsid w:val="42AB2039"/>
    <w:rsid w:val="42D26925"/>
    <w:rsid w:val="42E83C24"/>
    <w:rsid w:val="42F54415"/>
    <w:rsid w:val="430D335C"/>
    <w:rsid w:val="430E7C3C"/>
    <w:rsid w:val="432D7889"/>
    <w:rsid w:val="432E715D"/>
    <w:rsid w:val="43495316"/>
    <w:rsid w:val="436239D7"/>
    <w:rsid w:val="43947908"/>
    <w:rsid w:val="439F3F66"/>
    <w:rsid w:val="43B72D8E"/>
    <w:rsid w:val="43C1733D"/>
    <w:rsid w:val="43FD36FF"/>
    <w:rsid w:val="44004F56"/>
    <w:rsid w:val="44461ED1"/>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CB23C1"/>
    <w:rsid w:val="46717A8D"/>
    <w:rsid w:val="467C6F4C"/>
    <w:rsid w:val="46DA7D28"/>
    <w:rsid w:val="46ED1809"/>
    <w:rsid w:val="46F36279"/>
    <w:rsid w:val="46F75CCC"/>
    <w:rsid w:val="46FC5E9B"/>
    <w:rsid w:val="471F1BDF"/>
    <w:rsid w:val="47604374"/>
    <w:rsid w:val="47633357"/>
    <w:rsid w:val="476D294A"/>
    <w:rsid w:val="47775577"/>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CF51F6"/>
    <w:rsid w:val="4A477482"/>
    <w:rsid w:val="4A640D3D"/>
    <w:rsid w:val="4AD60806"/>
    <w:rsid w:val="4B3938D2"/>
    <w:rsid w:val="4B7D0C82"/>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306E91"/>
    <w:rsid w:val="4D5C16A3"/>
    <w:rsid w:val="4D5E04AC"/>
    <w:rsid w:val="4D7A36CB"/>
    <w:rsid w:val="4DB210B7"/>
    <w:rsid w:val="4DF06083"/>
    <w:rsid w:val="4DF80A94"/>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0D7203"/>
    <w:rsid w:val="521606D0"/>
    <w:rsid w:val="522956BF"/>
    <w:rsid w:val="52630BD1"/>
    <w:rsid w:val="52BC29D7"/>
    <w:rsid w:val="52D01FDF"/>
    <w:rsid w:val="52DA7D38"/>
    <w:rsid w:val="52DC6BD6"/>
    <w:rsid w:val="52E9110F"/>
    <w:rsid w:val="531B4B18"/>
    <w:rsid w:val="531E0316"/>
    <w:rsid w:val="534E7B91"/>
    <w:rsid w:val="5362593B"/>
    <w:rsid w:val="53C2343A"/>
    <w:rsid w:val="53C5766A"/>
    <w:rsid w:val="53D1600F"/>
    <w:rsid w:val="53FC752F"/>
    <w:rsid w:val="54096145"/>
    <w:rsid w:val="543635BF"/>
    <w:rsid w:val="54417177"/>
    <w:rsid w:val="54752E3E"/>
    <w:rsid w:val="54905ECA"/>
    <w:rsid w:val="54B576DE"/>
    <w:rsid w:val="54BE4CA1"/>
    <w:rsid w:val="54D04518"/>
    <w:rsid w:val="54D86127"/>
    <w:rsid w:val="54DE2DE2"/>
    <w:rsid w:val="54FF4546"/>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AF3DFF"/>
    <w:rsid w:val="59C363FA"/>
    <w:rsid w:val="59E55871"/>
    <w:rsid w:val="5A320FCE"/>
    <w:rsid w:val="5A3966BC"/>
    <w:rsid w:val="5A407A4A"/>
    <w:rsid w:val="5A470DD9"/>
    <w:rsid w:val="5A851901"/>
    <w:rsid w:val="5AC62178"/>
    <w:rsid w:val="5AF034C2"/>
    <w:rsid w:val="5B545E5B"/>
    <w:rsid w:val="5BEF2C11"/>
    <w:rsid w:val="5BF3746A"/>
    <w:rsid w:val="5C0056E3"/>
    <w:rsid w:val="5C036F81"/>
    <w:rsid w:val="5C413DFD"/>
    <w:rsid w:val="5C4C2CA7"/>
    <w:rsid w:val="5C8207EE"/>
    <w:rsid w:val="5C826784"/>
    <w:rsid w:val="5C9D1184"/>
    <w:rsid w:val="5CA63FA9"/>
    <w:rsid w:val="5CB44D92"/>
    <w:rsid w:val="5CC93458"/>
    <w:rsid w:val="5CCC4F75"/>
    <w:rsid w:val="5CDD7CD2"/>
    <w:rsid w:val="5CED210B"/>
    <w:rsid w:val="5D2544BA"/>
    <w:rsid w:val="5D3A69D3"/>
    <w:rsid w:val="5D570FA6"/>
    <w:rsid w:val="5D5C6349"/>
    <w:rsid w:val="5D737874"/>
    <w:rsid w:val="5D8646F8"/>
    <w:rsid w:val="5D8660BC"/>
    <w:rsid w:val="5DB14783"/>
    <w:rsid w:val="5DCA244C"/>
    <w:rsid w:val="5E3D75FD"/>
    <w:rsid w:val="5E721B5C"/>
    <w:rsid w:val="5E776A60"/>
    <w:rsid w:val="5E802B0B"/>
    <w:rsid w:val="5E810A7B"/>
    <w:rsid w:val="5E892B2C"/>
    <w:rsid w:val="5EBA13FD"/>
    <w:rsid w:val="5EBB7FE7"/>
    <w:rsid w:val="5ECC2455"/>
    <w:rsid w:val="5F0A0E0B"/>
    <w:rsid w:val="5F2D67F5"/>
    <w:rsid w:val="5F4C0C3F"/>
    <w:rsid w:val="5F592AFE"/>
    <w:rsid w:val="5F600DA5"/>
    <w:rsid w:val="5F6B30AD"/>
    <w:rsid w:val="5FAF6FEE"/>
    <w:rsid w:val="5FBC7B73"/>
    <w:rsid w:val="5FD67D35"/>
    <w:rsid w:val="5FEA7F0B"/>
    <w:rsid w:val="60017C7C"/>
    <w:rsid w:val="600D3663"/>
    <w:rsid w:val="607E62CC"/>
    <w:rsid w:val="610E08A2"/>
    <w:rsid w:val="612B13A1"/>
    <w:rsid w:val="61A92379"/>
    <w:rsid w:val="61E51C5E"/>
    <w:rsid w:val="61F27457"/>
    <w:rsid w:val="61F524AB"/>
    <w:rsid w:val="61FF7C84"/>
    <w:rsid w:val="620530E0"/>
    <w:rsid w:val="62145A44"/>
    <w:rsid w:val="62262BE0"/>
    <w:rsid w:val="626678E2"/>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2A37D1"/>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2C3FBB"/>
    <w:rsid w:val="693448A9"/>
    <w:rsid w:val="696848C8"/>
    <w:rsid w:val="69824627"/>
    <w:rsid w:val="69892779"/>
    <w:rsid w:val="69BA52E5"/>
    <w:rsid w:val="6A1C4030"/>
    <w:rsid w:val="6A260A0B"/>
    <w:rsid w:val="6A5E5EC5"/>
    <w:rsid w:val="6A75102E"/>
    <w:rsid w:val="6ACD6BE6"/>
    <w:rsid w:val="6B075151"/>
    <w:rsid w:val="6B15282D"/>
    <w:rsid w:val="6B5B6548"/>
    <w:rsid w:val="6B6F018F"/>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C07997"/>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E55C1E"/>
    <w:rsid w:val="76B90225"/>
    <w:rsid w:val="76C5092E"/>
    <w:rsid w:val="76FE5951"/>
    <w:rsid w:val="771066E9"/>
    <w:rsid w:val="77117357"/>
    <w:rsid w:val="778B1457"/>
    <w:rsid w:val="77AA6FDD"/>
    <w:rsid w:val="77DC18CC"/>
    <w:rsid w:val="780116F5"/>
    <w:rsid w:val="780E1917"/>
    <w:rsid w:val="785015CD"/>
    <w:rsid w:val="78576328"/>
    <w:rsid w:val="786077DD"/>
    <w:rsid w:val="786A534C"/>
    <w:rsid w:val="787E7BA9"/>
    <w:rsid w:val="78886D34"/>
    <w:rsid w:val="789C002C"/>
    <w:rsid w:val="78C37D6C"/>
    <w:rsid w:val="78D85FB2"/>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B2FE7"/>
    <w:rsid w:val="7ABC4A73"/>
    <w:rsid w:val="7AC026A2"/>
    <w:rsid w:val="7AD305E1"/>
    <w:rsid w:val="7B191EC6"/>
    <w:rsid w:val="7B24244C"/>
    <w:rsid w:val="7BA75723"/>
    <w:rsid w:val="7BA94FF8"/>
    <w:rsid w:val="7BD02097"/>
    <w:rsid w:val="7BD91124"/>
    <w:rsid w:val="7C167B78"/>
    <w:rsid w:val="7C1953BA"/>
    <w:rsid w:val="7C1B4DE3"/>
    <w:rsid w:val="7C3B2C04"/>
    <w:rsid w:val="7C6151AF"/>
    <w:rsid w:val="7C6554D5"/>
    <w:rsid w:val="7C740168"/>
    <w:rsid w:val="7C765821"/>
    <w:rsid w:val="7C835849"/>
    <w:rsid w:val="7CBB76D8"/>
    <w:rsid w:val="7CCB17CA"/>
    <w:rsid w:val="7CE309DD"/>
    <w:rsid w:val="7D0B6E9E"/>
    <w:rsid w:val="7D1110A6"/>
    <w:rsid w:val="7D63227A"/>
    <w:rsid w:val="7D78205E"/>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CF3FA0"/>
    <w:rsid w:val="7ECF6CCC"/>
    <w:rsid w:val="7EEC102B"/>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13</Pages>
  <Words>3796</Words>
  <Characters>4474</Characters>
  <Lines>28</Lines>
  <Paragraphs>8</Paragraphs>
  <TotalTime>21</TotalTime>
  <ScaleCrop>false</ScaleCrop>
  <LinksUpToDate>false</LinksUpToDate>
  <CharactersWithSpaces>4632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工作组</cp:lastModifiedBy>
  <cp:lastPrinted>2023-10-19T05:03:00Z</cp:lastPrinted>
  <dcterms:modified xsi:type="dcterms:W3CDTF">2026-08-05T08:45:57Z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FB56CCCE009648DC9DA236D3EE3A6337_13</vt:lpwstr>
  </property>
  <property fmtid="{D5CDD505-2E9C-101B-9397-08002B2CF9AE}" pid="16" name="KSOTemplateDocerSaveRecord">
    <vt:lpwstr>eyJoZGlkIjoiZjg4ZGUzMmU5ZDk0M2FjMzAzOTBhZmQxMjNkNTk0NTYiLCJ1c2VySWQiOiI0MDgwOTI1NzcifQ==</vt:lpwstr>
  </property>
</Properties>
</file>