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B0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14:paraId="39F424AF">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1B9036AD">
            <w:pPr>
              <w:pStyle w:val="19"/>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43.060.1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43.060.10</w:t>
            </w:r>
            <w:r>
              <w:rPr>
                <w:rFonts w:hint="eastAsia" w:ascii="黑体" w:hAnsi="黑体" w:eastAsia="黑体" w:cs="Times New Roman"/>
                <w:kern w:val="2"/>
                <w:sz w:val="21"/>
                <w:szCs w:val="21"/>
                <w:lang w:val="en-US" w:eastAsia="zh-CN" w:bidi="ar-SA"/>
              </w:rPr>
              <w:fldChar w:fldCharType="end"/>
            </w:r>
            <w:bookmarkEnd w:id="1"/>
          </w:p>
        </w:tc>
      </w:tr>
      <w:tr w14:paraId="1661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6EB9E44">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80AAFD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537ADDD">
                  <w:pPr>
                    <w:pStyle w:val="53"/>
                    <w:framePr w:wrap="notBeside" w:vAnchor="page" w:hAnchor="page" w:x="1372" w:y="568"/>
                    <w:ind w:left="420" w:right="624"/>
                    <w:rPr>
                      <w:rFonts w:ascii="宋体" w:hAnsi="宋体"/>
                      <w:sz w:val="28"/>
                      <w:szCs w:val="28"/>
                    </w:rPr>
                  </w:pPr>
                  <w:r>
                    <w:rPr>
                      <w:rFonts w:hint="eastAsia"/>
                    </w:rPr>
                    <w:t>T/</w:t>
                  </w:r>
                  <w:bookmarkStart w:id="2" w:name="c1"/>
                  <w:r>
                    <w:rPr>
                      <w:rFonts w:hint="eastAsia" w:ascii="Times New Roman" w:hAnsi="Times New Roman" w:eastAsia="宋体" w:cs="Times New Roman"/>
                      <w:b/>
                      <w:w w:val="130"/>
                      <w:sz w:val="96"/>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lang w:val="en-US" w:eastAsia="zh-CN" w:bidi="ar-SA"/>
                    </w:rPr>
                    <w:instrText xml:space="preserve">FORMTEXT</w:instrText>
                  </w:r>
                  <w:r>
                    <w:rPr>
                      <w:rFonts w:hint="eastAsia" w:ascii="Times New Roman" w:hAnsi="Times New Roman" w:eastAsia="宋体" w:cs="Times New Roman"/>
                      <w:b/>
                      <w:w w:val="130"/>
                      <w:sz w:val="96"/>
                      <w:lang w:val="en-US" w:eastAsia="zh-CN" w:bidi="ar-SA"/>
                    </w:rPr>
                    <w:fldChar w:fldCharType="separate"/>
                  </w:r>
                  <w:r>
                    <w:rPr>
                      <w:rFonts w:hint="eastAsia" w:ascii="Times New Roman" w:hAnsi="Times New Roman" w:eastAsia="宋体" w:cs="Times New Roman"/>
                      <w:b/>
                      <w:w w:val="130"/>
                      <w:sz w:val="96"/>
                      <w:lang w:val="en-US" w:eastAsia="zh-CN" w:bidi="ar-SA"/>
                    </w:rPr>
                    <w:t>CWDPA</w:t>
                  </w:r>
                  <w:r>
                    <w:rPr>
                      <w:rFonts w:hint="eastAsia" w:ascii="Times New Roman" w:hAnsi="Times New Roman" w:eastAsia="宋体" w:cs="Times New Roman"/>
                      <w:b/>
                      <w:w w:val="130"/>
                      <w:sz w:val="96"/>
                      <w:lang w:val="en-US" w:eastAsia="zh-CN" w:bidi="ar-SA"/>
                    </w:rPr>
                    <w:fldChar w:fldCharType="end"/>
                  </w:r>
                  <w:bookmarkEnd w:id="2"/>
                </w:p>
              </w:tc>
            </w:tr>
          </w:tbl>
          <w:p w14:paraId="66F2D30D">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3"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T 11"/>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T 11</w:t>
            </w:r>
            <w:r>
              <w:rPr>
                <w:rFonts w:hint="eastAsia" w:ascii="黑体" w:hAnsi="黑体" w:eastAsia="黑体" w:cs="Times New Roman"/>
                <w:kern w:val="2"/>
                <w:sz w:val="21"/>
                <w:szCs w:val="21"/>
                <w:lang w:val="en-US" w:eastAsia="zh-CN" w:bidi="ar-SA"/>
              </w:rPr>
              <w:fldChar w:fldCharType="end"/>
            </w:r>
            <w:bookmarkEnd w:id="3"/>
          </w:p>
        </w:tc>
      </w:tr>
    </w:tbl>
    <w:p w14:paraId="261B2E54">
      <w:pPr>
        <w:pStyle w:val="54"/>
        <w:framePr w:w="9639" w:h="624" w:hRule="exact" w:hSpace="181" w:vSpace="181" w:wrap="around" w:hAnchor="page" w:x="1305" w:y="2269"/>
        <w:rPr>
          <w:rFonts w:ascii="黑体" w:hAnsi="黑体" w:eastAsia="黑体"/>
          <w:b w:val="0"/>
          <w:bCs w:val="0"/>
          <w:w w:val="100"/>
          <w:sz w:val="48"/>
          <w:szCs w:val="48"/>
        </w:rPr>
      </w:pPr>
      <w:bookmarkStart w:id="4"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4"/>
    <w:p w14:paraId="267E9256">
      <w:pPr>
        <w:pStyle w:val="199"/>
        <w:framePr w:wrap="around"/>
      </w:pPr>
      <w:r>
        <w:t>T/</w:t>
      </w:r>
      <w:bookmarkStart w:id="5" w:name="文字1"/>
      <w:r>
        <w:rPr>
          <w:rFonts w:ascii="黑体" w:hAnsi="Times New Roman" w:eastAsia="黑体" w:cs="Times New Roman"/>
          <w:bCs/>
          <w:sz w:val="28"/>
          <w:szCs w:val="28"/>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CWDPA</w:t>
      </w:r>
      <w:r>
        <w:rPr>
          <w:rFonts w:ascii="黑体" w:hAnsi="Times New Roman" w:eastAsia="黑体" w:cs="Times New Roman"/>
          <w:bCs/>
          <w:sz w:val="28"/>
          <w:szCs w:val="28"/>
          <w:lang w:val="en-US" w:eastAsia="zh-CN" w:bidi="ar-SA"/>
        </w:rPr>
        <w:fldChar w:fldCharType="end"/>
      </w:r>
      <w:bookmarkEnd w:id="5"/>
      <w:r>
        <w:rPr>
          <w:rFonts w:hint="eastAsia"/>
        </w:rPr>
        <w:t xml:space="preserve"> </w:t>
      </w:r>
      <w:bookmarkStart w:id="6" w:name="NSTD_CODE_F"/>
      <w:r>
        <w:rPr>
          <w:rFonts w:hint="eastAsia" w:ascii="黑体" w:hAnsi="Times New Roman" w:eastAsia="黑体" w:cs="Times New Roman"/>
          <w:bCs/>
          <w:sz w:val="28"/>
          <w:szCs w:val="28"/>
          <w:lang w:val="en-US" w:eastAsia="zh-CN" w:bidi="ar-SA"/>
        </w:rPr>
        <w:fldChar w:fldCharType="begin">
          <w:ffData>
            <w:name w:val="NSTD_CODE_F"/>
            <w:enabled/>
            <w:calcOnExit w:val="0"/>
            <w:textInput>
              <w:default w:val="XXX"/>
            </w:textInput>
          </w:ffData>
        </w:fldChar>
      </w:r>
      <w:r>
        <w:rPr>
          <w:rFonts w:hint="eastAsia" w:ascii="黑体" w:hAnsi="Times New Roman" w:eastAsia="黑体" w:cs="Times New Roman"/>
          <w:bCs/>
          <w:sz w:val="28"/>
          <w:szCs w:val="28"/>
          <w:lang w:val="en-US" w:eastAsia="zh-CN" w:bidi="ar-SA"/>
        </w:rPr>
        <w:instrText xml:space="preserve">FORMTEXT</w:instrText>
      </w:r>
      <w:r>
        <w:rPr>
          <w:rFonts w:hint="eastAsia" w:ascii="黑体" w:hAnsi="Times New Roman" w:eastAsia="黑体" w:cs="Times New Roman"/>
          <w:bCs/>
          <w:sz w:val="28"/>
          <w:szCs w:val="28"/>
          <w:lang w:val="en-US" w:eastAsia="zh-CN" w:bidi="ar-SA"/>
        </w:rPr>
        <w:fldChar w:fldCharType="separate"/>
      </w:r>
      <w:r>
        <w:rPr>
          <w:rFonts w:hint="eastAsia" w:ascii="黑体" w:hAnsi="Times New Roman" w:eastAsia="黑体" w:cs="Times New Roman"/>
          <w:bCs/>
          <w:sz w:val="28"/>
          <w:szCs w:val="28"/>
          <w:lang w:val="en-US" w:eastAsia="zh-CN" w:bidi="ar-SA"/>
        </w:rPr>
        <w:t>XXX</w:t>
      </w:r>
      <w:r>
        <w:rPr>
          <w:rFonts w:hint="eastAsia" w:ascii="黑体" w:hAnsi="Times New Roman" w:eastAsia="黑体" w:cs="Times New Roman"/>
          <w:bCs/>
          <w:sz w:val="28"/>
          <w:szCs w:val="28"/>
          <w:lang w:val="en-US" w:eastAsia="zh-CN" w:bidi="ar-SA"/>
        </w:rPr>
        <w:fldChar w:fldCharType="end"/>
      </w:r>
      <w:bookmarkEnd w:id="6"/>
      <w:r>
        <w:rPr>
          <w:rFonts w:hAnsi="黑体"/>
        </w:rPr>
        <w:t>—</w:t>
      </w:r>
      <w:bookmarkStart w:id="7"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7"/>
    </w:p>
    <w:p w14:paraId="6979B3A8">
      <w:pPr>
        <w:pStyle w:val="200"/>
        <w:framePr w:wrap="around"/>
        <w:rPr>
          <w:rFonts w:hAnsi="黑体"/>
        </w:rPr>
      </w:pPr>
    </w:p>
    <w:p w14:paraId="4B245F40">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3A8650C">
      <w:pPr>
        <w:pStyle w:val="54"/>
        <w:framePr w:w="9639" w:h="6976" w:hRule="exact" w:hSpace="0" w:vSpace="0" w:wrap="around" w:hAnchor="page" w:y="6408"/>
        <w:jc w:val="center"/>
        <w:rPr>
          <w:rFonts w:ascii="黑体" w:hAnsi="黑体" w:eastAsia="黑体"/>
          <w:b w:val="0"/>
          <w:bCs w:val="0"/>
          <w:w w:val="100"/>
        </w:rPr>
      </w:pPr>
    </w:p>
    <w:p w14:paraId="29341E66">
      <w:pPr>
        <w:pStyle w:val="201"/>
        <w:framePr w:h="6974" w:hRule="exact" w:wrap="around" w:x="1419" w:anchorLock="1"/>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汽车可变气门正时系统用粉末冶金VVT限位块及转子总成技术规范"/>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汽车可变气门正时系统用粉末冶金VVT限位块及转子总成技术规范</w:t>
      </w:r>
      <w:r>
        <w:rPr>
          <w:rFonts w:hint="eastAsia" w:ascii="黑体" w:hAnsi="黑体" w:eastAsia="黑体" w:cs="Times New Roman"/>
          <w:bCs/>
          <w:sz w:val="52"/>
          <w:lang w:val="en-US" w:eastAsia="zh-CN" w:bidi="ar-SA"/>
        </w:rPr>
        <w:fldChar w:fldCharType="end"/>
      </w:r>
      <w:bookmarkEnd w:id="8"/>
    </w:p>
    <w:p w14:paraId="17187E7D">
      <w:pPr>
        <w:framePr w:w="9639" w:h="6974" w:hRule="exact" w:wrap="around" w:vAnchor="page" w:hAnchor="page" w:x="1419" w:y="6408" w:anchorLock="1"/>
        <w:ind w:left="-1418"/>
      </w:pPr>
    </w:p>
    <w:p w14:paraId="453C1EDF">
      <w:pPr>
        <w:pStyle w:val="129"/>
        <w:framePr w:w="9639" w:h="6974" w:hRule="exact" w:wrap="around" w:vAnchor="page" w:hAnchor="page" w:x="1419" w:y="6408" w:anchorLock="1"/>
        <w:textAlignment w:val="bottom"/>
        <w:rPr>
          <w:rFonts w:eastAsia="黑体"/>
          <w:szCs w:val="28"/>
        </w:rPr>
      </w:pPr>
      <w:bookmarkStart w:id="9"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Technical specification for powder metallurgy VVT limit block and rotor assembly for automotive variable valve timing system"/>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Technical specification for powder metallurgy VVT limit block and rotor assembly for automotive variable valve timing system</w:t>
      </w:r>
      <w:r>
        <w:rPr>
          <w:rFonts w:hint="eastAsia" w:ascii="Times New Roman" w:hAnsi="Times New Roman" w:eastAsia="黑体" w:cs="Times New Roman"/>
          <w:sz w:val="28"/>
          <w:szCs w:val="28"/>
          <w:lang w:val="en-US" w:eastAsia="zh-CN" w:bidi="ar-SA"/>
        </w:rPr>
        <w:fldChar w:fldCharType="end"/>
      </w:r>
      <w:bookmarkEnd w:id="9"/>
    </w:p>
    <w:p w14:paraId="6FFBEBC3">
      <w:pPr>
        <w:framePr w:w="9639" w:h="6974" w:hRule="exact" w:wrap="around" w:vAnchor="page" w:hAnchor="page" w:x="1419" w:y="6408" w:anchorLock="1"/>
        <w:spacing w:line="760" w:lineRule="exact"/>
        <w:ind w:left="-1418"/>
      </w:pPr>
    </w:p>
    <w:p w14:paraId="3806F345">
      <w:pPr>
        <w:pStyle w:val="129"/>
        <w:framePr w:w="9639" w:h="6974" w:hRule="exact" w:wrap="around" w:vAnchor="page" w:hAnchor="page" w:x="1419" w:y="6408" w:anchorLock="1"/>
        <w:textAlignment w:val="bottom"/>
        <w:rPr>
          <w:rFonts w:eastAsia="黑体"/>
          <w:szCs w:val="28"/>
        </w:rPr>
      </w:pPr>
    </w:p>
    <w:p w14:paraId="07ADEB26">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45BED3F1">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003405A8">
      <w:pPr>
        <w:pStyle w:val="197"/>
        <w:framePr w:wrap="around" w:y="14176"/>
      </w:pPr>
      <w:bookmarkStart w:id="12"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2"/>
      <w:r>
        <w:rPr>
          <w:rFonts w:ascii="黑体"/>
        </w:rPr>
        <w:t>-</w:t>
      </w:r>
      <w:bookmarkStart w:id="13" w:name="PLSH_DATE_M"/>
      <w:r>
        <w:rPr>
          <w:rFonts w:ascii="黑体" w:hAnsi="Times New Roman" w:eastAsia="黑体" w:cs="Times New Roman"/>
          <w:sz w:val="28"/>
          <w:lang w:val="en-US" w:eastAsia="zh-CN" w:bidi="ar-SA"/>
        </w:rPr>
        <w:fldChar w:fldCharType="begin">
          <w:ffData>
            <w:name w:val="PLSH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3"/>
      <w:r>
        <w:rPr>
          <w:rFonts w:ascii="黑体"/>
        </w:rPr>
        <w:t>-</w:t>
      </w:r>
      <w:bookmarkStart w:id="14" w:name="PLSH_DATE_D"/>
      <w:r>
        <w:rPr>
          <w:rFonts w:ascii="黑体" w:hAnsi="Times New Roman" w:eastAsia="黑体" w:cs="Times New Roman"/>
          <w:sz w:val="28"/>
          <w:lang w:val="en-US" w:eastAsia="zh-CN" w:bidi="ar-SA"/>
        </w:rPr>
        <w:fldChar w:fldCharType="begin">
          <w:ffData>
            <w:name w:val="PLSH_DATE_D"/>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4"/>
      <w:r>
        <w:rPr>
          <w:rFonts w:hint="eastAsia"/>
        </w:rPr>
        <w:t>发布</w:t>
      </w:r>
    </w:p>
    <w:p w14:paraId="303CA46D">
      <w:pPr>
        <w:pStyle w:val="198"/>
        <w:framePr w:wrap="around" w:y="14176"/>
      </w:pPr>
      <w:bookmarkStart w:id="15"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5"/>
      <w:r>
        <w:rPr>
          <w:rFonts w:ascii="黑体"/>
        </w:rPr>
        <w:t>-</w:t>
      </w:r>
      <w:bookmarkStart w:id="16" w:name="CROT_DATE_M"/>
      <w:r>
        <w:rPr>
          <w:rFonts w:ascii="黑体" w:hAnsi="Times New Roman" w:eastAsia="黑体" w:cs="Times New Roman"/>
          <w:sz w:val="28"/>
          <w:lang w:val="en-US" w:eastAsia="zh-CN" w:bidi="ar-SA"/>
        </w:rPr>
        <w:fldChar w:fldCharType="begin">
          <w:ffData>
            <w:name w:val="CROT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6"/>
      <w:r>
        <w:rPr>
          <w:rFonts w:ascii="黑体"/>
        </w:rPr>
        <w:t>-</w:t>
      </w:r>
      <w:bookmarkStart w:id="17" w:name="CROT_DATE_D"/>
      <w:r>
        <w:rPr>
          <w:rFonts w:ascii="黑体" w:hAnsi="Times New Roman" w:eastAsia="黑体" w:cs="Times New Roman"/>
          <w:sz w:val="28"/>
          <w:lang w:val="en-US" w:eastAsia="zh-CN" w:bidi="ar-SA"/>
        </w:rPr>
        <w:fldChar w:fldCharType="begin">
          <w:ffData>
            <w:name w:val="CROT_DATE_D"/>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7"/>
      <w:r>
        <w:rPr>
          <w:rFonts w:hint="eastAsia"/>
        </w:rPr>
        <w:t>实施</w:t>
      </w:r>
    </w:p>
    <w:p w14:paraId="3F57129E">
      <w:pPr>
        <w:pStyle w:val="155"/>
        <w:framePr w:h="584" w:hRule="exact" w:hSpace="181" w:vSpace="181" w:wrap="around" w:vAnchor="page" w:y="14727"/>
        <w:rPr>
          <w:rFonts w:hAnsi="黑体"/>
        </w:rPr>
      </w:pPr>
      <w:bookmarkStart w:id="18" w:name="fm"/>
      <w:r>
        <w:rPr>
          <w:rFonts w:ascii="黑体" w:hAnsi="黑体" w:eastAsia="黑体" w:cs="Times New Roman"/>
          <w:b w:val="0"/>
          <w:w w:val="100"/>
          <w:sz w:val="28"/>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中国西部开发促进会</w:t>
      </w:r>
      <w:r>
        <w:rPr>
          <w:rFonts w:ascii="黑体" w:hAnsi="黑体" w:eastAsia="黑体" w:cs="Times New Roman"/>
          <w:b w:val="0"/>
          <w:w w:val="100"/>
          <w:sz w:val="28"/>
          <w:lang w:val="en-US" w:eastAsia="zh-CN" w:bidi="ar-SA"/>
        </w:rPr>
        <w:fldChar w:fldCharType="end"/>
      </w:r>
      <w:bookmarkEnd w:id="18"/>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0CA260E6">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AB41B15">
      <w:pPr>
        <w:pStyle w:val="95"/>
        <w:spacing w:before="850" w:after="680" w:afterLines="0"/>
        <w:rPr>
          <w:rFonts w:hint="eastAsia"/>
          <w:spacing w:val="320"/>
        </w:rPr>
      </w:pPr>
      <w:bookmarkStart w:id="19" w:name="BookMark1"/>
      <w:bookmarkStart w:id="20" w:name="_Toc148612844"/>
      <w:bookmarkStart w:id="21" w:name="_Toc150158739"/>
      <w:bookmarkStart w:id="22" w:name="_Toc150158766"/>
      <w:r>
        <w:rPr>
          <w:rFonts w:hint="eastAsia"/>
          <w:spacing w:val="320"/>
        </w:rPr>
        <w:t>目次</w:t>
      </w:r>
    </w:p>
    <w:p w14:paraId="1330F377">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_Toc12095 </w:instrText>
      </w:r>
      <w:r>
        <w:fldChar w:fldCharType="separate"/>
      </w:r>
      <w:r>
        <w:rPr>
          <w:rFonts w:hint="eastAsia"/>
          <w:spacing w:val="320"/>
        </w:rPr>
        <w:t>前言</w:t>
      </w:r>
      <w:r>
        <w:tab/>
      </w:r>
      <w:r>
        <w:fldChar w:fldCharType="begin"/>
      </w:r>
      <w:r>
        <w:instrText xml:space="preserve"> PAGEREF _Toc12095 \h </w:instrText>
      </w:r>
      <w:r>
        <w:fldChar w:fldCharType="separate"/>
      </w:r>
      <w:r>
        <w:t>III</w:t>
      </w:r>
      <w:r>
        <w:fldChar w:fldCharType="end"/>
      </w:r>
      <w:r>
        <w:fldChar w:fldCharType="end"/>
      </w:r>
    </w:p>
    <w:p w14:paraId="6AA422AE">
      <w:pPr>
        <w:pStyle w:val="20"/>
        <w:tabs>
          <w:tab w:val="right" w:leader="dot" w:pos="9355"/>
        </w:tabs>
      </w:pPr>
      <w:r>
        <w:fldChar w:fldCharType="begin"/>
      </w:r>
      <w:r>
        <w:instrText xml:space="preserve"> HYPERLINK \l _Toc2500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_Toc2500 \h </w:instrText>
      </w:r>
      <w:r>
        <w:fldChar w:fldCharType="separate"/>
      </w:r>
      <w:r>
        <w:t>1</w:t>
      </w:r>
      <w:r>
        <w:fldChar w:fldCharType="end"/>
      </w:r>
      <w:r>
        <w:fldChar w:fldCharType="end"/>
      </w:r>
    </w:p>
    <w:p w14:paraId="78E2F007">
      <w:pPr>
        <w:pStyle w:val="20"/>
        <w:tabs>
          <w:tab w:val="right" w:leader="dot" w:pos="9355"/>
        </w:tabs>
      </w:pPr>
      <w:r>
        <w:fldChar w:fldCharType="begin"/>
      </w:r>
      <w:r>
        <w:instrText xml:space="preserve"> HYPERLINK \l _Toc17768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_Toc17768 \h </w:instrText>
      </w:r>
      <w:r>
        <w:fldChar w:fldCharType="separate"/>
      </w:r>
      <w:r>
        <w:t>1</w:t>
      </w:r>
      <w:r>
        <w:fldChar w:fldCharType="end"/>
      </w:r>
      <w:r>
        <w:fldChar w:fldCharType="end"/>
      </w:r>
    </w:p>
    <w:p w14:paraId="3622F0CB">
      <w:pPr>
        <w:pStyle w:val="20"/>
        <w:tabs>
          <w:tab w:val="right" w:leader="dot" w:pos="9355"/>
        </w:tabs>
      </w:pPr>
      <w:r>
        <w:fldChar w:fldCharType="begin"/>
      </w:r>
      <w:r>
        <w:instrText xml:space="preserve"> HYPERLINK \l _Toc12887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_Toc12887 \h </w:instrText>
      </w:r>
      <w:r>
        <w:fldChar w:fldCharType="separate"/>
      </w:r>
      <w:r>
        <w:t>1</w:t>
      </w:r>
      <w:r>
        <w:fldChar w:fldCharType="end"/>
      </w:r>
      <w:r>
        <w:fldChar w:fldCharType="end"/>
      </w:r>
    </w:p>
    <w:p w14:paraId="6828DE9E">
      <w:pPr>
        <w:pStyle w:val="20"/>
        <w:tabs>
          <w:tab w:val="right" w:leader="dot" w:pos="9355"/>
        </w:tabs>
      </w:pPr>
      <w:r>
        <w:fldChar w:fldCharType="begin"/>
      </w:r>
      <w:r>
        <w:instrText xml:space="preserve"> HYPERLINK \l _Toc10884 </w:instrText>
      </w:r>
      <w:r>
        <w:fldChar w:fldCharType="separate"/>
      </w:r>
      <w:r>
        <w:rPr>
          <w:rFonts w:hint="eastAsia" w:ascii="黑体" w:eastAsia="黑体"/>
          <w:i w:val="0"/>
          <w:lang w:val="en-US" w:eastAsia="zh-CN"/>
        </w:rPr>
        <w:t xml:space="preserve">4 </w:t>
      </w:r>
      <w:r>
        <w:rPr>
          <w:rFonts w:hint="eastAsia"/>
          <w:lang w:val="en-US" w:eastAsia="zh-CN"/>
        </w:rPr>
        <w:t>产品分类</w:t>
      </w:r>
      <w:r>
        <w:tab/>
      </w:r>
      <w:r>
        <w:fldChar w:fldCharType="begin"/>
      </w:r>
      <w:r>
        <w:instrText xml:space="preserve"> PAGEREF _Toc10884 \h </w:instrText>
      </w:r>
      <w:r>
        <w:fldChar w:fldCharType="separate"/>
      </w:r>
      <w:r>
        <w:t>2</w:t>
      </w:r>
      <w:r>
        <w:fldChar w:fldCharType="end"/>
      </w:r>
      <w:r>
        <w:fldChar w:fldCharType="end"/>
      </w:r>
    </w:p>
    <w:p w14:paraId="68FD4F6C">
      <w:pPr>
        <w:pStyle w:val="25"/>
        <w:tabs>
          <w:tab w:val="right" w:leader="dot" w:pos="9355"/>
          <w:tab w:val="clear" w:pos="9344"/>
        </w:tabs>
      </w:pPr>
      <w:r>
        <w:fldChar w:fldCharType="begin"/>
      </w:r>
      <w:r>
        <w:instrText xml:space="preserve"> HYPERLINK \l _Toc3319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4.1 </w:t>
      </w:r>
      <w:r>
        <w:rPr>
          <w:rFonts w:hint="eastAsia"/>
          <w:strike w:val="0"/>
          <w:dstrike w:val="0"/>
          <w:highlight w:val="none"/>
          <w:lang w:val="en-US" w:eastAsia="zh-CN"/>
        </w:rPr>
        <w:t>按结构型式分类</w:t>
      </w:r>
      <w:r>
        <w:tab/>
      </w:r>
      <w:r>
        <w:fldChar w:fldCharType="begin"/>
      </w:r>
      <w:r>
        <w:instrText xml:space="preserve"> PAGEREF _Toc3319 \h </w:instrText>
      </w:r>
      <w:r>
        <w:fldChar w:fldCharType="separate"/>
      </w:r>
      <w:r>
        <w:t>2</w:t>
      </w:r>
      <w:r>
        <w:fldChar w:fldCharType="end"/>
      </w:r>
      <w:r>
        <w:fldChar w:fldCharType="end"/>
      </w:r>
    </w:p>
    <w:p w14:paraId="12B173E6">
      <w:pPr>
        <w:pStyle w:val="25"/>
        <w:tabs>
          <w:tab w:val="right" w:leader="dot" w:pos="9355"/>
          <w:tab w:val="clear" w:pos="9344"/>
        </w:tabs>
      </w:pPr>
      <w:r>
        <w:fldChar w:fldCharType="begin"/>
      </w:r>
      <w:r>
        <w:instrText xml:space="preserve"> HYPERLINK \l _Toc15782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4.2 </w:t>
      </w:r>
      <w:r>
        <w:rPr>
          <w:rFonts w:hint="eastAsia"/>
          <w:strike w:val="0"/>
          <w:dstrike w:val="0"/>
          <w:highlight w:val="none"/>
          <w:lang w:val="en-US" w:eastAsia="zh-CN"/>
        </w:rPr>
        <w:t>按转子叶片数分类</w:t>
      </w:r>
      <w:r>
        <w:tab/>
      </w:r>
      <w:r>
        <w:fldChar w:fldCharType="begin"/>
      </w:r>
      <w:r>
        <w:instrText xml:space="preserve"> PAGEREF _Toc15782 \h </w:instrText>
      </w:r>
      <w:r>
        <w:fldChar w:fldCharType="separate"/>
      </w:r>
      <w:r>
        <w:t>2</w:t>
      </w:r>
      <w:r>
        <w:fldChar w:fldCharType="end"/>
      </w:r>
      <w:r>
        <w:fldChar w:fldCharType="end"/>
      </w:r>
    </w:p>
    <w:p w14:paraId="6782497A">
      <w:pPr>
        <w:pStyle w:val="25"/>
        <w:tabs>
          <w:tab w:val="right" w:leader="dot" w:pos="9355"/>
          <w:tab w:val="clear" w:pos="9344"/>
        </w:tabs>
      </w:pPr>
      <w:r>
        <w:fldChar w:fldCharType="begin"/>
      </w:r>
      <w:r>
        <w:instrText xml:space="preserve"> HYPERLINK \l _Toc8564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4.3 </w:t>
      </w:r>
      <w:r>
        <w:rPr>
          <w:rFonts w:hint="eastAsia"/>
          <w:strike w:val="0"/>
          <w:dstrike w:val="0"/>
          <w:highlight w:val="none"/>
          <w:lang w:val="en-US" w:eastAsia="zh-CN"/>
        </w:rPr>
        <w:t>按工作介质分类</w:t>
      </w:r>
      <w:r>
        <w:tab/>
      </w:r>
      <w:r>
        <w:fldChar w:fldCharType="begin"/>
      </w:r>
      <w:r>
        <w:instrText xml:space="preserve"> PAGEREF _Toc8564 \h </w:instrText>
      </w:r>
      <w:r>
        <w:fldChar w:fldCharType="separate"/>
      </w:r>
      <w:r>
        <w:t>2</w:t>
      </w:r>
      <w:r>
        <w:fldChar w:fldCharType="end"/>
      </w:r>
      <w:r>
        <w:fldChar w:fldCharType="end"/>
      </w:r>
    </w:p>
    <w:p w14:paraId="4EF8FED0">
      <w:pPr>
        <w:pStyle w:val="25"/>
        <w:tabs>
          <w:tab w:val="right" w:leader="dot" w:pos="9355"/>
          <w:tab w:val="clear" w:pos="9344"/>
        </w:tabs>
      </w:pPr>
      <w:r>
        <w:fldChar w:fldCharType="begin"/>
      </w:r>
      <w:r>
        <w:instrText xml:space="preserve"> HYPERLINK \l _Toc23207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4.4 </w:t>
      </w:r>
      <w:r>
        <w:rPr>
          <w:rFonts w:hint="eastAsia"/>
          <w:strike w:val="0"/>
          <w:dstrike w:val="0"/>
          <w:highlight w:val="none"/>
          <w:lang w:val="en-US" w:eastAsia="zh-CN"/>
        </w:rPr>
        <w:t>型号表示方法</w:t>
      </w:r>
      <w:r>
        <w:tab/>
      </w:r>
      <w:r>
        <w:fldChar w:fldCharType="begin"/>
      </w:r>
      <w:r>
        <w:instrText xml:space="preserve"> PAGEREF _Toc23207 \h </w:instrText>
      </w:r>
      <w:r>
        <w:fldChar w:fldCharType="separate"/>
      </w:r>
      <w:r>
        <w:t>2</w:t>
      </w:r>
      <w:r>
        <w:fldChar w:fldCharType="end"/>
      </w:r>
      <w:r>
        <w:fldChar w:fldCharType="end"/>
      </w:r>
    </w:p>
    <w:p w14:paraId="5F8DC649">
      <w:pPr>
        <w:pStyle w:val="20"/>
        <w:tabs>
          <w:tab w:val="right" w:leader="dot" w:pos="9355"/>
        </w:tabs>
      </w:pPr>
      <w:r>
        <w:fldChar w:fldCharType="begin"/>
      </w:r>
      <w:r>
        <w:instrText xml:space="preserve"> HYPERLINK \l _Toc28328 </w:instrText>
      </w:r>
      <w:r>
        <w:fldChar w:fldCharType="separate"/>
      </w:r>
      <w:r>
        <w:rPr>
          <w:rFonts w:hint="eastAsia" w:ascii="黑体" w:eastAsia="黑体"/>
          <w:i w:val="0"/>
          <w:lang w:val="en-US" w:eastAsia="zh-CN"/>
        </w:rPr>
        <w:t xml:space="preserve">5 </w:t>
      </w:r>
      <w:r>
        <w:rPr>
          <w:rFonts w:hint="eastAsia"/>
          <w:lang w:val="en-US" w:eastAsia="zh-CN"/>
        </w:rPr>
        <w:t>技术要求</w:t>
      </w:r>
      <w:r>
        <w:tab/>
      </w:r>
      <w:r>
        <w:fldChar w:fldCharType="begin"/>
      </w:r>
      <w:r>
        <w:instrText xml:space="preserve"> PAGEREF _Toc28328 \h </w:instrText>
      </w:r>
      <w:r>
        <w:fldChar w:fldCharType="separate"/>
      </w:r>
      <w:r>
        <w:t>2</w:t>
      </w:r>
      <w:r>
        <w:fldChar w:fldCharType="end"/>
      </w:r>
      <w:r>
        <w:fldChar w:fldCharType="end"/>
      </w:r>
    </w:p>
    <w:p w14:paraId="6B3926C6">
      <w:pPr>
        <w:pStyle w:val="25"/>
        <w:tabs>
          <w:tab w:val="right" w:leader="dot" w:pos="9355"/>
          <w:tab w:val="clear" w:pos="9344"/>
        </w:tabs>
      </w:pPr>
      <w:r>
        <w:fldChar w:fldCharType="begin"/>
      </w:r>
      <w:r>
        <w:instrText xml:space="preserve"> HYPERLINK \l _Toc27526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5.1 </w:t>
      </w:r>
      <w:r>
        <w:rPr>
          <w:rFonts w:hint="eastAsia"/>
          <w:strike w:val="0"/>
          <w:dstrike w:val="0"/>
          <w:highlight w:val="none"/>
          <w:lang w:val="en-US" w:eastAsia="zh-CN"/>
        </w:rPr>
        <w:t>一般要求</w:t>
      </w:r>
      <w:r>
        <w:tab/>
      </w:r>
      <w:r>
        <w:fldChar w:fldCharType="begin"/>
      </w:r>
      <w:r>
        <w:instrText xml:space="preserve"> PAGEREF _Toc27526 \h </w:instrText>
      </w:r>
      <w:r>
        <w:fldChar w:fldCharType="separate"/>
      </w:r>
      <w:r>
        <w:t>2</w:t>
      </w:r>
      <w:r>
        <w:fldChar w:fldCharType="end"/>
      </w:r>
      <w:r>
        <w:fldChar w:fldCharType="end"/>
      </w:r>
    </w:p>
    <w:p w14:paraId="4F1A6A69">
      <w:pPr>
        <w:pStyle w:val="25"/>
        <w:tabs>
          <w:tab w:val="right" w:leader="dot" w:pos="9355"/>
          <w:tab w:val="clear" w:pos="9344"/>
        </w:tabs>
      </w:pPr>
      <w:r>
        <w:fldChar w:fldCharType="begin"/>
      </w:r>
      <w:r>
        <w:instrText xml:space="preserve"> HYPERLINK \l _Toc9018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5.2 </w:t>
      </w:r>
      <w:r>
        <w:rPr>
          <w:rFonts w:hint="eastAsia"/>
          <w:strike w:val="0"/>
          <w:dstrike w:val="0"/>
          <w:highlight w:val="none"/>
          <w:lang w:val="en-US" w:eastAsia="zh-CN"/>
        </w:rPr>
        <w:t>材料要求</w:t>
      </w:r>
      <w:r>
        <w:tab/>
      </w:r>
      <w:r>
        <w:fldChar w:fldCharType="begin"/>
      </w:r>
      <w:r>
        <w:instrText xml:space="preserve"> PAGEREF _Toc9018 \h </w:instrText>
      </w:r>
      <w:r>
        <w:fldChar w:fldCharType="separate"/>
      </w:r>
      <w:r>
        <w:t>3</w:t>
      </w:r>
      <w:r>
        <w:fldChar w:fldCharType="end"/>
      </w:r>
      <w:r>
        <w:fldChar w:fldCharType="end"/>
      </w:r>
    </w:p>
    <w:p w14:paraId="407F69BD">
      <w:pPr>
        <w:pStyle w:val="25"/>
        <w:tabs>
          <w:tab w:val="right" w:leader="dot" w:pos="9355"/>
          <w:tab w:val="clear" w:pos="9344"/>
        </w:tabs>
      </w:pPr>
      <w:r>
        <w:fldChar w:fldCharType="begin"/>
      </w:r>
      <w:r>
        <w:instrText xml:space="preserve"> HYPERLINK \l _Toc9835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5.3 </w:t>
      </w:r>
      <w:r>
        <w:rPr>
          <w:rFonts w:hint="eastAsia"/>
          <w:strike w:val="0"/>
          <w:dstrike w:val="0"/>
          <w:highlight w:val="none"/>
          <w:lang w:val="en-US" w:eastAsia="zh-CN"/>
        </w:rPr>
        <w:t>尺寸与公差</w:t>
      </w:r>
      <w:r>
        <w:tab/>
      </w:r>
      <w:r>
        <w:fldChar w:fldCharType="begin"/>
      </w:r>
      <w:r>
        <w:instrText xml:space="preserve"> PAGEREF _Toc9835 \h </w:instrText>
      </w:r>
      <w:r>
        <w:fldChar w:fldCharType="separate"/>
      </w:r>
      <w:r>
        <w:t>3</w:t>
      </w:r>
      <w:r>
        <w:fldChar w:fldCharType="end"/>
      </w:r>
      <w:r>
        <w:fldChar w:fldCharType="end"/>
      </w:r>
    </w:p>
    <w:p w14:paraId="535E5BF4">
      <w:pPr>
        <w:pStyle w:val="25"/>
        <w:tabs>
          <w:tab w:val="right" w:leader="dot" w:pos="9355"/>
          <w:tab w:val="clear" w:pos="9344"/>
        </w:tabs>
      </w:pPr>
      <w:r>
        <w:fldChar w:fldCharType="begin"/>
      </w:r>
      <w:r>
        <w:instrText xml:space="preserve"> HYPERLINK \l _Toc15968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5.4 </w:t>
      </w:r>
      <w:r>
        <w:rPr>
          <w:rFonts w:hint="eastAsia"/>
          <w:strike w:val="0"/>
          <w:dstrike w:val="0"/>
          <w:highlight w:val="none"/>
          <w:lang w:val="en-US" w:eastAsia="zh-CN"/>
        </w:rPr>
        <w:t>物理力学性能</w:t>
      </w:r>
      <w:r>
        <w:tab/>
      </w:r>
      <w:r>
        <w:fldChar w:fldCharType="begin"/>
      </w:r>
      <w:r>
        <w:instrText xml:space="preserve"> PAGEREF _Toc15968 \h </w:instrText>
      </w:r>
      <w:r>
        <w:fldChar w:fldCharType="separate"/>
      </w:r>
      <w:r>
        <w:t>4</w:t>
      </w:r>
      <w:r>
        <w:fldChar w:fldCharType="end"/>
      </w:r>
      <w:r>
        <w:fldChar w:fldCharType="end"/>
      </w:r>
    </w:p>
    <w:p w14:paraId="64E9699C">
      <w:pPr>
        <w:pStyle w:val="25"/>
        <w:tabs>
          <w:tab w:val="right" w:leader="dot" w:pos="9355"/>
          <w:tab w:val="clear" w:pos="9344"/>
        </w:tabs>
      </w:pPr>
      <w:r>
        <w:fldChar w:fldCharType="begin"/>
      </w:r>
      <w:r>
        <w:instrText xml:space="preserve"> HYPERLINK \l _Toc28825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5.5 </w:t>
      </w:r>
      <w:r>
        <w:rPr>
          <w:rFonts w:hint="eastAsia"/>
          <w:strike w:val="0"/>
          <w:dstrike w:val="0"/>
          <w:highlight w:val="none"/>
          <w:lang w:val="en-US" w:eastAsia="zh-CN"/>
        </w:rPr>
        <w:t>表面质量</w:t>
      </w:r>
      <w:r>
        <w:tab/>
      </w:r>
      <w:r>
        <w:fldChar w:fldCharType="begin"/>
      </w:r>
      <w:r>
        <w:instrText xml:space="preserve"> PAGEREF _Toc28825 \h </w:instrText>
      </w:r>
      <w:r>
        <w:fldChar w:fldCharType="separate"/>
      </w:r>
      <w:r>
        <w:t>5</w:t>
      </w:r>
      <w:r>
        <w:fldChar w:fldCharType="end"/>
      </w:r>
      <w:r>
        <w:fldChar w:fldCharType="end"/>
      </w:r>
    </w:p>
    <w:p w14:paraId="34EC698C">
      <w:pPr>
        <w:pStyle w:val="25"/>
        <w:tabs>
          <w:tab w:val="right" w:leader="dot" w:pos="9355"/>
          <w:tab w:val="clear" w:pos="9344"/>
        </w:tabs>
      </w:pPr>
      <w:r>
        <w:fldChar w:fldCharType="begin"/>
      </w:r>
      <w:r>
        <w:instrText xml:space="preserve"> HYPERLINK \l _Toc3987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5.6 </w:t>
      </w:r>
      <w:r>
        <w:rPr>
          <w:rFonts w:hint="eastAsia"/>
          <w:strike w:val="0"/>
          <w:dstrike w:val="0"/>
          <w:highlight w:val="none"/>
          <w:lang w:val="en-US" w:eastAsia="zh-CN"/>
        </w:rPr>
        <w:t>热处理要求</w:t>
      </w:r>
      <w:r>
        <w:tab/>
      </w:r>
      <w:r>
        <w:fldChar w:fldCharType="begin"/>
      </w:r>
      <w:r>
        <w:instrText xml:space="preserve"> PAGEREF _Toc3987 \h </w:instrText>
      </w:r>
      <w:r>
        <w:fldChar w:fldCharType="separate"/>
      </w:r>
      <w:r>
        <w:t>5</w:t>
      </w:r>
      <w:r>
        <w:fldChar w:fldCharType="end"/>
      </w:r>
      <w:r>
        <w:fldChar w:fldCharType="end"/>
      </w:r>
    </w:p>
    <w:p w14:paraId="7AABCF97">
      <w:pPr>
        <w:pStyle w:val="25"/>
        <w:tabs>
          <w:tab w:val="right" w:leader="dot" w:pos="9355"/>
          <w:tab w:val="clear" w:pos="9344"/>
        </w:tabs>
      </w:pPr>
      <w:r>
        <w:fldChar w:fldCharType="begin"/>
      </w:r>
      <w:r>
        <w:instrText xml:space="preserve"> HYPERLINK \l _Toc26080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5.7 </w:t>
      </w:r>
      <w:r>
        <w:rPr>
          <w:rFonts w:hint="eastAsia"/>
          <w:strike w:val="0"/>
          <w:dstrike w:val="0"/>
          <w:highlight w:val="none"/>
          <w:lang w:val="en-US" w:eastAsia="zh-CN"/>
        </w:rPr>
        <w:t>功能性能要求</w:t>
      </w:r>
      <w:r>
        <w:tab/>
      </w:r>
      <w:r>
        <w:fldChar w:fldCharType="begin"/>
      </w:r>
      <w:r>
        <w:instrText xml:space="preserve"> PAGEREF _Toc26080 \h </w:instrText>
      </w:r>
      <w:r>
        <w:fldChar w:fldCharType="separate"/>
      </w:r>
      <w:r>
        <w:t>5</w:t>
      </w:r>
      <w:r>
        <w:fldChar w:fldCharType="end"/>
      </w:r>
      <w:r>
        <w:fldChar w:fldCharType="end"/>
      </w:r>
    </w:p>
    <w:p w14:paraId="24B63820">
      <w:pPr>
        <w:pStyle w:val="25"/>
        <w:tabs>
          <w:tab w:val="right" w:leader="dot" w:pos="9355"/>
          <w:tab w:val="clear" w:pos="9344"/>
        </w:tabs>
      </w:pPr>
      <w:r>
        <w:fldChar w:fldCharType="begin"/>
      </w:r>
      <w:r>
        <w:instrText xml:space="preserve"> HYPERLINK \l _Toc3260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5.8 </w:t>
      </w:r>
      <w:r>
        <w:rPr>
          <w:rFonts w:hint="eastAsia"/>
          <w:strike w:val="0"/>
          <w:dstrike w:val="0"/>
          <w:highlight w:val="none"/>
          <w:lang w:val="en-US" w:eastAsia="zh-CN"/>
        </w:rPr>
        <w:t>清洁度要求</w:t>
      </w:r>
      <w:r>
        <w:tab/>
      </w:r>
      <w:r>
        <w:fldChar w:fldCharType="begin"/>
      </w:r>
      <w:r>
        <w:instrText xml:space="preserve"> PAGEREF _Toc3260 \h </w:instrText>
      </w:r>
      <w:r>
        <w:fldChar w:fldCharType="separate"/>
      </w:r>
      <w:r>
        <w:t>6</w:t>
      </w:r>
      <w:r>
        <w:fldChar w:fldCharType="end"/>
      </w:r>
      <w:r>
        <w:fldChar w:fldCharType="end"/>
      </w:r>
    </w:p>
    <w:p w14:paraId="4756C50D">
      <w:pPr>
        <w:pStyle w:val="20"/>
        <w:tabs>
          <w:tab w:val="right" w:leader="dot" w:pos="9355"/>
        </w:tabs>
      </w:pPr>
      <w:r>
        <w:fldChar w:fldCharType="begin"/>
      </w:r>
      <w:r>
        <w:instrText xml:space="preserve"> HYPERLINK \l _Toc4241 </w:instrText>
      </w:r>
      <w:r>
        <w:fldChar w:fldCharType="separate"/>
      </w:r>
      <w:r>
        <w:rPr>
          <w:rFonts w:hint="eastAsia" w:ascii="黑体" w:eastAsia="黑体"/>
          <w:i w:val="0"/>
          <w:lang w:val="en-US" w:eastAsia="zh-CN"/>
        </w:rPr>
        <w:t xml:space="preserve">6 </w:t>
      </w:r>
      <w:r>
        <w:rPr>
          <w:rFonts w:hint="eastAsia"/>
          <w:lang w:val="en-US" w:eastAsia="zh-CN"/>
        </w:rPr>
        <w:t>试验方法</w:t>
      </w:r>
      <w:r>
        <w:tab/>
      </w:r>
      <w:r>
        <w:fldChar w:fldCharType="begin"/>
      </w:r>
      <w:r>
        <w:instrText xml:space="preserve"> PAGEREF _Toc4241 \h </w:instrText>
      </w:r>
      <w:r>
        <w:fldChar w:fldCharType="separate"/>
      </w:r>
      <w:r>
        <w:t>6</w:t>
      </w:r>
      <w:r>
        <w:fldChar w:fldCharType="end"/>
      </w:r>
      <w:r>
        <w:fldChar w:fldCharType="end"/>
      </w:r>
    </w:p>
    <w:p w14:paraId="4669B129">
      <w:pPr>
        <w:pStyle w:val="25"/>
        <w:tabs>
          <w:tab w:val="right" w:leader="dot" w:pos="9355"/>
          <w:tab w:val="clear" w:pos="9344"/>
        </w:tabs>
      </w:pPr>
      <w:r>
        <w:fldChar w:fldCharType="begin"/>
      </w:r>
      <w:r>
        <w:instrText xml:space="preserve"> HYPERLINK \l _Toc31426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strike w:val="0"/>
          <w:dstrike w:val="0"/>
          <w:highlight w:val="none"/>
          <w:lang w:val="en-US" w:eastAsia="zh-CN"/>
        </w:rPr>
        <w:t>外观检验</w:t>
      </w:r>
      <w:r>
        <w:tab/>
      </w:r>
      <w:r>
        <w:fldChar w:fldCharType="begin"/>
      </w:r>
      <w:r>
        <w:instrText xml:space="preserve"> PAGEREF _Toc31426 \h </w:instrText>
      </w:r>
      <w:r>
        <w:fldChar w:fldCharType="separate"/>
      </w:r>
      <w:r>
        <w:t>6</w:t>
      </w:r>
      <w:r>
        <w:fldChar w:fldCharType="end"/>
      </w:r>
      <w:r>
        <w:fldChar w:fldCharType="end"/>
      </w:r>
    </w:p>
    <w:p w14:paraId="4A5E962B">
      <w:pPr>
        <w:pStyle w:val="25"/>
        <w:tabs>
          <w:tab w:val="right" w:leader="dot" w:pos="9355"/>
          <w:tab w:val="clear" w:pos="9344"/>
        </w:tabs>
      </w:pPr>
      <w:r>
        <w:fldChar w:fldCharType="begin"/>
      </w:r>
      <w:r>
        <w:instrText xml:space="preserve"> HYPERLINK \l _Toc32338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strike w:val="0"/>
          <w:dstrike w:val="0"/>
          <w:highlight w:val="none"/>
          <w:lang w:val="en-US" w:eastAsia="zh-CN"/>
        </w:rPr>
        <w:t>尺寸与公差试验</w:t>
      </w:r>
      <w:r>
        <w:tab/>
      </w:r>
      <w:r>
        <w:fldChar w:fldCharType="begin"/>
      </w:r>
      <w:r>
        <w:instrText xml:space="preserve"> PAGEREF _Toc32338 \h </w:instrText>
      </w:r>
      <w:r>
        <w:fldChar w:fldCharType="separate"/>
      </w:r>
      <w:r>
        <w:t>6</w:t>
      </w:r>
      <w:r>
        <w:fldChar w:fldCharType="end"/>
      </w:r>
      <w:r>
        <w:fldChar w:fldCharType="end"/>
      </w:r>
    </w:p>
    <w:p w14:paraId="241B9C74">
      <w:pPr>
        <w:pStyle w:val="25"/>
        <w:tabs>
          <w:tab w:val="right" w:leader="dot" w:pos="9355"/>
          <w:tab w:val="clear" w:pos="9344"/>
        </w:tabs>
      </w:pPr>
      <w:r>
        <w:fldChar w:fldCharType="begin"/>
      </w:r>
      <w:r>
        <w:instrText xml:space="preserve"> HYPERLINK \l _Toc938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eastAsia"/>
          <w:strike w:val="0"/>
          <w:dstrike w:val="0"/>
          <w:highlight w:val="none"/>
          <w:lang w:val="en-US" w:eastAsia="zh-CN"/>
        </w:rPr>
        <w:t>物理力学性能试验</w:t>
      </w:r>
      <w:r>
        <w:tab/>
      </w:r>
      <w:r>
        <w:fldChar w:fldCharType="begin"/>
      </w:r>
      <w:r>
        <w:instrText xml:space="preserve"> PAGEREF _Toc938 \h </w:instrText>
      </w:r>
      <w:r>
        <w:fldChar w:fldCharType="separate"/>
      </w:r>
      <w:r>
        <w:t>6</w:t>
      </w:r>
      <w:r>
        <w:fldChar w:fldCharType="end"/>
      </w:r>
      <w:r>
        <w:fldChar w:fldCharType="end"/>
      </w:r>
    </w:p>
    <w:p w14:paraId="1046112C">
      <w:pPr>
        <w:pStyle w:val="25"/>
        <w:tabs>
          <w:tab w:val="right" w:leader="dot" w:pos="9355"/>
          <w:tab w:val="clear" w:pos="9344"/>
        </w:tabs>
      </w:pPr>
      <w:r>
        <w:fldChar w:fldCharType="begin"/>
      </w:r>
      <w:r>
        <w:instrText xml:space="preserve"> HYPERLINK \l _Toc58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eastAsia"/>
          <w:strike w:val="0"/>
          <w:dstrike w:val="0"/>
          <w:highlight w:val="none"/>
          <w:lang w:val="en-US" w:eastAsia="zh-CN"/>
        </w:rPr>
        <w:t>表面粗糙度测定</w:t>
      </w:r>
      <w:r>
        <w:tab/>
      </w:r>
      <w:r>
        <w:fldChar w:fldCharType="begin"/>
      </w:r>
      <w:r>
        <w:instrText xml:space="preserve"> PAGEREF _Toc58 \h </w:instrText>
      </w:r>
      <w:r>
        <w:fldChar w:fldCharType="separate"/>
      </w:r>
      <w:r>
        <w:t>6</w:t>
      </w:r>
      <w:r>
        <w:fldChar w:fldCharType="end"/>
      </w:r>
      <w:r>
        <w:fldChar w:fldCharType="end"/>
      </w:r>
    </w:p>
    <w:p w14:paraId="45090530">
      <w:pPr>
        <w:pStyle w:val="25"/>
        <w:tabs>
          <w:tab w:val="right" w:leader="dot" w:pos="9355"/>
          <w:tab w:val="clear" w:pos="9344"/>
        </w:tabs>
      </w:pPr>
      <w:r>
        <w:fldChar w:fldCharType="begin"/>
      </w:r>
      <w:r>
        <w:instrText xml:space="preserve"> HYPERLINK \l _Toc28333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6.5 </w:t>
      </w:r>
      <w:r>
        <w:rPr>
          <w:rFonts w:hint="eastAsia"/>
          <w:strike w:val="0"/>
          <w:dstrike w:val="0"/>
          <w:highlight w:val="none"/>
          <w:lang w:val="en-US" w:eastAsia="zh-CN"/>
        </w:rPr>
        <w:t>硬化层深度测定</w:t>
      </w:r>
      <w:r>
        <w:tab/>
      </w:r>
      <w:r>
        <w:fldChar w:fldCharType="begin"/>
      </w:r>
      <w:r>
        <w:instrText xml:space="preserve"> PAGEREF _Toc28333 \h </w:instrText>
      </w:r>
      <w:r>
        <w:fldChar w:fldCharType="separate"/>
      </w:r>
      <w:r>
        <w:t>7</w:t>
      </w:r>
      <w:r>
        <w:fldChar w:fldCharType="end"/>
      </w:r>
      <w:r>
        <w:fldChar w:fldCharType="end"/>
      </w:r>
    </w:p>
    <w:p w14:paraId="561754A4">
      <w:pPr>
        <w:pStyle w:val="25"/>
        <w:tabs>
          <w:tab w:val="right" w:leader="dot" w:pos="9355"/>
          <w:tab w:val="clear" w:pos="9344"/>
        </w:tabs>
      </w:pPr>
      <w:r>
        <w:fldChar w:fldCharType="begin"/>
      </w:r>
      <w:r>
        <w:instrText xml:space="preserve"> HYPERLINK \l _Toc6430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6.6 </w:t>
      </w:r>
      <w:r>
        <w:rPr>
          <w:rFonts w:hint="eastAsia"/>
          <w:strike w:val="0"/>
          <w:dstrike w:val="0"/>
          <w:highlight w:val="none"/>
          <w:lang w:val="en-US" w:eastAsia="zh-CN"/>
        </w:rPr>
        <w:t>功能性能试验</w:t>
      </w:r>
      <w:r>
        <w:tab/>
      </w:r>
      <w:r>
        <w:fldChar w:fldCharType="begin"/>
      </w:r>
      <w:r>
        <w:instrText xml:space="preserve"> PAGEREF _Toc6430 \h </w:instrText>
      </w:r>
      <w:r>
        <w:fldChar w:fldCharType="separate"/>
      </w:r>
      <w:r>
        <w:t>7</w:t>
      </w:r>
      <w:r>
        <w:fldChar w:fldCharType="end"/>
      </w:r>
      <w:r>
        <w:fldChar w:fldCharType="end"/>
      </w:r>
    </w:p>
    <w:p w14:paraId="04A0EB2C">
      <w:pPr>
        <w:pStyle w:val="25"/>
        <w:tabs>
          <w:tab w:val="right" w:leader="dot" w:pos="9355"/>
          <w:tab w:val="clear" w:pos="9344"/>
        </w:tabs>
      </w:pPr>
      <w:r>
        <w:fldChar w:fldCharType="begin"/>
      </w:r>
      <w:r>
        <w:instrText xml:space="preserve"> HYPERLINK \l _Toc4580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6.7 </w:t>
      </w:r>
      <w:r>
        <w:rPr>
          <w:rFonts w:hint="eastAsia"/>
          <w:strike w:val="0"/>
          <w:dstrike w:val="0"/>
          <w:highlight w:val="none"/>
          <w:lang w:val="en-US" w:eastAsia="zh-CN"/>
        </w:rPr>
        <w:t>清洁度检验</w:t>
      </w:r>
      <w:r>
        <w:tab/>
      </w:r>
      <w:r>
        <w:fldChar w:fldCharType="begin"/>
      </w:r>
      <w:r>
        <w:instrText xml:space="preserve"> PAGEREF _Toc4580 \h </w:instrText>
      </w:r>
      <w:r>
        <w:fldChar w:fldCharType="separate"/>
      </w:r>
      <w:r>
        <w:t>7</w:t>
      </w:r>
      <w:r>
        <w:fldChar w:fldCharType="end"/>
      </w:r>
      <w:r>
        <w:fldChar w:fldCharType="end"/>
      </w:r>
    </w:p>
    <w:p w14:paraId="510F2FD6">
      <w:pPr>
        <w:pStyle w:val="20"/>
        <w:tabs>
          <w:tab w:val="right" w:leader="dot" w:pos="9355"/>
        </w:tabs>
      </w:pPr>
      <w:r>
        <w:fldChar w:fldCharType="begin"/>
      </w:r>
      <w:r>
        <w:instrText xml:space="preserve"> HYPERLINK \l _Toc29430 </w:instrText>
      </w:r>
      <w:r>
        <w:fldChar w:fldCharType="separate"/>
      </w:r>
      <w:r>
        <w:rPr>
          <w:rFonts w:hint="eastAsia" w:ascii="黑体" w:eastAsia="黑体"/>
          <w:i w:val="0"/>
          <w:lang w:val="en-US" w:eastAsia="zh-CN"/>
        </w:rPr>
        <w:t xml:space="preserve">7 </w:t>
      </w:r>
      <w:r>
        <w:rPr>
          <w:rFonts w:hint="eastAsia"/>
          <w:lang w:val="en-US" w:eastAsia="zh-CN"/>
        </w:rPr>
        <w:t>检验规则</w:t>
      </w:r>
      <w:r>
        <w:tab/>
      </w:r>
      <w:r>
        <w:fldChar w:fldCharType="begin"/>
      </w:r>
      <w:r>
        <w:instrText xml:space="preserve"> PAGEREF _Toc29430 \h </w:instrText>
      </w:r>
      <w:r>
        <w:fldChar w:fldCharType="separate"/>
      </w:r>
      <w:r>
        <w:t>7</w:t>
      </w:r>
      <w:r>
        <w:fldChar w:fldCharType="end"/>
      </w:r>
      <w:r>
        <w:fldChar w:fldCharType="end"/>
      </w:r>
    </w:p>
    <w:p w14:paraId="46629544">
      <w:pPr>
        <w:pStyle w:val="25"/>
        <w:tabs>
          <w:tab w:val="right" w:leader="dot" w:pos="9355"/>
          <w:tab w:val="clear" w:pos="9344"/>
        </w:tabs>
      </w:pPr>
      <w:r>
        <w:fldChar w:fldCharType="begin"/>
      </w:r>
      <w:r>
        <w:instrText xml:space="preserve"> HYPERLINK \l _Toc4739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7.1 </w:t>
      </w:r>
      <w:r>
        <w:rPr>
          <w:rFonts w:hint="eastAsia"/>
          <w:strike w:val="0"/>
          <w:dstrike w:val="0"/>
          <w:highlight w:val="none"/>
          <w:lang w:val="en-US" w:eastAsia="zh-CN"/>
        </w:rPr>
        <w:t>检验分类</w:t>
      </w:r>
      <w:r>
        <w:tab/>
      </w:r>
      <w:r>
        <w:fldChar w:fldCharType="begin"/>
      </w:r>
      <w:r>
        <w:instrText xml:space="preserve"> PAGEREF _Toc4739 \h </w:instrText>
      </w:r>
      <w:r>
        <w:fldChar w:fldCharType="separate"/>
      </w:r>
      <w:r>
        <w:t>7</w:t>
      </w:r>
      <w:r>
        <w:fldChar w:fldCharType="end"/>
      </w:r>
      <w:r>
        <w:fldChar w:fldCharType="end"/>
      </w:r>
    </w:p>
    <w:p w14:paraId="3F84A04B">
      <w:pPr>
        <w:pStyle w:val="25"/>
        <w:tabs>
          <w:tab w:val="right" w:leader="dot" w:pos="9355"/>
          <w:tab w:val="clear" w:pos="9344"/>
        </w:tabs>
      </w:pPr>
      <w:r>
        <w:fldChar w:fldCharType="begin"/>
      </w:r>
      <w:r>
        <w:instrText xml:space="preserve"> HYPERLINK \l _Toc15556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7.2 </w:t>
      </w:r>
      <w:r>
        <w:rPr>
          <w:rFonts w:hint="eastAsia"/>
          <w:strike w:val="0"/>
          <w:dstrike w:val="0"/>
          <w:highlight w:val="none"/>
          <w:lang w:val="en-US" w:eastAsia="zh-CN"/>
        </w:rPr>
        <w:t>出厂检验</w:t>
      </w:r>
      <w:r>
        <w:tab/>
      </w:r>
      <w:r>
        <w:fldChar w:fldCharType="begin"/>
      </w:r>
      <w:r>
        <w:instrText xml:space="preserve"> PAGEREF _Toc15556 \h </w:instrText>
      </w:r>
      <w:r>
        <w:fldChar w:fldCharType="separate"/>
      </w:r>
      <w:r>
        <w:t>7</w:t>
      </w:r>
      <w:r>
        <w:fldChar w:fldCharType="end"/>
      </w:r>
      <w:r>
        <w:fldChar w:fldCharType="end"/>
      </w:r>
    </w:p>
    <w:p w14:paraId="227C27FB">
      <w:pPr>
        <w:pStyle w:val="25"/>
        <w:tabs>
          <w:tab w:val="right" w:leader="dot" w:pos="9355"/>
          <w:tab w:val="clear" w:pos="9344"/>
        </w:tabs>
      </w:pPr>
      <w:r>
        <w:fldChar w:fldCharType="begin"/>
      </w:r>
      <w:r>
        <w:instrText xml:space="preserve"> HYPERLINK \l _Toc28599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7.3 </w:t>
      </w:r>
      <w:r>
        <w:rPr>
          <w:rFonts w:hint="eastAsia"/>
          <w:strike w:val="0"/>
          <w:dstrike w:val="0"/>
          <w:highlight w:val="none"/>
          <w:lang w:val="en-US" w:eastAsia="zh-CN"/>
        </w:rPr>
        <w:t>型式检验</w:t>
      </w:r>
      <w:r>
        <w:tab/>
      </w:r>
      <w:r>
        <w:fldChar w:fldCharType="begin"/>
      </w:r>
      <w:r>
        <w:instrText xml:space="preserve"> PAGEREF _Toc28599 \h </w:instrText>
      </w:r>
      <w:r>
        <w:fldChar w:fldCharType="separate"/>
      </w:r>
      <w:r>
        <w:t>7</w:t>
      </w:r>
      <w:r>
        <w:fldChar w:fldCharType="end"/>
      </w:r>
      <w:r>
        <w:fldChar w:fldCharType="end"/>
      </w:r>
    </w:p>
    <w:p w14:paraId="25B10A0C">
      <w:pPr>
        <w:pStyle w:val="25"/>
        <w:tabs>
          <w:tab w:val="right" w:leader="dot" w:pos="9355"/>
          <w:tab w:val="clear" w:pos="9344"/>
        </w:tabs>
      </w:pPr>
      <w:r>
        <w:fldChar w:fldCharType="begin"/>
      </w:r>
      <w:r>
        <w:instrText xml:space="preserve"> HYPERLINK \l _Toc7273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7.4 </w:t>
      </w:r>
      <w:r>
        <w:rPr>
          <w:rFonts w:hint="eastAsia"/>
          <w:strike w:val="0"/>
          <w:dstrike w:val="0"/>
          <w:highlight w:val="none"/>
          <w:lang w:val="en-US" w:eastAsia="zh-CN"/>
        </w:rPr>
        <w:t>判定规则</w:t>
      </w:r>
      <w:r>
        <w:tab/>
      </w:r>
      <w:r>
        <w:fldChar w:fldCharType="begin"/>
      </w:r>
      <w:r>
        <w:instrText xml:space="preserve"> PAGEREF _Toc7273 \h </w:instrText>
      </w:r>
      <w:r>
        <w:fldChar w:fldCharType="separate"/>
      </w:r>
      <w:r>
        <w:t>8</w:t>
      </w:r>
      <w:r>
        <w:fldChar w:fldCharType="end"/>
      </w:r>
      <w:r>
        <w:fldChar w:fldCharType="end"/>
      </w:r>
    </w:p>
    <w:p w14:paraId="3F9F15F6">
      <w:pPr>
        <w:pStyle w:val="20"/>
        <w:tabs>
          <w:tab w:val="right" w:leader="dot" w:pos="9355"/>
        </w:tabs>
      </w:pPr>
      <w:r>
        <w:fldChar w:fldCharType="begin"/>
      </w:r>
      <w:r>
        <w:instrText xml:space="preserve"> HYPERLINK \l _Toc30113 </w:instrText>
      </w:r>
      <w:r>
        <w:fldChar w:fldCharType="separate"/>
      </w:r>
      <w:r>
        <w:rPr>
          <w:rFonts w:hint="eastAsia" w:ascii="黑体" w:eastAsia="黑体"/>
          <w:i w:val="0"/>
          <w:lang w:val="en-US" w:eastAsia="zh-CN"/>
        </w:rPr>
        <w:t xml:space="preserve">8 </w:t>
      </w:r>
      <w:r>
        <w:rPr>
          <w:rFonts w:hint="eastAsia"/>
          <w:lang w:val="en-US" w:eastAsia="zh-CN"/>
        </w:rPr>
        <w:t>标志、包装、运输和贮存</w:t>
      </w:r>
      <w:r>
        <w:tab/>
      </w:r>
      <w:r>
        <w:fldChar w:fldCharType="begin"/>
      </w:r>
      <w:r>
        <w:instrText xml:space="preserve"> PAGEREF _Toc30113 \h </w:instrText>
      </w:r>
      <w:r>
        <w:fldChar w:fldCharType="separate"/>
      </w:r>
      <w:r>
        <w:t>8</w:t>
      </w:r>
      <w:r>
        <w:fldChar w:fldCharType="end"/>
      </w:r>
      <w:r>
        <w:fldChar w:fldCharType="end"/>
      </w:r>
    </w:p>
    <w:p w14:paraId="5AC73118">
      <w:pPr>
        <w:pStyle w:val="25"/>
        <w:tabs>
          <w:tab w:val="right" w:leader="dot" w:pos="9355"/>
          <w:tab w:val="clear" w:pos="9344"/>
        </w:tabs>
      </w:pPr>
      <w:r>
        <w:fldChar w:fldCharType="begin"/>
      </w:r>
      <w:r>
        <w:instrText xml:space="preserve"> HYPERLINK \l _Toc31806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8.1 </w:t>
      </w:r>
      <w:r>
        <w:rPr>
          <w:rFonts w:hint="eastAsia"/>
          <w:strike w:val="0"/>
          <w:dstrike w:val="0"/>
          <w:highlight w:val="none"/>
          <w:lang w:val="en-US" w:eastAsia="zh-CN"/>
        </w:rPr>
        <w:t>标志</w:t>
      </w:r>
      <w:r>
        <w:tab/>
      </w:r>
      <w:r>
        <w:fldChar w:fldCharType="begin"/>
      </w:r>
      <w:r>
        <w:instrText xml:space="preserve"> PAGEREF _Toc31806 \h </w:instrText>
      </w:r>
      <w:r>
        <w:fldChar w:fldCharType="separate"/>
      </w:r>
      <w:r>
        <w:t>8</w:t>
      </w:r>
      <w:r>
        <w:fldChar w:fldCharType="end"/>
      </w:r>
      <w:r>
        <w:fldChar w:fldCharType="end"/>
      </w:r>
    </w:p>
    <w:p w14:paraId="5EFF691B">
      <w:pPr>
        <w:pStyle w:val="25"/>
        <w:tabs>
          <w:tab w:val="right" w:leader="dot" w:pos="9355"/>
          <w:tab w:val="clear" w:pos="9344"/>
        </w:tabs>
      </w:pPr>
      <w:r>
        <w:fldChar w:fldCharType="begin"/>
      </w:r>
      <w:r>
        <w:instrText xml:space="preserve"> HYPERLINK \l _Toc24841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8.2 </w:t>
      </w:r>
      <w:r>
        <w:rPr>
          <w:rFonts w:hint="eastAsia"/>
          <w:strike w:val="0"/>
          <w:dstrike w:val="0"/>
          <w:highlight w:val="none"/>
          <w:lang w:val="en-US" w:eastAsia="zh-CN"/>
        </w:rPr>
        <w:t>包装</w:t>
      </w:r>
      <w:r>
        <w:tab/>
      </w:r>
      <w:r>
        <w:fldChar w:fldCharType="begin"/>
      </w:r>
      <w:r>
        <w:instrText xml:space="preserve"> PAGEREF _Toc24841 \h </w:instrText>
      </w:r>
      <w:r>
        <w:fldChar w:fldCharType="separate"/>
      </w:r>
      <w:r>
        <w:t>8</w:t>
      </w:r>
      <w:r>
        <w:fldChar w:fldCharType="end"/>
      </w:r>
      <w:r>
        <w:fldChar w:fldCharType="end"/>
      </w:r>
    </w:p>
    <w:p w14:paraId="7977FD37">
      <w:pPr>
        <w:pStyle w:val="25"/>
        <w:tabs>
          <w:tab w:val="right" w:leader="dot" w:pos="9355"/>
          <w:tab w:val="clear" w:pos="9344"/>
        </w:tabs>
      </w:pPr>
      <w:r>
        <w:fldChar w:fldCharType="begin"/>
      </w:r>
      <w:r>
        <w:instrText xml:space="preserve"> HYPERLINK \l _Toc31349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8.3 </w:t>
      </w:r>
      <w:r>
        <w:rPr>
          <w:rFonts w:hint="eastAsia"/>
          <w:strike w:val="0"/>
          <w:dstrike w:val="0"/>
          <w:highlight w:val="none"/>
          <w:lang w:val="en-US" w:eastAsia="zh-CN"/>
        </w:rPr>
        <w:t>运输</w:t>
      </w:r>
      <w:r>
        <w:tab/>
      </w:r>
      <w:r>
        <w:fldChar w:fldCharType="begin"/>
      </w:r>
      <w:r>
        <w:instrText xml:space="preserve"> PAGEREF _Toc31349 \h </w:instrText>
      </w:r>
      <w:r>
        <w:fldChar w:fldCharType="separate"/>
      </w:r>
      <w:r>
        <w:t>8</w:t>
      </w:r>
      <w:r>
        <w:fldChar w:fldCharType="end"/>
      </w:r>
      <w:r>
        <w:fldChar w:fldCharType="end"/>
      </w:r>
    </w:p>
    <w:p w14:paraId="386C3AA6">
      <w:pPr>
        <w:pStyle w:val="25"/>
        <w:tabs>
          <w:tab w:val="right" w:leader="dot" w:pos="9355"/>
          <w:tab w:val="clear" w:pos="9344"/>
        </w:tabs>
      </w:pPr>
      <w:r>
        <w:fldChar w:fldCharType="begin"/>
      </w:r>
      <w:r>
        <w:instrText xml:space="preserve"> HYPERLINK \l _Toc439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8.4 </w:t>
      </w:r>
      <w:r>
        <w:rPr>
          <w:rFonts w:hint="eastAsia"/>
          <w:strike w:val="0"/>
          <w:dstrike w:val="0"/>
          <w:highlight w:val="none"/>
          <w:lang w:val="en-US" w:eastAsia="zh-CN"/>
        </w:rPr>
        <w:t>贮存</w:t>
      </w:r>
      <w:r>
        <w:tab/>
      </w:r>
      <w:r>
        <w:fldChar w:fldCharType="begin"/>
      </w:r>
      <w:r>
        <w:instrText xml:space="preserve"> PAGEREF _Toc439 \h </w:instrText>
      </w:r>
      <w:r>
        <w:fldChar w:fldCharType="separate"/>
      </w:r>
      <w:r>
        <w:t>8</w:t>
      </w:r>
      <w:r>
        <w:fldChar w:fldCharType="end"/>
      </w:r>
      <w:r>
        <w:fldChar w:fldCharType="end"/>
      </w:r>
    </w:p>
    <w:p w14:paraId="1C8D9C67">
      <w:pPr>
        <w:pStyle w:val="20"/>
        <w:tabs>
          <w:tab w:val="right" w:leader="dot" w:pos="9355"/>
        </w:tabs>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9"/>
    <w:p w14:paraId="584B9875">
      <w:pPr>
        <w:pStyle w:val="93"/>
        <w:shd w:val="clear" w:color="FFFFFF" w:fill="FFFFFF"/>
        <w:spacing w:before="850" w:after="680" w:afterLines="0"/>
        <w:rPr>
          <w:rFonts w:hint="eastAsia"/>
          <w:spacing w:val="320"/>
        </w:rPr>
      </w:pPr>
      <w:bookmarkStart w:id="23" w:name="_Toc6409"/>
      <w:bookmarkStart w:id="24" w:name="_Toc12023"/>
      <w:bookmarkStart w:id="25" w:name="_Toc4119"/>
      <w:bookmarkStart w:id="26" w:name="_Toc22953"/>
      <w:bookmarkStart w:id="27" w:name="_Toc12095"/>
      <w:bookmarkStart w:id="28" w:name="_Toc10339"/>
      <w:bookmarkStart w:id="29" w:name="_Toc1089"/>
      <w:bookmarkStart w:id="30" w:name="_Toc24248"/>
      <w:bookmarkStart w:id="31" w:name="BookMark2"/>
      <w:r>
        <w:rPr>
          <w:rFonts w:hint="eastAsia"/>
          <w:spacing w:val="320"/>
        </w:rPr>
        <w:t>前言</w:t>
      </w:r>
      <w:bookmarkEnd w:id="20"/>
      <w:bookmarkEnd w:id="21"/>
      <w:bookmarkEnd w:id="22"/>
      <w:bookmarkEnd w:id="23"/>
      <w:bookmarkEnd w:id="24"/>
      <w:bookmarkEnd w:id="25"/>
      <w:bookmarkEnd w:id="26"/>
      <w:bookmarkEnd w:id="27"/>
      <w:bookmarkEnd w:id="28"/>
      <w:bookmarkEnd w:id="29"/>
      <w:bookmarkEnd w:id="30"/>
    </w:p>
    <w:p w14:paraId="79253001">
      <w:pPr>
        <w:pStyle w:val="60"/>
        <w:ind w:firstLine="420"/>
      </w:pPr>
      <w:r>
        <w:rPr>
          <w:rFonts w:hint="eastAsia"/>
        </w:rPr>
        <w:t>本文件按照GB/T 1.1—2020《标准化工作导则  第1部分：标准化文件的结构和起草规则》的规定起草。</w:t>
      </w:r>
    </w:p>
    <w:p w14:paraId="41AC3A12">
      <w:pPr>
        <w:pStyle w:val="60"/>
        <w:ind w:firstLine="420"/>
      </w:pPr>
      <w:r>
        <w:rPr>
          <w:rFonts w:hint="eastAsia"/>
        </w:rPr>
        <w:t>请注意本文件的某些内容可能涉及专利。本文件的发布机构不承担识别专利的责任。</w:t>
      </w:r>
    </w:p>
    <w:p w14:paraId="7AED805B">
      <w:pPr>
        <w:pStyle w:val="60"/>
        <w:ind w:firstLine="420"/>
      </w:pPr>
      <w:r>
        <w:rPr>
          <w:rFonts w:hint="eastAsia"/>
        </w:rPr>
        <w:t>本文件由</w:t>
      </w:r>
      <w:r>
        <w:rPr>
          <w:rFonts w:hint="eastAsia"/>
          <w:lang w:val="en-US" w:eastAsia="zh-CN"/>
        </w:rPr>
        <w:t>XX</w:t>
      </w:r>
      <w:r>
        <w:rPr>
          <w:rFonts w:hint="eastAsia"/>
        </w:rPr>
        <w:t>提出。</w:t>
      </w:r>
    </w:p>
    <w:p w14:paraId="705FF706">
      <w:pPr>
        <w:pStyle w:val="60"/>
        <w:ind w:firstLine="420"/>
      </w:pPr>
      <w:r>
        <w:rPr>
          <w:rFonts w:hint="eastAsia"/>
        </w:rPr>
        <w:t>本文件由中国西部开发促进会归口。</w:t>
      </w:r>
    </w:p>
    <w:p w14:paraId="0AD67DCB">
      <w:pPr>
        <w:pStyle w:val="60"/>
        <w:ind w:firstLine="420"/>
        <w:rPr>
          <w:rFonts w:ascii="Calibri" w:hAnsi="Calibri"/>
          <w:kern w:val="2"/>
          <w:szCs w:val="21"/>
        </w:rPr>
      </w:pPr>
      <w:r>
        <w:rPr>
          <w:rFonts w:hint="eastAsia"/>
        </w:rPr>
        <w:t>本文件起草单位：。</w:t>
      </w:r>
    </w:p>
    <w:p w14:paraId="1D8488AB">
      <w:pPr>
        <w:pStyle w:val="60"/>
        <w:ind w:firstLine="420"/>
        <w:rPr>
          <w:rFonts w:ascii="Calibri" w:hAnsi="Calibri"/>
          <w:kern w:val="2"/>
          <w:szCs w:val="21"/>
        </w:rPr>
      </w:pPr>
      <w:r>
        <w:rPr>
          <w:rFonts w:hint="eastAsia"/>
        </w:rPr>
        <w:t>本文件主要起草人：。</w:t>
      </w:r>
    </w:p>
    <w:p w14:paraId="3C65A3F4">
      <w:pPr>
        <w:pStyle w:val="60"/>
        <w:ind w:firstLine="420"/>
      </w:pPr>
    </w:p>
    <w:p w14:paraId="5D960400">
      <w:pPr>
        <w:pStyle w:val="60"/>
        <w:ind w:firstLine="420"/>
        <w:sectPr>
          <w:footerReference r:id="rId14" w:type="default"/>
          <w:headerReference r:id="rId13" w:type="even"/>
          <w:footerReference r:id="rId15" w:type="even"/>
          <w:pgSz w:w="11906" w:h="16838"/>
          <w:pgMar w:top="1928" w:right="1134" w:bottom="1134" w:left="1134" w:header="1418" w:footer="1134" w:gutter="283"/>
          <w:pgNumType w:fmt="upperRoman" w:start="3"/>
          <w:cols w:space="0" w:num="1"/>
          <w:formProt w:val="0"/>
          <w:docGrid w:linePitch="312" w:charSpace="0"/>
        </w:sectPr>
      </w:pPr>
    </w:p>
    <w:bookmarkEnd w:id="31"/>
    <w:p w14:paraId="43E507E7">
      <w:pPr>
        <w:spacing w:line="20" w:lineRule="exact"/>
        <w:rPr>
          <w:rFonts w:ascii="黑体" w:hAnsi="黑体" w:eastAsia="黑体"/>
          <w:sz w:val="32"/>
          <w:szCs w:val="32"/>
        </w:rPr>
      </w:pPr>
      <w:bookmarkStart w:id="32" w:name="BookMark4"/>
    </w:p>
    <w:p w14:paraId="4D135BFB">
      <w:pPr>
        <w:spacing w:line="20" w:lineRule="exact"/>
        <w:rPr>
          <w:rFonts w:ascii="黑体" w:hAnsi="黑体" w:eastAsia="黑体"/>
          <w:sz w:val="32"/>
          <w:szCs w:val="32"/>
        </w:rPr>
      </w:pPr>
    </w:p>
    <w:sdt>
      <w:sdtPr>
        <w:tag w:val="NEW_STAND_NAME"/>
        <w:id w:val="595910757"/>
        <w:lock w:val="sdtLocked"/>
        <w:placeholder>
          <w:docPart w:val="D33580E5DEE94A56B4AA6E6699E4C1B2"/>
        </w:placeholder>
      </w:sdtPr>
      <w:sdtEndPr>
        <w:rPr>
          <w:rFonts w:hint="eastAsia"/>
        </w:rPr>
      </w:sdtEndPr>
      <w:sdtContent>
        <w:p w14:paraId="044C92CA">
          <w:pPr>
            <w:pStyle w:val="181"/>
            <w:spacing w:before="850" w:after="680" w:line="240" w:lineRule="auto"/>
          </w:pPr>
          <w:bookmarkStart w:id="33" w:name="NEW_STAND_NAME"/>
          <w:r>
            <w:rPr>
              <w:rFonts w:hint="eastAsia"/>
            </w:rPr>
            <w:t>汽车可变气门正时系统用粉末冶金VVT限位块及转子总成技术规范</w:t>
          </w:r>
        </w:p>
      </w:sdtContent>
    </w:sdt>
    <w:bookmarkEnd w:id="33"/>
    <w:p w14:paraId="1B252E94">
      <w:pPr>
        <w:pStyle w:val="108"/>
      </w:pPr>
      <w:bookmarkStart w:id="34" w:name="_Toc31963"/>
      <w:bookmarkStart w:id="35" w:name="_Toc16952"/>
      <w:bookmarkStart w:id="36" w:name="_Toc150158767"/>
      <w:bookmarkStart w:id="37" w:name="_Toc8165"/>
      <w:bookmarkStart w:id="38" w:name="_Toc17233325"/>
      <w:bookmarkStart w:id="39" w:name="_Toc95920558"/>
      <w:bookmarkStart w:id="40" w:name="_Toc26986771"/>
      <w:bookmarkStart w:id="41" w:name="_Toc24884218"/>
      <w:bookmarkStart w:id="42" w:name="_Toc26648465"/>
      <w:bookmarkStart w:id="43" w:name="_Toc28437"/>
      <w:bookmarkStart w:id="44" w:name="_Toc95920575"/>
      <w:bookmarkStart w:id="45" w:name="_Toc26986530"/>
      <w:bookmarkStart w:id="46" w:name="_Toc26718930"/>
      <w:bookmarkStart w:id="47" w:name="_Toc3015"/>
      <w:bookmarkStart w:id="48" w:name="_Toc148612845"/>
      <w:bookmarkStart w:id="49" w:name="_Toc32303"/>
      <w:bookmarkStart w:id="50" w:name="_Toc2500"/>
      <w:bookmarkStart w:id="51" w:name="_Toc31759"/>
      <w:bookmarkStart w:id="52" w:name="_Toc150158740"/>
      <w:bookmarkStart w:id="53" w:name="_Toc95723355"/>
      <w:bookmarkStart w:id="54" w:name="_Toc17233333"/>
      <w:bookmarkStart w:id="55" w:name="_Toc24884211"/>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0C41A64">
      <w:pPr>
        <w:pStyle w:val="60"/>
        <w:ind w:firstLine="420"/>
        <w:rPr>
          <w:rFonts w:hint="eastAsia"/>
        </w:rPr>
      </w:pPr>
      <w:r>
        <w:rPr>
          <w:rFonts w:hint="eastAsia"/>
        </w:rPr>
        <w:t>本文件规定了汽车可变气门正时系统用粉末冶金VVT限位块及转子总成的产品分类、技术要求、试验方法、检验规则、标志、包装、运输和贮存。</w:t>
      </w:r>
    </w:p>
    <w:p w14:paraId="7EFB3324">
      <w:pPr>
        <w:pStyle w:val="60"/>
        <w:ind w:firstLine="420"/>
      </w:pPr>
      <w:r>
        <w:rPr>
          <w:rFonts w:hint="eastAsia"/>
        </w:rPr>
        <w:t>本文件适用于汽车发动机可变气门正时（VVT）系统中以粉末冶金工艺制造的限位块及转子总成（以下简称“限位块及转子总成”）。</w:t>
      </w:r>
    </w:p>
    <w:p w14:paraId="720FAAF1">
      <w:pPr>
        <w:pStyle w:val="108"/>
      </w:pPr>
      <w:bookmarkStart w:id="56" w:name="_Toc24884219"/>
      <w:bookmarkStart w:id="57" w:name="_Toc26718931"/>
      <w:bookmarkStart w:id="58" w:name="_Toc17768"/>
      <w:bookmarkStart w:id="59" w:name="_Toc95920559"/>
      <w:bookmarkStart w:id="60" w:name="_Toc17233326"/>
      <w:bookmarkStart w:id="61" w:name="_Toc26986531"/>
      <w:bookmarkStart w:id="62" w:name="_Toc95920576"/>
      <w:bookmarkStart w:id="63" w:name="_Toc150158741"/>
      <w:bookmarkStart w:id="64" w:name="_Toc3515"/>
      <w:bookmarkStart w:id="65" w:name="_Toc26986772"/>
      <w:bookmarkStart w:id="66" w:name="_Toc17233334"/>
      <w:bookmarkStart w:id="67" w:name="_Toc150158768"/>
      <w:bookmarkStart w:id="68" w:name="_Toc26648466"/>
      <w:bookmarkStart w:id="69" w:name="_Toc148612846"/>
      <w:bookmarkStart w:id="70" w:name="_Toc23549"/>
      <w:bookmarkStart w:id="71" w:name="_Toc7083"/>
      <w:bookmarkStart w:id="72" w:name="_Toc31578"/>
      <w:bookmarkStart w:id="73" w:name="_Toc24884212"/>
      <w:bookmarkStart w:id="74" w:name="_Toc12693"/>
      <w:bookmarkStart w:id="75" w:name="_Toc10750"/>
      <w:bookmarkStart w:id="76" w:name="_Toc95723356"/>
      <w:bookmarkStart w:id="77" w:name="_Toc221"/>
      <w:r>
        <w:rPr>
          <w:rFonts w:hint="eastAsia"/>
        </w:rPr>
        <w:t>规范性引用文件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2BC3D2E">
          <w:pPr>
            <w:pStyle w:val="60"/>
            <w:ind w:firstLine="420"/>
            <w:rPr>
              <w:rFonts w:hAnsi="宋体" w:cs="宋体"/>
              <w:szCs w:val="21"/>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78" w:name="_Toc95723357"/>
        </w:p>
      </w:sdtContent>
    </w:sdt>
    <w:p w14:paraId="107997F2">
      <w:pPr>
        <w:pStyle w:val="60"/>
        <w:ind w:firstLine="420"/>
        <w:jc w:val="left"/>
        <w:rPr>
          <w:rFonts w:hint="eastAsia" w:hAnsi="宋体" w:cs="宋体"/>
          <w:szCs w:val="21"/>
        </w:rPr>
      </w:pPr>
      <w:r>
        <w:rPr>
          <w:rFonts w:hint="eastAsia" w:hAnsi="宋体" w:cs="宋体"/>
          <w:szCs w:val="21"/>
        </w:rPr>
        <w:t>GB/T 191</w:t>
      </w:r>
      <w:r>
        <w:rPr>
          <w:rFonts w:hint="eastAsia" w:hAnsi="宋体" w:cs="宋体"/>
          <w:szCs w:val="21"/>
          <w:lang w:val="en-US" w:eastAsia="zh-CN"/>
        </w:rPr>
        <w:t xml:space="preserve">  </w:t>
      </w:r>
      <w:r>
        <w:rPr>
          <w:rFonts w:hint="eastAsia" w:hAnsi="宋体" w:cs="宋体"/>
          <w:szCs w:val="21"/>
        </w:rPr>
        <w:t>包装储运图形符号标志</w:t>
      </w:r>
    </w:p>
    <w:p w14:paraId="4F195509">
      <w:pPr>
        <w:pStyle w:val="60"/>
        <w:ind w:firstLine="420"/>
        <w:jc w:val="left"/>
        <w:rPr>
          <w:rFonts w:hint="eastAsia" w:hAnsi="宋体" w:cs="宋体"/>
          <w:szCs w:val="21"/>
        </w:rPr>
      </w:pPr>
      <w:r>
        <w:rPr>
          <w:rFonts w:hint="eastAsia" w:hAnsi="宋体" w:cs="宋体"/>
          <w:szCs w:val="21"/>
        </w:rPr>
        <w:t>GB/T 230.1</w:t>
      </w:r>
      <w:r>
        <w:rPr>
          <w:rFonts w:hint="eastAsia" w:hAnsi="宋体" w:cs="宋体"/>
          <w:szCs w:val="21"/>
          <w:lang w:val="en-US" w:eastAsia="zh-CN"/>
        </w:rPr>
        <w:t xml:space="preserve">  </w:t>
      </w:r>
      <w:r>
        <w:rPr>
          <w:rFonts w:hint="eastAsia" w:hAnsi="宋体" w:cs="宋体"/>
          <w:szCs w:val="21"/>
        </w:rPr>
        <w:t>金属材料 洛氏硬度试验 第1部分: 试验方法</w:t>
      </w:r>
    </w:p>
    <w:p w14:paraId="705FB9F8">
      <w:pPr>
        <w:pStyle w:val="60"/>
        <w:ind w:firstLine="420"/>
        <w:jc w:val="left"/>
        <w:rPr>
          <w:rFonts w:hint="eastAsia" w:hAnsi="宋体" w:cs="宋体"/>
          <w:szCs w:val="21"/>
        </w:rPr>
      </w:pPr>
      <w:r>
        <w:rPr>
          <w:rFonts w:hint="eastAsia" w:hAnsi="宋体" w:cs="宋体"/>
          <w:szCs w:val="21"/>
        </w:rPr>
        <w:t>GB/T 1479.1</w:t>
      </w:r>
      <w:r>
        <w:rPr>
          <w:rFonts w:hint="eastAsia" w:hAnsi="宋体" w:cs="宋体"/>
          <w:szCs w:val="21"/>
          <w:lang w:val="en-US" w:eastAsia="zh-CN"/>
        </w:rPr>
        <w:t xml:space="preserve">  </w:t>
      </w:r>
      <w:r>
        <w:rPr>
          <w:rFonts w:hint="eastAsia" w:hAnsi="宋体" w:cs="宋体"/>
          <w:szCs w:val="21"/>
        </w:rPr>
        <w:t>金属粉末 松装密度的测定 第1部分：漏斗法</w:t>
      </w:r>
    </w:p>
    <w:p w14:paraId="65EC6908">
      <w:pPr>
        <w:pStyle w:val="60"/>
        <w:ind w:firstLine="420"/>
        <w:jc w:val="left"/>
        <w:rPr>
          <w:rFonts w:hint="eastAsia" w:hAnsi="宋体" w:cs="宋体"/>
          <w:szCs w:val="21"/>
        </w:rPr>
      </w:pPr>
      <w:r>
        <w:rPr>
          <w:rFonts w:hint="eastAsia" w:hAnsi="宋体" w:cs="宋体"/>
          <w:szCs w:val="21"/>
        </w:rPr>
        <w:t>GB/T 1800.1</w:t>
      </w:r>
      <w:r>
        <w:rPr>
          <w:rFonts w:hint="eastAsia" w:hAnsi="宋体" w:cs="宋体"/>
          <w:szCs w:val="21"/>
          <w:lang w:val="en-US" w:eastAsia="zh-CN"/>
        </w:rPr>
        <w:t xml:space="preserve">  </w:t>
      </w:r>
      <w:r>
        <w:rPr>
          <w:rFonts w:hint="eastAsia" w:hAnsi="宋体" w:cs="宋体"/>
          <w:szCs w:val="21"/>
        </w:rPr>
        <w:t>产品几何技术规范（GPS） 线性尺寸公差ISO代号体系 第1部分：公差、偏差和配合的基础</w:t>
      </w:r>
    </w:p>
    <w:p w14:paraId="1E6963B6">
      <w:pPr>
        <w:pStyle w:val="60"/>
        <w:ind w:firstLine="420"/>
        <w:jc w:val="left"/>
        <w:rPr>
          <w:rFonts w:hint="eastAsia" w:hAnsi="宋体" w:cs="宋体"/>
          <w:szCs w:val="21"/>
        </w:rPr>
      </w:pPr>
      <w:r>
        <w:rPr>
          <w:rFonts w:hint="eastAsia" w:hAnsi="宋体" w:cs="宋体"/>
          <w:szCs w:val="21"/>
        </w:rPr>
        <w:t>GB/T 1804</w:t>
      </w:r>
      <w:r>
        <w:rPr>
          <w:rFonts w:hint="eastAsia" w:hAnsi="宋体" w:cs="宋体"/>
          <w:szCs w:val="21"/>
          <w:lang w:val="en-US" w:eastAsia="zh-CN"/>
        </w:rPr>
        <w:t xml:space="preserve">  </w:t>
      </w:r>
      <w:r>
        <w:rPr>
          <w:rFonts w:hint="eastAsia" w:hAnsi="宋体" w:cs="宋体"/>
          <w:szCs w:val="21"/>
        </w:rPr>
        <w:t>一般公差 未注公差的线性和角度尺寸的公差</w:t>
      </w:r>
    </w:p>
    <w:p w14:paraId="27CF7F47">
      <w:pPr>
        <w:pStyle w:val="60"/>
        <w:ind w:firstLine="420"/>
        <w:jc w:val="left"/>
        <w:rPr>
          <w:rFonts w:hint="eastAsia" w:hAnsi="宋体" w:cs="宋体"/>
          <w:szCs w:val="21"/>
        </w:rPr>
      </w:pPr>
      <w:r>
        <w:rPr>
          <w:rFonts w:hint="eastAsia" w:hAnsi="宋体" w:cs="宋体"/>
          <w:szCs w:val="21"/>
        </w:rPr>
        <w:t>GB/T 1958</w:t>
      </w:r>
      <w:r>
        <w:rPr>
          <w:rFonts w:hint="eastAsia" w:hAnsi="宋体" w:cs="宋体"/>
          <w:szCs w:val="21"/>
          <w:lang w:val="en-US" w:eastAsia="zh-CN"/>
        </w:rPr>
        <w:t xml:space="preserve">  </w:t>
      </w:r>
      <w:r>
        <w:rPr>
          <w:rFonts w:hint="eastAsia" w:hAnsi="宋体" w:cs="宋体"/>
          <w:szCs w:val="21"/>
        </w:rPr>
        <w:t>产品几何技术规范（GPS） 几何公差 检测与验证</w:t>
      </w:r>
    </w:p>
    <w:p w14:paraId="4D04CD5D">
      <w:pPr>
        <w:pStyle w:val="60"/>
        <w:ind w:firstLine="420"/>
        <w:jc w:val="left"/>
        <w:rPr>
          <w:rFonts w:hint="eastAsia" w:hAnsi="宋体" w:cs="宋体"/>
          <w:szCs w:val="21"/>
        </w:rPr>
      </w:pPr>
      <w:r>
        <w:rPr>
          <w:rFonts w:hint="eastAsia" w:hAnsi="宋体" w:cs="宋体"/>
          <w:szCs w:val="21"/>
        </w:rPr>
        <w:t>GB/T 2829</w:t>
      </w:r>
      <w:r>
        <w:rPr>
          <w:rFonts w:hint="eastAsia" w:hAnsi="宋体" w:cs="宋体"/>
          <w:szCs w:val="21"/>
          <w:lang w:val="en-US" w:eastAsia="zh-CN"/>
        </w:rPr>
        <w:t xml:space="preserve">  </w:t>
      </w:r>
      <w:r>
        <w:rPr>
          <w:rFonts w:hint="eastAsia" w:hAnsi="宋体" w:cs="宋体"/>
          <w:szCs w:val="21"/>
        </w:rPr>
        <w:t>周期检验计数抽样程序及表（适用于对过程稳定性的检验）</w:t>
      </w:r>
    </w:p>
    <w:p w14:paraId="2CAA900C">
      <w:pPr>
        <w:pStyle w:val="60"/>
        <w:ind w:firstLine="420"/>
        <w:jc w:val="left"/>
        <w:rPr>
          <w:rFonts w:hint="eastAsia" w:hAnsi="宋体" w:cs="宋体"/>
          <w:szCs w:val="21"/>
        </w:rPr>
      </w:pPr>
      <w:r>
        <w:rPr>
          <w:rFonts w:hint="eastAsia" w:hAnsi="宋体" w:cs="宋体"/>
          <w:szCs w:val="21"/>
        </w:rPr>
        <w:t>GB/T 5161</w:t>
      </w:r>
      <w:r>
        <w:rPr>
          <w:rFonts w:hint="eastAsia" w:hAnsi="宋体" w:cs="宋体"/>
          <w:szCs w:val="21"/>
          <w:lang w:val="en-US" w:eastAsia="zh-CN"/>
        </w:rPr>
        <w:t xml:space="preserve">  </w:t>
      </w:r>
      <w:r>
        <w:rPr>
          <w:rFonts w:hint="eastAsia" w:hAnsi="宋体" w:cs="宋体"/>
          <w:szCs w:val="21"/>
        </w:rPr>
        <w:t>金属粉末 有效密度的测定 液体浸透法</w:t>
      </w:r>
    </w:p>
    <w:p w14:paraId="2A394CBD">
      <w:pPr>
        <w:pStyle w:val="60"/>
        <w:ind w:firstLine="420"/>
        <w:jc w:val="left"/>
        <w:rPr>
          <w:rFonts w:hint="eastAsia" w:hAnsi="宋体" w:cs="宋体"/>
          <w:szCs w:val="21"/>
        </w:rPr>
      </w:pPr>
      <w:r>
        <w:rPr>
          <w:rFonts w:hint="eastAsia" w:hAnsi="宋体" w:cs="宋体"/>
          <w:szCs w:val="21"/>
        </w:rPr>
        <w:t>GB/T 5162</w:t>
      </w:r>
      <w:r>
        <w:rPr>
          <w:rFonts w:hint="eastAsia" w:hAnsi="宋体" w:cs="宋体"/>
          <w:szCs w:val="21"/>
          <w:lang w:val="en-US" w:eastAsia="zh-CN"/>
        </w:rPr>
        <w:t xml:space="preserve">  </w:t>
      </w:r>
      <w:r>
        <w:rPr>
          <w:rFonts w:hint="eastAsia" w:hAnsi="宋体" w:cs="宋体"/>
          <w:szCs w:val="21"/>
        </w:rPr>
        <w:t>金属粉末 振实密度的测定</w:t>
      </w:r>
    </w:p>
    <w:p w14:paraId="7976D5EE">
      <w:pPr>
        <w:pStyle w:val="60"/>
        <w:ind w:firstLine="420"/>
        <w:jc w:val="left"/>
        <w:rPr>
          <w:rFonts w:hint="eastAsia" w:hAnsi="宋体" w:cs="宋体"/>
          <w:szCs w:val="21"/>
        </w:rPr>
      </w:pPr>
      <w:r>
        <w:rPr>
          <w:rFonts w:hint="eastAsia" w:hAnsi="宋体" w:cs="宋体"/>
          <w:szCs w:val="21"/>
        </w:rPr>
        <w:t>GB/T 5319</w:t>
      </w:r>
      <w:r>
        <w:rPr>
          <w:rFonts w:hint="eastAsia" w:hAnsi="宋体" w:cs="宋体"/>
          <w:szCs w:val="21"/>
          <w:lang w:val="en-US" w:eastAsia="zh-CN"/>
        </w:rPr>
        <w:t xml:space="preserve">  </w:t>
      </w:r>
      <w:r>
        <w:rPr>
          <w:rFonts w:hint="eastAsia" w:hAnsi="宋体" w:cs="宋体"/>
          <w:szCs w:val="21"/>
        </w:rPr>
        <w:t>烧结金属材料（不包括硬质合金） 横向断裂强度的测定</w:t>
      </w:r>
    </w:p>
    <w:p w14:paraId="1C7DEF98">
      <w:pPr>
        <w:pStyle w:val="60"/>
        <w:ind w:firstLine="420"/>
        <w:jc w:val="left"/>
        <w:rPr>
          <w:rFonts w:hint="eastAsia" w:hAnsi="宋体" w:cs="宋体"/>
          <w:szCs w:val="21"/>
        </w:rPr>
      </w:pPr>
      <w:r>
        <w:rPr>
          <w:rFonts w:hint="eastAsia" w:hAnsi="宋体" w:cs="宋体"/>
          <w:szCs w:val="21"/>
        </w:rPr>
        <w:t>GB/T 7963</w:t>
      </w:r>
      <w:r>
        <w:rPr>
          <w:rFonts w:hint="eastAsia" w:hAnsi="宋体" w:cs="宋体"/>
          <w:szCs w:val="21"/>
          <w:lang w:val="en-US" w:eastAsia="zh-CN"/>
        </w:rPr>
        <w:t xml:space="preserve">  </w:t>
      </w:r>
      <w:r>
        <w:rPr>
          <w:rFonts w:hint="eastAsia" w:hAnsi="宋体" w:cs="宋体"/>
          <w:szCs w:val="21"/>
        </w:rPr>
        <w:t>烧结金属材料（不包括硬质合金） 拉伸试样</w:t>
      </w:r>
    </w:p>
    <w:p w14:paraId="6D66B1A2">
      <w:pPr>
        <w:pStyle w:val="60"/>
        <w:ind w:firstLine="420"/>
        <w:jc w:val="left"/>
        <w:rPr>
          <w:rFonts w:hint="eastAsia" w:hAnsi="宋体" w:cs="宋体"/>
          <w:szCs w:val="21"/>
        </w:rPr>
      </w:pPr>
      <w:r>
        <w:rPr>
          <w:rFonts w:hint="eastAsia" w:hAnsi="宋体" w:cs="宋体"/>
          <w:szCs w:val="21"/>
        </w:rPr>
        <w:t>GB/T 7964</w:t>
      </w:r>
      <w:r>
        <w:rPr>
          <w:rFonts w:hint="eastAsia" w:hAnsi="宋体" w:cs="宋体"/>
          <w:szCs w:val="21"/>
          <w:lang w:val="en-US" w:eastAsia="zh-CN"/>
        </w:rPr>
        <w:t xml:space="preserve">  </w:t>
      </w:r>
      <w:r>
        <w:rPr>
          <w:rFonts w:hint="eastAsia" w:hAnsi="宋体" w:cs="宋体"/>
          <w:szCs w:val="21"/>
        </w:rPr>
        <w:t>烧结金属材料（不包括硬质合金） 室温拉伸试验</w:t>
      </w:r>
    </w:p>
    <w:p w14:paraId="25DE9600">
      <w:pPr>
        <w:pStyle w:val="60"/>
        <w:ind w:firstLine="420"/>
        <w:jc w:val="left"/>
        <w:rPr>
          <w:rFonts w:hint="eastAsia" w:hAnsi="宋体" w:cs="宋体"/>
          <w:szCs w:val="21"/>
        </w:rPr>
      </w:pPr>
      <w:r>
        <w:rPr>
          <w:rFonts w:hint="eastAsia" w:hAnsi="宋体" w:cs="宋体"/>
          <w:szCs w:val="21"/>
        </w:rPr>
        <w:t>GB/T 9095</w:t>
      </w:r>
      <w:r>
        <w:rPr>
          <w:rFonts w:hint="eastAsia" w:hAnsi="宋体" w:cs="宋体"/>
          <w:szCs w:val="21"/>
          <w:lang w:val="en-US" w:eastAsia="zh-CN"/>
        </w:rPr>
        <w:t xml:space="preserve">  </w:t>
      </w:r>
      <w:r>
        <w:rPr>
          <w:rFonts w:hint="eastAsia" w:hAnsi="宋体" w:cs="宋体"/>
          <w:szCs w:val="21"/>
        </w:rPr>
        <w:t>烧结铁基材料渗碳或碳氮共渗层深度的测定及其验证</w:t>
      </w:r>
    </w:p>
    <w:p w14:paraId="3C4832D4">
      <w:pPr>
        <w:pStyle w:val="60"/>
        <w:ind w:firstLine="420"/>
        <w:jc w:val="left"/>
        <w:rPr>
          <w:rFonts w:hint="eastAsia" w:hAnsi="宋体" w:cs="宋体"/>
          <w:szCs w:val="21"/>
        </w:rPr>
      </w:pPr>
      <w:r>
        <w:rPr>
          <w:rFonts w:hint="eastAsia" w:hAnsi="宋体" w:cs="宋体"/>
          <w:szCs w:val="21"/>
        </w:rPr>
        <w:t>GB/T 9096</w:t>
      </w:r>
      <w:r>
        <w:rPr>
          <w:rFonts w:hint="eastAsia" w:hAnsi="宋体" w:cs="宋体"/>
          <w:szCs w:val="21"/>
          <w:lang w:val="en-US" w:eastAsia="zh-CN"/>
        </w:rPr>
        <w:t xml:space="preserve">  </w:t>
      </w:r>
      <w:r>
        <w:rPr>
          <w:rFonts w:hint="eastAsia" w:hAnsi="宋体" w:cs="宋体"/>
          <w:szCs w:val="21"/>
        </w:rPr>
        <w:t>烧结金属材料（不包括硬质合金） 夏比冲击试验方法</w:t>
      </w:r>
    </w:p>
    <w:p w14:paraId="1BC04F7A">
      <w:pPr>
        <w:pStyle w:val="60"/>
        <w:ind w:firstLine="420"/>
        <w:jc w:val="left"/>
        <w:rPr>
          <w:rFonts w:hint="eastAsia" w:hAnsi="宋体" w:cs="宋体"/>
          <w:szCs w:val="21"/>
        </w:rPr>
      </w:pPr>
      <w:r>
        <w:rPr>
          <w:rFonts w:hint="eastAsia" w:hAnsi="宋体" w:cs="宋体"/>
          <w:szCs w:val="21"/>
        </w:rPr>
        <w:t>GB/T 909</w:t>
      </w:r>
      <w:r>
        <w:rPr>
          <w:rFonts w:hint="eastAsia" w:hAnsi="宋体" w:cs="宋体"/>
          <w:szCs w:val="21"/>
          <w:lang w:val="en-US" w:eastAsia="zh-CN"/>
        </w:rPr>
        <w:t xml:space="preserve">7  </w:t>
      </w:r>
      <w:r>
        <w:rPr>
          <w:rFonts w:hint="eastAsia" w:hAnsi="宋体" w:cs="宋体"/>
          <w:szCs w:val="21"/>
        </w:rPr>
        <w:t>烧结金属材料（不包括硬质合金） 表观硬度和显微硬度的测定</w:t>
      </w:r>
    </w:p>
    <w:p w14:paraId="0C30B8AB">
      <w:pPr>
        <w:pStyle w:val="60"/>
        <w:ind w:firstLine="420"/>
        <w:jc w:val="left"/>
        <w:rPr>
          <w:rFonts w:hint="eastAsia" w:hAnsi="宋体" w:cs="宋体"/>
          <w:szCs w:val="21"/>
        </w:rPr>
      </w:pPr>
      <w:r>
        <w:rPr>
          <w:rFonts w:hint="eastAsia" w:hAnsi="宋体" w:cs="宋体"/>
          <w:szCs w:val="21"/>
        </w:rPr>
        <w:t>GB/T 12767</w:t>
      </w:r>
      <w:r>
        <w:rPr>
          <w:rFonts w:hint="eastAsia" w:hAnsi="宋体" w:cs="宋体"/>
          <w:szCs w:val="21"/>
          <w:lang w:val="en-US" w:eastAsia="zh-CN"/>
        </w:rPr>
        <w:t xml:space="preserve">  </w:t>
      </w:r>
      <w:r>
        <w:rPr>
          <w:rFonts w:hint="eastAsia" w:hAnsi="宋体" w:cs="宋体"/>
          <w:szCs w:val="21"/>
        </w:rPr>
        <w:t>粉末冶金制品 表面粗糙度 参数及其数值</w:t>
      </w:r>
    </w:p>
    <w:p w14:paraId="74F56451">
      <w:pPr>
        <w:pStyle w:val="60"/>
        <w:ind w:firstLine="420"/>
        <w:jc w:val="left"/>
        <w:rPr>
          <w:rFonts w:hint="eastAsia" w:hAnsi="宋体" w:cs="宋体"/>
          <w:szCs w:val="21"/>
        </w:rPr>
      </w:pPr>
      <w:r>
        <w:rPr>
          <w:rFonts w:hint="eastAsia" w:hAnsi="宋体" w:cs="宋体"/>
          <w:szCs w:val="21"/>
        </w:rPr>
        <w:t>GB/T 19743</w:t>
      </w:r>
      <w:r>
        <w:rPr>
          <w:rFonts w:hint="eastAsia" w:hAnsi="宋体" w:cs="宋体"/>
          <w:szCs w:val="21"/>
          <w:lang w:val="en-US" w:eastAsia="zh-CN"/>
        </w:rPr>
        <w:t xml:space="preserve">  </w:t>
      </w:r>
      <w:r>
        <w:rPr>
          <w:rFonts w:hint="eastAsia" w:hAnsi="宋体" w:cs="宋体"/>
          <w:szCs w:val="21"/>
        </w:rPr>
        <w:t>粉末冶金用水雾化纯铁粉、合金钢粉</w:t>
      </w:r>
      <w:bookmarkStart w:id="143" w:name="_GoBack"/>
      <w:bookmarkEnd w:id="143"/>
    </w:p>
    <w:p w14:paraId="33B04CE7">
      <w:pPr>
        <w:pStyle w:val="108"/>
      </w:pPr>
      <w:bookmarkStart w:id="79" w:name="_Toc522"/>
      <w:bookmarkStart w:id="80" w:name="_Toc18478"/>
      <w:bookmarkStart w:id="81" w:name="_Toc7797"/>
      <w:bookmarkStart w:id="82" w:name="_Toc12887"/>
      <w:bookmarkStart w:id="83" w:name="_Toc3185"/>
      <w:bookmarkStart w:id="84" w:name="_Toc20221"/>
      <w:bookmarkStart w:id="85" w:name="_Toc1462"/>
      <w:bookmarkStart w:id="86" w:name="_Toc27619"/>
      <w:r>
        <w:rPr>
          <w:rFonts w:hint="eastAsia"/>
        </w:rPr>
        <w:t>术语和定义</w:t>
      </w:r>
      <w:bookmarkEnd w:id="79"/>
      <w:bookmarkEnd w:id="80"/>
      <w:bookmarkEnd w:id="81"/>
      <w:bookmarkEnd w:id="82"/>
      <w:bookmarkEnd w:id="83"/>
      <w:bookmarkEnd w:id="84"/>
      <w:bookmarkEnd w:id="85"/>
      <w:bookmarkEnd w:id="86"/>
    </w:p>
    <w:p w14:paraId="156DE3C3">
      <w:pPr>
        <w:pStyle w:val="60"/>
        <w:ind w:firstLine="420"/>
      </w:pPr>
      <w:sdt>
        <w:sdtPr>
          <w:rPr>
            <w:rFonts w:hint="default" w:ascii="宋体" w:hAnsi="宋体" w:eastAsia="宋体" w:cs="宋体"/>
            <w:highlight w:val="none"/>
            <w:lang w:val="en-US"/>
          </w:rPr>
          <w:id w:val="-166712635"/>
          <w:placeholder>
            <w:docPart w:val="{17f91292-1dc5-46d1-8705-c70758c29d7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宋体" w:hAnsi="Times New Roman" w:eastAsia="宋体" w:cs="Times New Roman"/>
            <w:sz w:val="21"/>
            <w:highlight w:val="none"/>
            <w:lang w:val="en-US" w:eastAsia="zh-CN" w:bidi="ar-SA"/>
          </w:rPr>
        </w:sdtEndPr>
        <w:sdtContent>
          <w:r>
            <w:rPr>
              <w:rFonts w:hint="default" w:ascii="宋体" w:hAnsi="宋体" w:eastAsia="宋体" w:cs="宋体"/>
              <w:sz w:val="21"/>
              <w:highlight w:val="none"/>
              <w:lang w:val="en-US" w:eastAsia="zh-CN" w:bidi="ar-SA"/>
            </w:rPr>
            <w:t>下列术语和定义适用于本文件。</w:t>
          </w:r>
        </w:sdtContent>
      </w:sdt>
      <w:bookmarkStart w:id="87" w:name="_Toc22396"/>
      <w:bookmarkEnd w:id="87"/>
      <w:bookmarkStart w:id="88" w:name="_Toc12163"/>
      <w:bookmarkEnd w:id="88"/>
      <w:bookmarkStart w:id="89" w:name="_Toc11463"/>
      <w:bookmarkEnd w:id="89"/>
      <w:bookmarkStart w:id="90" w:name="_Toc9732"/>
      <w:bookmarkEnd w:id="90"/>
      <w:bookmarkStart w:id="91" w:name="_Toc23256"/>
      <w:bookmarkEnd w:id="91"/>
      <w:bookmarkStart w:id="92" w:name="_Toc12732"/>
      <w:bookmarkEnd w:id="92"/>
      <w:bookmarkStart w:id="93" w:name="_Toc27383"/>
      <w:bookmarkEnd w:id="93"/>
      <w:bookmarkStart w:id="94" w:name="_Toc30596"/>
      <w:bookmarkEnd w:id="94"/>
      <w:bookmarkStart w:id="95" w:name="_Toc14446"/>
      <w:bookmarkEnd w:id="95"/>
      <w:bookmarkStart w:id="96" w:name="_Toc28571"/>
      <w:bookmarkEnd w:id="96"/>
    </w:p>
    <w:p w14:paraId="45E3AC7F">
      <w:pPr>
        <w:pStyle w:val="109"/>
        <w:spacing w:after="120" w:afterLines="50"/>
        <w:ind w:left="0"/>
        <w:jc w:val="both"/>
        <w:rPr>
          <w:rFonts w:hint="eastAsia"/>
        </w:rPr>
      </w:pPr>
      <w:bookmarkStart w:id="97" w:name="_Toc18344"/>
      <w:bookmarkEnd w:id="97"/>
      <w:bookmarkStart w:id="98" w:name="_Toc8578"/>
      <w:bookmarkEnd w:id="98"/>
      <w:bookmarkStart w:id="99" w:name="_Toc32297"/>
      <w:bookmarkEnd w:id="99"/>
      <w:bookmarkStart w:id="100" w:name="_Toc24048"/>
    </w:p>
    <w:p w14:paraId="697F69FB">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1" w:name="_Toc73"/>
      <w:r>
        <w:rPr>
          <w:rFonts w:hint="eastAsia"/>
          <w:lang w:val="en-US" w:eastAsia="zh-CN"/>
        </w:rPr>
        <w:t>可变气门正时系统 variable valve timing system；VVT系统</w:t>
      </w:r>
      <w:bookmarkEnd w:id="101"/>
    </w:p>
    <w:p w14:paraId="2232F941">
      <w:pPr>
        <w:pStyle w:val="60"/>
        <w:rPr>
          <w:rFonts w:hint="eastAsia"/>
          <w:lang w:val="en-US" w:eastAsia="zh-CN"/>
        </w:rPr>
      </w:pPr>
      <w:r>
        <w:rPr>
          <w:rFonts w:hint="eastAsia"/>
          <w:lang w:val="en-US" w:eastAsia="zh-CN"/>
        </w:rPr>
        <w:t>通过调节发动机气门开启和关闭的时刻，以优化不同工况下发动机动力性、经济性和排放性能的系统。</w:t>
      </w:r>
    </w:p>
    <w:p w14:paraId="1395F9E3">
      <w:pPr>
        <w:pStyle w:val="109"/>
        <w:spacing w:after="120" w:afterLines="50"/>
        <w:ind w:left="0"/>
        <w:jc w:val="both"/>
        <w:rPr>
          <w:rFonts w:hint="eastAsia"/>
          <w:lang w:val="en-US" w:eastAsia="zh-CN"/>
        </w:rPr>
      </w:pPr>
      <w:bookmarkStart w:id="102" w:name="_Toc1496"/>
      <w:bookmarkEnd w:id="102"/>
    </w:p>
    <w:p w14:paraId="6733984E">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3" w:name="_Toc23364"/>
      <w:r>
        <w:rPr>
          <w:rFonts w:hint="eastAsia"/>
          <w:lang w:val="en-US" w:eastAsia="zh-CN"/>
        </w:rPr>
        <w:t>限位块 limiting block</w:t>
      </w:r>
      <w:bookmarkEnd w:id="103"/>
    </w:p>
    <w:p w14:paraId="3D8FD91D">
      <w:pPr>
        <w:pStyle w:val="60"/>
        <w:rPr>
          <w:rFonts w:hint="eastAsia"/>
          <w:lang w:val="en-US" w:eastAsia="zh-CN"/>
        </w:rPr>
      </w:pPr>
      <w:r>
        <w:rPr>
          <w:rFonts w:hint="eastAsia"/>
          <w:lang w:val="en-US" w:eastAsia="zh-CN"/>
        </w:rPr>
        <w:t>安装在VVT转子总成中，用于限制转子与定子相对转动角度范围的粉末冶金零件，起机械限位和缓冲作用。</w:t>
      </w:r>
    </w:p>
    <w:p w14:paraId="43BA47EF">
      <w:pPr>
        <w:pStyle w:val="109"/>
        <w:spacing w:after="120" w:afterLines="50"/>
        <w:ind w:left="0"/>
        <w:jc w:val="both"/>
        <w:rPr>
          <w:rFonts w:hint="eastAsia"/>
          <w:lang w:val="en-US" w:eastAsia="zh-CN"/>
        </w:rPr>
      </w:pPr>
      <w:bookmarkStart w:id="104" w:name="_Toc2917"/>
      <w:bookmarkEnd w:id="104"/>
    </w:p>
    <w:p w14:paraId="366947FA">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5" w:name="_Toc450"/>
      <w:r>
        <w:rPr>
          <w:rFonts w:hint="eastAsia"/>
          <w:lang w:val="en-US" w:eastAsia="zh-CN"/>
        </w:rPr>
        <w:t>转子 rotor</w:t>
      </w:r>
      <w:bookmarkEnd w:id="105"/>
    </w:p>
    <w:p w14:paraId="5B7AD115">
      <w:pPr>
        <w:pStyle w:val="60"/>
        <w:rPr>
          <w:rFonts w:hint="eastAsia"/>
          <w:lang w:val="en-US" w:eastAsia="zh-CN"/>
        </w:rPr>
      </w:pPr>
      <w:r>
        <w:rPr>
          <w:rFonts w:hint="eastAsia"/>
          <w:lang w:val="en-US" w:eastAsia="zh-CN"/>
        </w:rPr>
        <w:t>VVT系统中与凸轮轴相连接、在油压作用下相对于定子转动的粉末冶金核心部件，通过叶片分隔油腔实现相位调节。</w:t>
      </w:r>
    </w:p>
    <w:p w14:paraId="4CDA1E84">
      <w:pPr>
        <w:pStyle w:val="109"/>
        <w:spacing w:after="120" w:afterLines="50"/>
        <w:ind w:left="0"/>
        <w:jc w:val="both"/>
        <w:rPr>
          <w:rFonts w:hint="eastAsia"/>
          <w:lang w:val="en-US" w:eastAsia="zh-CN"/>
        </w:rPr>
      </w:pPr>
      <w:bookmarkStart w:id="106" w:name="_Toc667"/>
      <w:bookmarkEnd w:id="106"/>
    </w:p>
    <w:p w14:paraId="5AFE7F7E">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7" w:name="_Toc11186"/>
      <w:r>
        <w:rPr>
          <w:rFonts w:hint="eastAsia"/>
          <w:lang w:val="en-US" w:eastAsia="zh-CN"/>
        </w:rPr>
        <w:t>限位块及转子总成 limiting block and rotor assembly</w:t>
      </w:r>
      <w:bookmarkEnd w:id="107"/>
    </w:p>
    <w:p w14:paraId="083AA029">
      <w:pPr>
        <w:pStyle w:val="60"/>
        <w:rPr>
          <w:rFonts w:hint="eastAsia"/>
          <w:lang w:val="en-US" w:eastAsia="zh-CN"/>
        </w:rPr>
      </w:pPr>
      <w:r>
        <w:rPr>
          <w:rFonts w:hint="eastAsia"/>
          <w:lang w:val="en-US" w:eastAsia="zh-CN"/>
        </w:rPr>
        <w:t>由粉末冶金限位块与粉末冶金转子经装配（或一体成型）构成的组合部件，是VVT系统的核心执行元件。</w:t>
      </w:r>
    </w:p>
    <w:p w14:paraId="24321CFD">
      <w:pPr>
        <w:pStyle w:val="109"/>
        <w:spacing w:after="120" w:afterLines="50"/>
        <w:ind w:left="0"/>
        <w:jc w:val="both"/>
        <w:rPr>
          <w:rFonts w:hint="eastAsia"/>
          <w:lang w:val="en-US" w:eastAsia="zh-CN"/>
        </w:rPr>
      </w:pPr>
      <w:bookmarkStart w:id="108" w:name="_Toc26422"/>
      <w:bookmarkEnd w:id="108"/>
    </w:p>
    <w:p w14:paraId="721A317B">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9" w:name="_Toc9026"/>
      <w:r>
        <w:rPr>
          <w:rFonts w:hint="eastAsia"/>
          <w:lang w:val="en-US" w:eastAsia="zh-CN"/>
        </w:rPr>
        <w:t>烧结态 as-sintered</w:t>
      </w:r>
      <w:bookmarkEnd w:id="109"/>
    </w:p>
    <w:p w14:paraId="2F8D798B">
      <w:pPr>
        <w:pStyle w:val="60"/>
        <w:rPr>
          <w:rFonts w:hint="eastAsia"/>
          <w:lang w:val="en-US" w:eastAsia="zh-CN"/>
        </w:rPr>
      </w:pPr>
      <w:r>
        <w:rPr>
          <w:rFonts w:hint="eastAsia"/>
          <w:lang w:val="en-US" w:eastAsia="zh-CN"/>
        </w:rPr>
        <w:t>粉末冶金制品经压制和烧结后、未经任何后续热处理的最终状态。</w:t>
      </w:r>
    </w:p>
    <w:p w14:paraId="1C59A80F">
      <w:pPr>
        <w:pStyle w:val="108"/>
        <w:rPr>
          <w:rFonts w:hint="eastAsia"/>
          <w:lang w:val="en-US" w:eastAsia="zh-CN"/>
        </w:rPr>
      </w:pPr>
      <w:bookmarkStart w:id="110" w:name="_Toc10884"/>
      <w:r>
        <w:rPr>
          <w:rFonts w:hint="eastAsia"/>
          <w:lang w:val="en-US" w:eastAsia="zh-CN"/>
        </w:rPr>
        <w:t>产品分类</w:t>
      </w:r>
      <w:bookmarkEnd w:id="110"/>
    </w:p>
    <w:p w14:paraId="0CFA7EF9">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11" w:name="_Toc3319"/>
      <w:r>
        <w:rPr>
          <w:rFonts w:hint="eastAsia"/>
          <w:strike w:val="0"/>
          <w:dstrike w:val="0"/>
          <w:highlight w:val="none"/>
          <w:lang w:val="en-US" w:eastAsia="zh-CN"/>
        </w:rPr>
        <w:t>按结构型式分类</w:t>
      </w:r>
      <w:bookmarkEnd w:id="111"/>
    </w:p>
    <w:p w14:paraId="271FC7D1">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限位块及转子总成按结构型式分为以下两类：</w:t>
      </w:r>
    </w:p>
    <w:p w14:paraId="32163E4A">
      <w:pPr>
        <w:pStyle w:val="178"/>
        <w:numPr>
          <w:ilvl w:val="0"/>
          <w:numId w:val="38"/>
        </w:numPr>
        <w:bidi w:val="0"/>
        <w:rPr>
          <w:rFonts w:hint="eastAsia" w:ascii="宋体" w:hAnsi="宋体" w:eastAsia="宋体" w:cs="宋体"/>
          <w:b w:val="0"/>
          <w:bCs w:val="0"/>
          <w:sz w:val="21"/>
          <w:szCs w:val="21"/>
          <w:lang w:val="en-US" w:eastAsia="zh-CN"/>
        </w:rPr>
      </w:pPr>
      <w:r>
        <w:rPr>
          <w:rFonts w:hint="eastAsia" w:ascii="宋体" w:hAnsi="Times New Roman" w:eastAsia="宋体" w:cs="Times New Roman"/>
          <w:sz w:val="21"/>
          <w:lang w:val="en-US" w:eastAsia="zh-CN" w:bidi="ar-SA"/>
        </w:rPr>
        <w:t>分体式总成：限位块与转子分别独立制造，通过机械装配方式组合；</w:t>
      </w:r>
    </w:p>
    <w:p w14:paraId="0A0E828D">
      <w:pPr>
        <w:pStyle w:val="178"/>
        <w:numPr>
          <w:ilvl w:val="0"/>
          <w:numId w:val="38"/>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一体式总成：限位块与转子通过粉末冶金工艺一次性成型为一个整体部件。</w:t>
      </w:r>
    </w:p>
    <w:p w14:paraId="5B1888C4">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12" w:name="_Toc15782"/>
      <w:r>
        <w:rPr>
          <w:rFonts w:hint="eastAsia"/>
          <w:strike w:val="0"/>
          <w:dstrike w:val="0"/>
          <w:highlight w:val="none"/>
          <w:lang w:val="en-US" w:eastAsia="zh-CN"/>
        </w:rPr>
        <w:t>按转子叶片数分类</w:t>
      </w:r>
      <w:bookmarkEnd w:id="112"/>
    </w:p>
    <w:p w14:paraId="1E96D5C2">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按转子叶片数量分为：</w:t>
      </w:r>
    </w:p>
    <w:p w14:paraId="33DDAE9F">
      <w:pPr>
        <w:pStyle w:val="178"/>
        <w:numPr>
          <w:ilvl w:val="0"/>
          <w:numId w:val="39"/>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三叶片式：均布3个叶片；</w:t>
      </w:r>
    </w:p>
    <w:p w14:paraId="329A9213">
      <w:pPr>
        <w:pStyle w:val="178"/>
        <w:numPr>
          <w:ilvl w:val="0"/>
          <w:numId w:val="39"/>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四叶片式：均布4个叶片；</w:t>
      </w:r>
    </w:p>
    <w:p w14:paraId="49C175A0">
      <w:pPr>
        <w:pStyle w:val="178"/>
        <w:numPr>
          <w:ilvl w:val="0"/>
          <w:numId w:val="39"/>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五叶片式：均布5个叶片。</w:t>
      </w:r>
    </w:p>
    <w:p w14:paraId="294631D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13" w:name="_Toc8564"/>
      <w:r>
        <w:rPr>
          <w:rFonts w:hint="eastAsia"/>
          <w:strike w:val="0"/>
          <w:dstrike w:val="0"/>
          <w:highlight w:val="none"/>
          <w:lang w:val="en-US" w:eastAsia="zh-CN"/>
        </w:rPr>
        <w:t>按工作介质分类</w:t>
      </w:r>
      <w:bookmarkEnd w:id="113"/>
    </w:p>
    <w:p w14:paraId="2CDB9533">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按</w:t>
      </w:r>
      <w:r>
        <w:rPr>
          <w:rFonts w:hint="eastAsia" w:hAnsi="宋体" w:cs="宋体"/>
          <w:b w:val="0"/>
          <w:bCs w:val="0"/>
          <w:sz w:val="21"/>
          <w:szCs w:val="21"/>
          <w:lang w:val="en-US" w:eastAsia="zh-CN"/>
        </w:rPr>
        <w:t>工作介质</w:t>
      </w:r>
      <w:r>
        <w:rPr>
          <w:rFonts w:hint="eastAsia" w:ascii="宋体" w:hAnsi="宋体" w:eastAsia="宋体" w:cs="宋体"/>
          <w:b w:val="0"/>
          <w:bCs w:val="0"/>
          <w:sz w:val="21"/>
          <w:szCs w:val="21"/>
          <w:lang w:val="en-US" w:eastAsia="zh-CN"/>
        </w:rPr>
        <w:t>分为：</w:t>
      </w:r>
    </w:p>
    <w:p w14:paraId="33055808">
      <w:pPr>
        <w:pStyle w:val="178"/>
        <w:numPr>
          <w:ilvl w:val="0"/>
          <w:numId w:val="40"/>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液压式：以发动机机油为工作介质，通过油压驱动转子转动；</w:t>
      </w:r>
    </w:p>
    <w:p w14:paraId="52EC0393">
      <w:pPr>
        <w:pStyle w:val="178"/>
        <w:numPr>
          <w:ilvl w:val="0"/>
          <w:numId w:val="40"/>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电动式：以电动机为驱动源，通过电信号控制转子转动。</w:t>
      </w:r>
    </w:p>
    <w:p w14:paraId="43CCD71E">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14" w:name="_Toc23207"/>
      <w:r>
        <w:rPr>
          <w:rFonts w:hint="eastAsia"/>
          <w:strike w:val="0"/>
          <w:dstrike w:val="0"/>
          <w:highlight w:val="none"/>
          <w:lang w:val="en-US" w:eastAsia="zh-CN"/>
        </w:rPr>
        <w:t>型号表示方法</w:t>
      </w:r>
      <w:bookmarkEnd w:id="114"/>
    </w:p>
    <w:p w14:paraId="0CBFD393">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限位块及转子总成的型号由以下部分组成：</w:t>
      </w:r>
    </w:p>
    <w:p w14:paraId="3D4D1BAA">
      <w:pPr>
        <w:pStyle w:val="60"/>
        <w:spacing w:line="240" w:lineRule="auto"/>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VVT-LR-□-□-□</w:t>
      </w:r>
    </w:p>
    <w:p w14:paraId="6B2CC4B3">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其中：</w:t>
      </w:r>
    </w:p>
    <w:p w14:paraId="72322E88">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VVT-LR——限位块及转子总成代号；</w:t>
      </w:r>
    </w:p>
    <w:p w14:paraId="3E2237D8">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第一位□——结构型式（F—分体式，Y—一体式）；</w:t>
      </w:r>
    </w:p>
    <w:p w14:paraId="1CAC5611">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第二位□——叶片数（3、4、5）；</w:t>
      </w:r>
    </w:p>
    <w:p w14:paraId="35939CCB">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第三位□——工作介质（H—液压式，E—电动式）。</w:t>
      </w:r>
    </w:p>
    <w:p w14:paraId="0615913E">
      <w:pPr>
        <w:pStyle w:val="60"/>
        <w:spacing w:line="240" w:lineRule="auto"/>
        <w:rPr>
          <w:rFonts w:hint="eastAsia" w:ascii="宋体" w:hAnsi="宋体" w:eastAsia="宋体" w:cs="宋体"/>
          <w:b w:val="0"/>
          <w:bCs w:val="0"/>
          <w:sz w:val="18"/>
          <w:szCs w:val="18"/>
          <w:lang w:val="en-US" w:eastAsia="zh-CN"/>
        </w:rPr>
      </w:pPr>
      <w:r>
        <w:rPr>
          <w:rFonts w:hint="eastAsia" w:ascii="黑体" w:hAnsi="黑体" w:eastAsia="黑体" w:cs="黑体"/>
          <w:b w:val="0"/>
          <w:bCs w:val="0"/>
          <w:sz w:val="18"/>
          <w:szCs w:val="18"/>
          <w:lang w:val="en-US" w:eastAsia="zh-CN"/>
        </w:rPr>
        <w:t>示例：</w:t>
      </w:r>
      <w:r>
        <w:rPr>
          <w:rFonts w:hint="eastAsia" w:ascii="宋体" w:hAnsi="宋体" w:eastAsia="宋体" w:cs="宋体"/>
          <w:b w:val="0"/>
          <w:bCs w:val="0"/>
          <w:sz w:val="18"/>
          <w:szCs w:val="18"/>
          <w:lang w:val="en-US" w:eastAsia="zh-CN"/>
        </w:rPr>
        <w:t>VVT-LR-Y-5-H 表示一体式五叶片液压式限位块及转子总成。</w:t>
      </w:r>
    </w:p>
    <w:p w14:paraId="5C281CA8">
      <w:pPr>
        <w:pStyle w:val="108"/>
        <w:rPr>
          <w:rFonts w:hint="eastAsia"/>
          <w:lang w:val="en-US" w:eastAsia="zh-CN"/>
        </w:rPr>
      </w:pPr>
      <w:bookmarkStart w:id="115" w:name="_Toc28328"/>
      <w:r>
        <w:rPr>
          <w:rFonts w:hint="eastAsia"/>
          <w:lang w:val="en-US" w:eastAsia="zh-CN"/>
        </w:rPr>
        <w:t>技术要求</w:t>
      </w:r>
      <w:bookmarkEnd w:id="115"/>
    </w:p>
    <w:p w14:paraId="7A2C59FE">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16" w:name="_Toc27526"/>
      <w:r>
        <w:rPr>
          <w:rFonts w:hint="eastAsia"/>
          <w:strike w:val="0"/>
          <w:dstrike w:val="0"/>
          <w:highlight w:val="none"/>
          <w:lang w:val="en-US" w:eastAsia="zh-CN"/>
        </w:rPr>
        <w:t>一般要求</w:t>
      </w:r>
      <w:bookmarkEnd w:id="116"/>
    </w:p>
    <w:p w14:paraId="7463B8FB">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限位块及转子总成应按规定程序批准的图样及技术文件制造。</w:t>
      </w:r>
    </w:p>
    <w:p w14:paraId="1F5CD53B">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所用粉末冶金原材料应符合GB/T 19743的规定。</w:t>
      </w:r>
    </w:p>
    <w:p w14:paraId="507642FF">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粉末冶金制品的表面粗糙度应符合GB/T 12767的规定。</w:t>
      </w:r>
    </w:p>
    <w:p w14:paraId="1EDEEF6E">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17" w:name="_Toc9018"/>
      <w:r>
        <w:rPr>
          <w:rFonts w:hint="eastAsia"/>
          <w:strike w:val="0"/>
          <w:dstrike w:val="0"/>
          <w:highlight w:val="none"/>
          <w:lang w:val="en-US" w:eastAsia="zh-CN"/>
        </w:rPr>
        <w:t>材料要求</w:t>
      </w:r>
      <w:bookmarkEnd w:id="117"/>
    </w:p>
    <w:p w14:paraId="3F891E30">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限位块及转子总成应采用铁基粉末冶金材料制造，材料牌号及化学成分应符合表1的规定。</w:t>
      </w:r>
    </w:p>
    <w:p w14:paraId="65BD3FDF">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表1 材料牌号及化学成分</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071"/>
        <w:gridCol w:w="1600"/>
        <w:gridCol w:w="1732"/>
        <w:gridCol w:w="1732"/>
        <w:gridCol w:w="1732"/>
        <w:gridCol w:w="1204"/>
      </w:tblGrid>
      <w:tr w14:paraId="0B55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0852C210">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材料牌号</w:t>
            </w:r>
          </w:p>
        </w:tc>
        <w:tc>
          <w:tcPr>
            <w:tcW w:w="0" w:type="auto"/>
            <w:shd w:val="clear" w:color="auto" w:fill="auto"/>
            <w:vAlign w:val="center"/>
          </w:tcPr>
          <w:p w14:paraId="371B4F25">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碳含量（C）%</w:t>
            </w:r>
          </w:p>
        </w:tc>
        <w:tc>
          <w:tcPr>
            <w:tcW w:w="0" w:type="auto"/>
            <w:shd w:val="clear" w:color="auto" w:fill="auto"/>
            <w:vAlign w:val="center"/>
          </w:tcPr>
          <w:p w14:paraId="1DD199EC">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铜含量（Cu）%</w:t>
            </w:r>
          </w:p>
        </w:tc>
        <w:tc>
          <w:tcPr>
            <w:tcW w:w="0" w:type="auto"/>
            <w:shd w:val="clear" w:color="auto" w:fill="auto"/>
            <w:vAlign w:val="center"/>
          </w:tcPr>
          <w:p w14:paraId="6057D909">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钼含量（Mo）%</w:t>
            </w:r>
          </w:p>
        </w:tc>
        <w:tc>
          <w:tcPr>
            <w:tcW w:w="0" w:type="auto"/>
            <w:shd w:val="clear" w:color="auto" w:fill="auto"/>
            <w:vAlign w:val="center"/>
          </w:tcPr>
          <w:p w14:paraId="644F901A">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其他合金元素%</w:t>
            </w:r>
          </w:p>
        </w:tc>
        <w:tc>
          <w:tcPr>
            <w:tcW w:w="0" w:type="auto"/>
            <w:shd w:val="clear" w:color="auto" w:fill="auto"/>
            <w:vAlign w:val="center"/>
          </w:tcPr>
          <w:p w14:paraId="7A5B570B">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铁（Fe）%</w:t>
            </w:r>
          </w:p>
        </w:tc>
      </w:tr>
      <w:tr w14:paraId="4F94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4580B138">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F-02C</w:t>
            </w:r>
          </w:p>
        </w:tc>
        <w:tc>
          <w:tcPr>
            <w:tcW w:w="0" w:type="auto"/>
            <w:shd w:val="clear" w:color="auto" w:fill="auto"/>
            <w:vAlign w:val="center"/>
          </w:tcPr>
          <w:p w14:paraId="3BBE4449">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0.2～0.5</w:t>
            </w:r>
          </w:p>
        </w:tc>
        <w:tc>
          <w:tcPr>
            <w:tcW w:w="0" w:type="auto"/>
            <w:shd w:val="clear" w:color="auto" w:fill="auto"/>
            <w:vAlign w:val="center"/>
          </w:tcPr>
          <w:p w14:paraId="43D141DB">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w:t>
            </w:r>
          </w:p>
        </w:tc>
        <w:tc>
          <w:tcPr>
            <w:tcW w:w="0" w:type="auto"/>
            <w:shd w:val="clear" w:color="auto" w:fill="auto"/>
            <w:vAlign w:val="center"/>
          </w:tcPr>
          <w:p w14:paraId="54B87C1F">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w:t>
            </w:r>
          </w:p>
        </w:tc>
        <w:tc>
          <w:tcPr>
            <w:tcW w:w="0" w:type="auto"/>
            <w:shd w:val="clear" w:color="auto" w:fill="auto"/>
            <w:vAlign w:val="center"/>
          </w:tcPr>
          <w:p w14:paraId="3AB462D0">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w:t>
            </w:r>
          </w:p>
        </w:tc>
        <w:tc>
          <w:tcPr>
            <w:tcW w:w="0" w:type="auto"/>
            <w:shd w:val="clear" w:color="auto" w:fill="auto"/>
            <w:vAlign w:val="center"/>
          </w:tcPr>
          <w:p w14:paraId="14875CB7">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余量</w:t>
            </w:r>
          </w:p>
        </w:tc>
      </w:tr>
      <w:tr w14:paraId="39F5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3E0D8777">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F-05Cu</w:t>
            </w:r>
          </w:p>
        </w:tc>
        <w:tc>
          <w:tcPr>
            <w:tcW w:w="0" w:type="auto"/>
            <w:shd w:val="clear" w:color="auto" w:fill="auto"/>
            <w:vAlign w:val="center"/>
          </w:tcPr>
          <w:p w14:paraId="186D7940">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0.3～0.6</w:t>
            </w:r>
          </w:p>
        </w:tc>
        <w:tc>
          <w:tcPr>
            <w:tcW w:w="0" w:type="auto"/>
            <w:shd w:val="clear" w:color="auto" w:fill="auto"/>
            <w:vAlign w:val="center"/>
          </w:tcPr>
          <w:p w14:paraId="20955325">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1.0～3.0</w:t>
            </w:r>
          </w:p>
        </w:tc>
        <w:tc>
          <w:tcPr>
            <w:tcW w:w="0" w:type="auto"/>
            <w:shd w:val="clear" w:color="auto" w:fill="auto"/>
            <w:vAlign w:val="center"/>
          </w:tcPr>
          <w:p w14:paraId="1BC22640">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w:t>
            </w:r>
          </w:p>
        </w:tc>
        <w:tc>
          <w:tcPr>
            <w:tcW w:w="0" w:type="auto"/>
            <w:shd w:val="clear" w:color="auto" w:fill="auto"/>
            <w:vAlign w:val="center"/>
          </w:tcPr>
          <w:p w14:paraId="5D041903">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≤0.5</w:t>
            </w:r>
          </w:p>
        </w:tc>
        <w:tc>
          <w:tcPr>
            <w:tcW w:w="0" w:type="auto"/>
            <w:shd w:val="clear" w:color="auto" w:fill="auto"/>
            <w:vAlign w:val="center"/>
          </w:tcPr>
          <w:p w14:paraId="6C5962E1">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余量</w:t>
            </w:r>
          </w:p>
        </w:tc>
      </w:tr>
      <w:tr w14:paraId="6EF2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553CA810">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F-07CuMo</w:t>
            </w:r>
          </w:p>
        </w:tc>
        <w:tc>
          <w:tcPr>
            <w:tcW w:w="0" w:type="auto"/>
            <w:shd w:val="clear" w:color="auto" w:fill="auto"/>
            <w:vAlign w:val="center"/>
          </w:tcPr>
          <w:p w14:paraId="6A2E9040">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0.5～0.8</w:t>
            </w:r>
          </w:p>
        </w:tc>
        <w:tc>
          <w:tcPr>
            <w:tcW w:w="0" w:type="auto"/>
            <w:shd w:val="clear" w:color="auto" w:fill="auto"/>
            <w:vAlign w:val="center"/>
          </w:tcPr>
          <w:p w14:paraId="01FCCE38">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1.5～2.5</w:t>
            </w:r>
          </w:p>
        </w:tc>
        <w:tc>
          <w:tcPr>
            <w:tcW w:w="0" w:type="auto"/>
            <w:shd w:val="clear" w:color="auto" w:fill="auto"/>
            <w:vAlign w:val="center"/>
          </w:tcPr>
          <w:p w14:paraId="28C8E308">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0.3～0.8</w:t>
            </w:r>
          </w:p>
        </w:tc>
        <w:tc>
          <w:tcPr>
            <w:tcW w:w="0" w:type="auto"/>
            <w:shd w:val="clear" w:color="auto" w:fill="auto"/>
            <w:vAlign w:val="center"/>
          </w:tcPr>
          <w:p w14:paraId="4F49994B">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≤0.5</w:t>
            </w:r>
          </w:p>
        </w:tc>
        <w:tc>
          <w:tcPr>
            <w:tcW w:w="0" w:type="auto"/>
            <w:shd w:val="clear" w:color="auto" w:fill="auto"/>
            <w:vAlign w:val="center"/>
          </w:tcPr>
          <w:p w14:paraId="6254DEE3">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余量</w:t>
            </w:r>
          </w:p>
        </w:tc>
      </w:tr>
    </w:tbl>
    <w:p w14:paraId="324E3DB2">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粉末原料的粒度组成应符合表2的规定。</w:t>
      </w:r>
    </w:p>
    <w:p w14:paraId="09C84789">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表2 粉末原料粒度组成</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163"/>
        <w:gridCol w:w="4210"/>
        <w:gridCol w:w="1698"/>
      </w:tblGrid>
      <w:tr w14:paraId="10F9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43CE3116">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粒度规格</w:t>
            </w:r>
          </w:p>
        </w:tc>
        <w:tc>
          <w:tcPr>
            <w:tcW w:w="0" w:type="auto"/>
            <w:shd w:val="clear" w:color="auto" w:fill="auto"/>
            <w:vAlign w:val="center"/>
          </w:tcPr>
          <w:p w14:paraId="55924E0B">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粒度组成（质量分数）</w:t>
            </w:r>
          </w:p>
        </w:tc>
        <w:tc>
          <w:tcPr>
            <w:tcW w:w="0" w:type="auto"/>
            <w:shd w:val="clear" w:color="auto" w:fill="auto"/>
            <w:vAlign w:val="center"/>
          </w:tcPr>
          <w:p w14:paraId="4DBD5631">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推荐应用</w:t>
            </w:r>
          </w:p>
        </w:tc>
      </w:tr>
      <w:tr w14:paraId="7867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0" w:type="auto"/>
            <w:shd w:val="clear" w:color="auto" w:fill="auto"/>
            <w:vAlign w:val="center"/>
          </w:tcPr>
          <w:p w14:paraId="6410E150">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-100目</w:t>
            </w:r>
          </w:p>
        </w:tc>
        <w:tc>
          <w:tcPr>
            <w:tcW w:w="0" w:type="auto"/>
            <w:shd w:val="clear" w:color="auto" w:fill="auto"/>
            <w:vAlign w:val="center"/>
          </w:tcPr>
          <w:p w14:paraId="1F2A30CB">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≤5%</w:t>
            </w:r>
          </w:p>
        </w:tc>
        <w:tc>
          <w:tcPr>
            <w:tcW w:w="0" w:type="auto"/>
            <w:shd w:val="clear" w:color="auto" w:fill="auto"/>
            <w:vAlign w:val="center"/>
          </w:tcPr>
          <w:p w14:paraId="02BE2017">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转子主体</w:t>
            </w:r>
          </w:p>
        </w:tc>
      </w:tr>
      <w:tr w14:paraId="7745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0" w:type="auto"/>
            <w:shd w:val="clear" w:color="auto" w:fill="auto"/>
            <w:vAlign w:val="center"/>
          </w:tcPr>
          <w:p w14:paraId="0C672507">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-100目～+200目</w:t>
            </w:r>
          </w:p>
        </w:tc>
        <w:tc>
          <w:tcPr>
            <w:tcW w:w="0" w:type="auto"/>
            <w:shd w:val="clear" w:color="auto" w:fill="auto"/>
            <w:vAlign w:val="center"/>
          </w:tcPr>
          <w:p w14:paraId="33FB3B4E">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40%～60%</w:t>
            </w:r>
          </w:p>
        </w:tc>
        <w:tc>
          <w:tcPr>
            <w:tcW w:w="0" w:type="auto"/>
            <w:shd w:val="clear" w:color="auto" w:fill="auto"/>
            <w:vAlign w:val="center"/>
          </w:tcPr>
          <w:p w14:paraId="655710E1">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转子主体</w:t>
            </w:r>
          </w:p>
        </w:tc>
      </w:tr>
      <w:tr w14:paraId="4054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0" w:type="auto"/>
            <w:shd w:val="clear" w:color="auto" w:fill="auto"/>
            <w:vAlign w:val="center"/>
          </w:tcPr>
          <w:p w14:paraId="74B48149">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-200目～+325目</w:t>
            </w:r>
          </w:p>
        </w:tc>
        <w:tc>
          <w:tcPr>
            <w:tcW w:w="0" w:type="auto"/>
            <w:shd w:val="clear" w:color="auto" w:fill="auto"/>
            <w:vAlign w:val="center"/>
          </w:tcPr>
          <w:p w14:paraId="33788E1F">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25%～40%</w:t>
            </w:r>
          </w:p>
        </w:tc>
        <w:tc>
          <w:tcPr>
            <w:tcW w:w="0" w:type="auto"/>
            <w:shd w:val="clear" w:color="auto" w:fill="auto"/>
            <w:vAlign w:val="center"/>
          </w:tcPr>
          <w:p w14:paraId="54794022">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限位块</w:t>
            </w:r>
          </w:p>
        </w:tc>
      </w:tr>
      <w:tr w14:paraId="135D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0" w:type="auto"/>
            <w:shd w:val="clear" w:color="auto" w:fill="auto"/>
            <w:vAlign w:val="center"/>
          </w:tcPr>
          <w:p w14:paraId="089BA370">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-325目</w:t>
            </w:r>
          </w:p>
        </w:tc>
        <w:tc>
          <w:tcPr>
            <w:tcW w:w="0" w:type="auto"/>
            <w:shd w:val="clear" w:color="auto" w:fill="auto"/>
            <w:vAlign w:val="center"/>
          </w:tcPr>
          <w:p w14:paraId="1CAA6279">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≤10%</w:t>
            </w:r>
          </w:p>
        </w:tc>
        <w:tc>
          <w:tcPr>
            <w:tcW w:w="0" w:type="auto"/>
            <w:shd w:val="clear" w:color="auto" w:fill="auto"/>
            <w:vAlign w:val="center"/>
          </w:tcPr>
          <w:p w14:paraId="585F0FE3">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精密部位</w:t>
            </w:r>
          </w:p>
        </w:tc>
      </w:tr>
    </w:tbl>
    <w:p w14:paraId="14CB1C42">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粉末原料的松装密度应为2.2 g/cm³～3.0 g/cm³（按GB/T 1479.1规定的方法测定），振实密度应为3.90 g/cm³～4.20 g/cm³（按GB/T 5162规定的方法测定）。</w:t>
      </w:r>
    </w:p>
    <w:p w14:paraId="26D8BB16">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18" w:name="_Toc9835"/>
      <w:r>
        <w:rPr>
          <w:rFonts w:hint="eastAsia"/>
          <w:strike w:val="0"/>
          <w:dstrike w:val="0"/>
          <w:highlight w:val="none"/>
          <w:lang w:val="en-US" w:eastAsia="zh-CN"/>
        </w:rPr>
        <w:t>尺寸与公差</w:t>
      </w:r>
      <w:bookmarkEnd w:id="118"/>
    </w:p>
    <w:p w14:paraId="5DA785D8">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限位块及转子总成的主要尺寸应符合图样要求，其尺寸公差应按GB/T 1800.1的规定执行，未注公差应按GB/T 1804中m级（中等精度）的规定。</w:t>
      </w:r>
    </w:p>
    <w:p w14:paraId="260F6C28">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各部位尺寸公差应符合表3的规定。</w:t>
      </w:r>
    </w:p>
    <w:p w14:paraId="61461EE7">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表3 主要部位尺寸公差（单位为毫米）</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089"/>
        <w:gridCol w:w="2651"/>
        <w:gridCol w:w="1775"/>
        <w:gridCol w:w="1556"/>
      </w:tblGrid>
      <w:tr w14:paraId="1965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4F3AA2DE">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部位名称</w:t>
            </w:r>
          </w:p>
        </w:tc>
        <w:tc>
          <w:tcPr>
            <w:tcW w:w="0" w:type="auto"/>
            <w:shd w:val="clear" w:color="auto" w:fill="auto"/>
            <w:vAlign w:val="center"/>
          </w:tcPr>
          <w:p w14:paraId="1ED7DF3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基本尺寸范围</w:t>
            </w:r>
          </w:p>
        </w:tc>
        <w:tc>
          <w:tcPr>
            <w:tcW w:w="0" w:type="auto"/>
            <w:shd w:val="clear" w:color="auto" w:fill="auto"/>
            <w:vAlign w:val="center"/>
          </w:tcPr>
          <w:p w14:paraId="30A6884F">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公差等级</w:t>
            </w:r>
          </w:p>
        </w:tc>
        <w:tc>
          <w:tcPr>
            <w:tcW w:w="0" w:type="auto"/>
            <w:shd w:val="clear" w:color="auto" w:fill="auto"/>
            <w:vAlign w:val="center"/>
          </w:tcPr>
          <w:p w14:paraId="339549E9">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公差值</w:t>
            </w:r>
          </w:p>
        </w:tc>
      </w:tr>
      <w:tr w14:paraId="07FC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4F11F2D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转子外径</w:t>
            </w:r>
          </w:p>
        </w:tc>
        <w:tc>
          <w:tcPr>
            <w:tcW w:w="0" w:type="auto"/>
            <w:shd w:val="clear" w:color="auto" w:fill="auto"/>
            <w:vAlign w:val="center"/>
          </w:tcPr>
          <w:p w14:paraId="4DA8B0EB">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≤50</w:t>
            </w:r>
          </w:p>
        </w:tc>
        <w:tc>
          <w:tcPr>
            <w:tcW w:w="0" w:type="auto"/>
            <w:shd w:val="clear" w:color="auto" w:fill="auto"/>
            <w:vAlign w:val="center"/>
          </w:tcPr>
          <w:p w14:paraId="4A5693C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IT7</w:t>
            </w:r>
          </w:p>
        </w:tc>
        <w:tc>
          <w:tcPr>
            <w:tcW w:w="0" w:type="auto"/>
            <w:shd w:val="clear" w:color="auto" w:fill="auto"/>
            <w:vAlign w:val="center"/>
          </w:tcPr>
          <w:p w14:paraId="1691E7E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±0.015</w:t>
            </w:r>
          </w:p>
        </w:tc>
      </w:tr>
      <w:tr w14:paraId="0E26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1C035508">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转子外径</w:t>
            </w:r>
          </w:p>
        </w:tc>
        <w:tc>
          <w:tcPr>
            <w:tcW w:w="0" w:type="auto"/>
            <w:shd w:val="clear" w:color="auto" w:fill="auto"/>
            <w:vAlign w:val="center"/>
          </w:tcPr>
          <w:p w14:paraId="75D5B80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＞50～100</w:t>
            </w:r>
          </w:p>
        </w:tc>
        <w:tc>
          <w:tcPr>
            <w:tcW w:w="0" w:type="auto"/>
            <w:shd w:val="clear" w:color="auto" w:fill="auto"/>
            <w:vAlign w:val="center"/>
          </w:tcPr>
          <w:p w14:paraId="5CC854AF">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IT7</w:t>
            </w:r>
          </w:p>
        </w:tc>
        <w:tc>
          <w:tcPr>
            <w:tcW w:w="0" w:type="auto"/>
            <w:shd w:val="clear" w:color="auto" w:fill="auto"/>
            <w:vAlign w:val="center"/>
          </w:tcPr>
          <w:p w14:paraId="1892C79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±0.020</w:t>
            </w:r>
          </w:p>
        </w:tc>
      </w:tr>
      <w:tr w14:paraId="1CC9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0EB27480">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转子内孔直径</w:t>
            </w:r>
          </w:p>
        </w:tc>
        <w:tc>
          <w:tcPr>
            <w:tcW w:w="0" w:type="auto"/>
            <w:shd w:val="clear" w:color="auto" w:fill="auto"/>
            <w:vAlign w:val="center"/>
          </w:tcPr>
          <w:p w14:paraId="764674A2">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≤30</w:t>
            </w:r>
          </w:p>
        </w:tc>
        <w:tc>
          <w:tcPr>
            <w:tcW w:w="0" w:type="auto"/>
            <w:shd w:val="clear" w:color="auto" w:fill="auto"/>
            <w:vAlign w:val="center"/>
          </w:tcPr>
          <w:p w14:paraId="6B777FCA">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IT6</w:t>
            </w:r>
          </w:p>
        </w:tc>
        <w:tc>
          <w:tcPr>
            <w:tcW w:w="0" w:type="auto"/>
            <w:shd w:val="clear" w:color="auto" w:fill="auto"/>
            <w:vAlign w:val="center"/>
          </w:tcPr>
          <w:p w14:paraId="73F2A92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±0.010</w:t>
            </w:r>
          </w:p>
        </w:tc>
      </w:tr>
      <w:tr w14:paraId="3188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5871785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转子内孔直径</w:t>
            </w:r>
          </w:p>
        </w:tc>
        <w:tc>
          <w:tcPr>
            <w:tcW w:w="0" w:type="auto"/>
            <w:shd w:val="clear" w:color="auto" w:fill="auto"/>
            <w:vAlign w:val="center"/>
          </w:tcPr>
          <w:p w14:paraId="69C21E9A">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＞30～60</w:t>
            </w:r>
          </w:p>
        </w:tc>
        <w:tc>
          <w:tcPr>
            <w:tcW w:w="0" w:type="auto"/>
            <w:shd w:val="clear" w:color="auto" w:fill="auto"/>
            <w:vAlign w:val="center"/>
          </w:tcPr>
          <w:p w14:paraId="033E177B">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IT6</w:t>
            </w:r>
          </w:p>
        </w:tc>
        <w:tc>
          <w:tcPr>
            <w:tcW w:w="0" w:type="auto"/>
            <w:shd w:val="clear" w:color="auto" w:fill="auto"/>
            <w:vAlign w:val="center"/>
          </w:tcPr>
          <w:p w14:paraId="34A3A56A">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±0.013</w:t>
            </w:r>
          </w:p>
        </w:tc>
      </w:tr>
      <w:tr w14:paraId="7AED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2F133CE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叶片槽宽度</w:t>
            </w:r>
          </w:p>
        </w:tc>
        <w:tc>
          <w:tcPr>
            <w:tcW w:w="0" w:type="auto"/>
            <w:shd w:val="clear" w:color="auto" w:fill="auto"/>
            <w:vAlign w:val="center"/>
          </w:tcPr>
          <w:p w14:paraId="659E432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w:t>
            </w:r>
          </w:p>
        </w:tc>
        <w:tc>
          <w:tcPr>
            <w:tcW w:w="0" w:type="auto"/>
            <w:shd w:val="clear" w:color="auto" w:fill="auto"/>
            <w:vAlign w:val="center"/>
          </w:tcPr>
          <w:p w14:paraId="43FA04C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IT8</w:t>
            </w:r>
          </w:p>
        </w:tc>
        <w:tc>
          <w:tcPr>
            <w:tcW w:w="0" w:type="auto"/>
            <w:shd w:val="clear" w:color="auto" w:fill="auto"/>
            <w:vAlign w:val="center"/>
          </w:tcPr>
          <w:p w14:paraId="5A411083">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±0.025</w:t>
            </w:r>
          </w:p>
        </w:tc>
      </w:tr>
      <w:tr w14:paraId="305A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4E783672">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限位块外形尺寸</w:t>
            </w:r>
          </w:p>
        </w:tc>
        <w:tc>
          <w:tcPr>
            <w:tcW w:w="0" w:type="auto"/>
            <w:shd w:val="clear" w:color="auto" w:fill="auto"/>
            <w:vAlign w:val="center"/>
          </w:tcPr>
          <w:p w14:paraId="79135F6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≤30</w:t>
            </w:r>
          </w:p>
        </w:tc>
        <w:tc>
          <w:tcPr>
            <w:tcW w:w="0" w:type="auto"/>
            <w:shd w:val="clear" w:color="auto" w:fill="auto"/>
            <w:vAlign w:val="center"/>
          </w:tcPr>
          <w:p w14:paraId="293FA28B">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IT8</w:t>
            </w:r>
          </w:p>
        </w:tc>
        <w:tc>
          <w:tcPr>
            <w:tcW w:w="0" w:type="auto"/>
            <w:shd w:val="clear" w:color="auto" w:fill="auto"/>
            <w:vAlign w:val="center"/>
          </w:tcPr>
          <w:p w14:paraId="7C8760E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±0.020</w:t>
            </w:r>
          </w:p>
        </w:tc>
      </w:tr>
      <w:tr w14:paraId="19D7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398D34E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限位块外形尺寸</w:t>
            </w:r>
          </w:p>
        </w:tc>
        <w:tc>
          <w:tcPr>
            <w:tcW w:w="0" w:type="auto"/>
            <w:shd w:val="clear" w:color="auto" w:fill="auto"/>
            <w:vAlign w:val="center"/>
          </w:tcPr>
          <w:p w14:paraId="03BFE55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＞30～60</w:t>
            </w:r>
          </w:p>
        </w:tc>
        <w:tc>
          <w:tcPr>
            <w:tcW w:w="0" w:type="auto"/>
            <w:shd w:val="clear" w:color="auto" w:fill="auto"/>
            <w:vAlign w:val="center"/>
          </w:tcPr>
          <w:p w14:paraId="59E45E87">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IT8</w:t>
            </w:r>
          </w:p>
        </w:tc>
        <w:tc>
          <w:tcPr>
            <w:tcW w:w="0" w:type="auto"/>
            <w:shd w:val="clear" w:color="auto" w:fill="auto"/>
            <w:vAlign w:val="center"/>
          </w:tcPr>
          <w:p w14:paraId="331CF48E">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±0.025</w:t>
            </w:r>
          </w:p>
        </w:tc>
      </w:tr>
      <w:tr w14:paraId="7997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4A8BDFE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中心距</w:t>
            </w:r>
          </w:p>
        </w:tc>
        <w:tc>
          <w:tcPr>
            <w:tcW w:w="0" w:type="auto"/>
            <w:shd w:val="clear" w:color="auto" w:fill="auto"/>
            <w:vAlign w:val="center"/>
          </w:tcPr>
          <w:p w14:paraId="4239817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w:t>
            </w:r>
          </w:p>
        </w:tc>
        <w:tc>
          <w:tcPr>
            <w:tcW w:w="0" w:type="auto"/>
            <w:shd w:val="clear" w:color="auto" w:fill="auto"/>
            <w:vAlign w:val="center"/>
          </w:tcPr>
          <w:p w14:paraId="79AC6DE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IT8</w:t>
            </w:r>
          </w:p>
        </w:tc>
        <w:tc>
          <w:tcPr>
            <w:tcW w:w="0" w:type="auto"/>
            <w:shd w:val="clear" w:color="auto" w:fill="auto"/>
            <w:vAlign w:val="center"/>
          </w:tcPr>
          <w:p w14:paraId="7DC29C88">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sz w:val="18"/>
                <w:szCs w:val="18"/>
              </w:rPr>
            </w:pPr>
            <w:r>
              <w:rPr>
                <w:rFonts w:hint="eastAsia" w:ascii="宋体" w:hAnsi="宋体" w:eastAsia="宋体" w:cs="宋体"/>
                <w:b w:val="0"/>
                <w:bCs w:val="0"/>
                <w:i w:val="0"/>
                <w:iCs w:val="0"/>
                <w:caps w:val="0"/>
                <w:color w:val="0F1115"/>
                <w:spacing w:val="0"/>
                <w:kern w:val="0"/>
                <w:sz w:val="18"/>
                <w:szCs w:val="18"/>
                <w:lang w:val="en-US" w:eastAsia="zh-CN" w:bidi="ar"/>
              </w:rPr>
              <w:t>±0.030</w:t>
            </w:r>
          </w:p>
        </w:tc>
      </w:tr>
    </w:tbl>
    <w:p w14:paraId="7F7A2512">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形位公差应符合表4的规定。</w:t>
      </w:r>
    </w:p>
    <w:p w14:paraId="6C6C6C31">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表4 形位公差要求（单位为毫米）</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085"/>
        <w:gridCol w:w="2059"/>
        <w:gridCol w:w="2927"/>
      </w:tblGrid>
      <w:tr w14:paraId="30B3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0243AA6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项目</w:t>
            </w:r>
          </w:p>
        </w:tc>
        <w:tc>
          <w:tcPr>
            <w:tcW w:w="0" w:type="auto"/>
            <w:shd w:val="clear" w:color="auto" w:fill="auto"/>
            <w:vAlign w:val="center"/>
          </w:tcPr>
          <w:p w14:paraId="6035513B">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公差值</w:t>
            </w:r>
          </w:p>
        </w:tc>
        <w:tc>
          <w:tcPr>
            <w:tcW w:w="0" w:type="auto"/>
            <w:shd w:val="clear" w:color="auto" w:fill="auto"/>
            <w:vAlign w:val="center"/>
          </w:tcPr>
          <w:p w14:paraId="499D89CE">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基准</w:t>
            </w:r>
          </w:p>
        </w:tc>
      </w:tr>
      <w:tr w14:paraId="739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16B8E25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转子外径圆度</w:t>
            </w:r>
          </w:p>
        </w:tc>
        <w:tc>
          <w:tcPr>
            <w:tcW w:w="0" w:type="auto"/>
            <w:shd w:val="clear" w:color="auto" w:fill="auto"/>
            <w:vAlign w:val="center"/>
          </w:tcPr>
          <w:p w14:paraId="484D2DD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≤0.015</w:t>
            </w:r>
          </w:p>
        </w:tc>
        <w:tc>
          <w:tcPr>
            <w:tcW w:w="0" w:type="auto"/>
            <w:shd w:val="clear" w:color="auto" w:fill="auto"/>
            <w:vAlign w:val="center"/>
          </w:tcPr>
          <w:p w14:paraId="0756ECE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w:t>
            </w:r>
          </w:p>
        </w:tc>
      </w:tr>
      <w:tr w14:paraId="6534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3662720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转子内孔圆柱度</w:t>
            </w:r>
          </w:p>
        </w:tc>
        <w:tc>
          <w:tcPr>
            <w:tcW w:w="0" w:type="auto"/>
            <w:shd w:val="clear" w:color="auto" w:fill="auto"/>
            <w:vAlign w:val="center"/>
          </w:tcPr>
          <w:p w14:paraId="0151F59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≤0.010</w:t>
            </w:r>
          </w:p>
        </w:tc>
        <w:tc>
          <w:tcPr>
            <w:tcW w:w="0" w:type="auto"/>
            <w:shd w:val="clear" w:color="auto" w:fill="auto"/>
            <w:vAlign w:val="center"/>
          </w:tcPr>
          <w:p w14:paraId="30D78C97">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w:t>
            </w:r>
          </w:p>
        </w:tc>
      </w:tr>
      <w:tr w14:paraId="67D9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0286385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转子端面跳动</w:t>
            </w:r>
          </w:p>
        </w:tc>
        <w:tc>
          <w:tcPr>
            <w:tcW w:w="0" w:type="auto"/>
            <w:shd w:val="clear" w:color="auto" w:fill="auto"/>
            <w:vAlign w:val="center"/>
          </w:tcPr>
          <w:p w14:paraId="34CFFF69">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≤0.030</w:t>
            </w:r>
          </w:p>
        </w:tc>
        <w:tc>
          <w:tcPr>
            <w:tcW w:w="0" w:type="auto"/>
            <w:shd w:val="clear" w:color="auto" w:fill="auto"/>
            <w:vAlign w:val="center"/>
          </w:tcPr>
          <w:p w14:paraId="4CB7B79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内孔轴线</w:t>
            </w:r>
          </w:p>
        </w:tc>
      </w:tr>
      <w:tr w14:paraId="7371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65D358F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叶片槽对称度</w:t>
            </w:r>
          </w:p>
        </w:tc>
        <w:tc>
          <w:tcPr>
            <w:tcW w:w="0" w:type="auto"/>
            <w:shd w:val="clear" w:color="auto" w:fill="auto"/>
            <w:vAlign w:val="center"/>
          </w:tcPr>
          <w:p w14:paraId="23D20E4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≤0.040</w:t>
            </w:r>
          </w:p>
        </w:tc>
        <w:tc>
          <w:tcPr>
            <w:tcW w:w="0" w:type="auto"/>
            <w:shd w:val="clear" w:color="auto" w:fill="auto"/>
            <w:vAlign w:val="center"/>
          </w:tcPr>
          <w:p w14:paraId="5E20AE89">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转子中心线</w:t>
            </w:r>
          </w:p>
        </w:tc>
      </w:tr>
      <w:tr w14:paraId="3A53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07C32A0B">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叶片槽平行度</w:t>
            </w:r>
          </w:p>
        </w:tc>
        <w:tc>
          <w:tcPr>
            <w:tcW w:w="0" w:type="auto"/>
            <w:shd w:val="clear" w:color="auto" w:fill="auto"/>
            <w:vAlign w:val="center"/>
          </w:tcPr>
          <w:p w14:paraId="79F3D3EA">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≤0.050</w:t>
            </w:r>
          </w:p>
        </w:tc>
        <w:tc>
          <w:tcPr>
            <w:tcW w:w="0" w:type="auto"/>
            <w:shd w:val="clear" w:color="auto" w:fill="auto"/>
            <w:vAlign w:val="center"/>
          </w:tcPr>
          <w:p w14:paraId="5E1800B7">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转子端面-</w:t>
            </w:r>
          </w:p>
        </w:tc>
      </w:tr>
      <w:tr w14:paraId="1316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1D25BBE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限位块位置度</w:t>
            </w:r>
          </w:p>
        </w:tc>
        <w:tc>
          <w:tcPr>
            <w:tcW w:w="0" w:type="auto"/>
            <w:shd w:val="clear" w:color="auto" w:fill="auto"/>
            <w:vAlign w:val="center"/>
          </w:tcPr>
          <w:p w14:paraId="272CF95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≤0.050</w:t>
            </w:r>
          </w:p>
        </w:tc>
        <w:tc>
          <w:tcPr>
            <w:tcW w:w="0" w:type="auto"/>
            <w:shd w:val="clear" w:color="auto" w:fill="auto"/>
            <w:vAlign w:val="center"/>
          </w:tcPr>
          <w:p w14:paraId="1A89464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装配基准-</w:t>
            </w:r>
          </w:p>
        </w:tc>
      </w:tr>
      <w:tr w14:paraId="5B5A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3131FEEE">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限位块面轮廓度</w:t>
            </w:r>
          </w:p>
        </w:tc>
        <w:tc>
          <w:tcPr>
            <w:tcW w:w="0" w:type="auto"/>
            <w:shd w:val="clear" w:color="auto" w:fill="auto"/>
            <w:vAlign w:val="center"/>
          </w:tcPr>
          <w:p w14:paraId="7C9DF5B8">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≤0.100</w:t>
            </w:r>
          </w:p>
        </w:tc>
        <w:tc>
          <w:tcPr>
            <w:tcW w:w="0" w:type="auto"/>
            <w:shd w:val="clear" w:color="auto" w:fill="auto"/>
            <w:vAlign w:val="center"/>
          </w:tcPr>
          <w:p w14:paraId="039F342F">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装配基准</w:t>
            </w:r>
          </w:p>
        </w:tc>
      </w:tr>
    </w:tbl>
    <w:p w14:paraId="2C526B02">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限位块与转子的装配间隙应符合表5的规定。</w:t>
      </w:r>
    </w:p>
    <w:p w14:paraId="4E8FB6D8">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表5 限位块与转子装配间隙要求（单位为毫米）</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081"/>
        <w:gridCol w:w="2837"/>
        <w:gridCol w:w="1153"/>
      </w:tblGrid>
      <w:tr w14:paraId="447E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430D74D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配合部位</w:t>
            </w:r>
          </w:p>
        </w:tc>
        <w:tc>
          <w:tcPr>
            <w:tcW w:w="0" w:type="auto"/>
            <w:shd w:val="clear" w:color="auto" w:fill="auto"/>
            <w:vAlign w:val="center"/>
          </w:tcPr>
          <w:p w14:paraId="7AE1FA0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间隙值</w:t>
            </w:r>
          </w:p>
        </w:tc>
        <w:tc>
          <w:tcPr>
            <w:tcW w:w="0" w:type="auto"/>
            <w:shd w:val="clear" w:color="auto" w:fill="auto"/>
            <w:vAlign w:val="center"/>
          </w:tcPr>
          <w:p w14:paraId="1F6927C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备注</w:t>
            </w:r>
          </w:p>
        </w:tc>
      </w:tr>
      <w:tr w14:paraId="4724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2F7E751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限位块与转子槽侧隙</w:t>
            </w:r>
          </w:p>
        </w:tc>
        <w:tc>
          <w:tcPr>
            <w:tcW w:w="0" w:type="auto"/>
            <w:shd w:val="clear" w:color="auto" w:fill="auto"/>
            <w:vAlign w:val="center"/>
          </w:tcPr>
          <w:p w14:paraId="46BE13D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0.02～0.08</w:t>
            </w:r>
          </w:p>
        </w:tc>
        <w:tc>
          <w:tcPr>
            <w:tcW w:w="0" w:type="auto"/>
            <w:shd w:val="clear" w:color="auto" w:fill="auto"/>
            <w:vAlign w:val="center"/>
          </w:tcPr>
          <w:p w14:paraId="050DBE5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单侧</w:t>
            </w:r>
          </w:p>
        </w:tc>
      </w:tr>
      <w:tr w14:paraId="5DFB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412DED2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限位块与转子槽底隙</w:t>
            </w:r>
          </w:p>
        </w:tc>
        <w:tc>
          <w:tcPr>
            <w:tcW w:w="0" w:type="auto"/>
            <w:shd w:val="clear" w:color="auto" w:fill="auto"/>
            <w:vAlign w:val="center"/>
          </w:tcPr>
          <w:p w14:paraId="22C8BE7B">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0.01～0.05</w:t>
            </w:r>
          </w:p>
        </w:tc>
        <w:tc>
          <w:tcPr>
            <w:tcW w:w="0" w:type="auto"/>
            <w:shd w:val="clear" w:color="auto" w:fill="auto"/>
            <w:vAlign w:val="center"/>
          </w:tcPr>
          <w:p w14:paraId="34AD7F09">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w:t>
            </w:r>
          </w:p>
        </w:tc>
      </w:tr>
    </w:tbl>
    <w:p w14:paraId="2BF5EAC9">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19" w:name="_Toc15968"/>
      <w:r>
        <w:rPr>
          <w:rFonts w:hint="eastAsia"/>
          <w:strike w:val="0"/>
          <w:dstrike w:val="0"/>
          <w:highlight w:val="none"/>
          <w:lang w:val="en-US" w:eastAsia="zh-CN"/>
        </w:rPr>
        <w:t>物理力学性能</w:t>
      </w:r>
      <w:bookmarkEnd w:id="119"/>
    </w:p>
    <w:p w14:paraId="10CBECC2">
      <w:pPr>
        <w:pStyle w:val="69"/>
        <w:bidi w:val="0"/>
        <w:ind w:left="0" w:leftChars="0" w:firstLine="0" w:firstLineChars="0"/>
        <w:rPr>
          <w:rFonts w:hint="eastAsia"/>
          <w:lang w:val="en-US" w:eastAsia="zh-CN"/>
        </w:rPr>
      </w:pPr>
      <w:r>
        <w:rPr>
          <w:rFonts w:hint="eastAsia"/>
          <w:lang w:val="en-US" w:eastAsia="zh-CN"/>
        </w:rPr>
        <w:t>密度</w:t>
      </w:r>
    </w:p>
    <w:p w14:paraId="0512872B">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限位块及转子总成的密度应符合表6的规定。</w:t>
      </w:r>
    </w:p>
    <w:p w14:paraId="0BFCB881">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表6 密度要求</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522"/>
        <w:gridCol w:w="3587"/>
        <w:gridCol w:w="3962"/>
      </w:tblGrid>
      <w:tr w14:paraId="0ECC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142FB1A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材料牌号</w:t>
            </w:r>
          </w:p>
        </w:tc>
        <w:tc>
          <w:tcPr>
            <w:tcW w:w="0" w:type="auto"/>
            <w:shd w:val="clear" w:color="auto" w:fill="auto"/>
            <w:vAlign w:val="center"/>
          </w:tcPr>
          <w:p w14:paraId="731E858E">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烧结态密度（g/cm³）</w:t>
            </w:r>
          </w:p>
        </w:tc>
        <w:tc>
          <w:tcPr>
            <w:tcW w:w="0" w:type="auto"/>
            <w:shd w:val="clear" w:color="auto" w:fill="auto"/>
            <w:vAlign w:val="center"/>
          </w:tcPr>
          <w:p w14:paraId="149E770B">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热处理后密度（g/cm³）</w:t>
            </w:r>
          </w:p>
        </w:tc>
      </w:tr>
      <w:tr w14:paraId="396E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0B224BCB">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F-02C</w:t>
            </w:r>
          </w:p>
        </w:tc>
        <w:tc>
          <w:tcPr>
            <w:tcW w:w="0" w:type="auto"/>
            <w:shd w:val="clear" w:color="auto" w:fill="auto"/>
            <w:vAlign w:val="center"/>
          </w:tcPr>
          <w:p w14:paraId="074A944E">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≥6.80</w:t>
            </w:r>
          </w:p>
        </w:tc>
        <w:tc>
          <w:tcPr>
            <w:tcW w:w="0" w:type="auto"/>
            <w:shd w:val="clear" w:color="auto" w:fill="auto"/>
            <w:vAlign w:val="center"/>
          </w:tcPr>
          <w:p w14:paraId="2468E28F">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≥6.85</w:t>
            </w:r>
          </w:p>
        </w:tc>
      </w:tr>
      <w:tr w14:paraId="36F3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0" w:type="auto"/>
            <w:shd w:val="clear" w:color="auto" w:fill="auto"/>
            <w:vAlign w:val="center"/>
          </w:tcPr>
          <w:p w14:paraId="48DBC6CE">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F-05Cu</w:t>
            </w:r>
          </w:p>
        </w:tc>
        <w:tc>
          <w:tcPr>
            <w:tcW w:w="0" w:type="auto"/>
            <w:shd w:val="clear" w:color="auto" w:fill="auto"/>
            <w:vAlign w:val="center"/>
          </w:tcPr>
          <w:p w14:paraId="54DD0A12">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≥6.90</w:t>
            </w:r>
          </w:p>
        </w:tc>
        <w:tc>
          <w:tcPr>
            <w:tcW w:w="0" w:type="auto"/>
            <w:shd w:val="clear" w:color="auto" w:fill="auto"/>
            <w:vAlign w:val="center"/>
          </w:tcPr>
          <w:p w14:paraId="46D76CD0">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≥6.95</w:t>
            </w:r>
          </w:p>
        </w:tc>
      </w:tr>
      <w:tr w14:paraId="5550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2FB9EF8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F-07CuMo</w:t>
            </w:r>
          </w:p>
        </w:tc>
        <w:tc>
          <w:tcPr>
            <w:tcW w:w="0" w:type="auto"/>
            <w:shd w:val="clear" w:color="auto" w:fill="auto"/>
            <w:vAlign w:val="center"/>
          </w:tcPr>
          <w:p w14:paraId="7CB8BDE0">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≥7.00</w:t>
            </w:r>
          </w:p>
        </w:tc>
        <w:tc>
          <w:tcPr>
            <w:tcW w:w="0" w:type="auto"/>
            <w:shd w:val="clear" w:color="auto" w:fill="auto"/>
            <w:vAlign w:val="center"/>
          </w:tcPr>
          <w:p w14:paraId="3C02709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≥7.05</w:t>
            </w:r>
          </w:p>
        </w:tc>
      </w:tr>
    </w:tbl>
    <w:p w14:paraId="7A2E935A">
      <w:pPr>
        <w:pStyle w:val="69"/>
        <w:bidi w:val="0"/>
        <w:ind w:left="0" w:leftChars="0" w:firstLine="0" w:firstLineChars="0"/>
        <w:rPr>
          <w:rFonts w:hint="default"/>
          <w:lang w:val="en-US" w:eastAsia="zh-CN"/>
        </w:rPr>
      </w:pPr>
      <w:r>
        <w:rPr>
          <w:rFonts w:hint="eastAsia"/>
          <w:lang w:val="en-US" w:eastAsia="zh-CN"/>
        </w:rPr>
        <w:t>硬度</w:t>
      </w:r>
    </w:p>
    <w:p w14:paraId="2878B63A">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限位块及转子总成的硬度应符合表7的规定。</w:t>
      </w:r>
    </w:p>
    <w:p w14:paraId="60889629">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表7 硬度要求</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259"/>
        <w:gridCol w:w="2656"/>
        <w:gridCol w:w="3587"/>
        <w:gridCol w:w="1569"/>
      </w:tblGrid>
      <w:tr w14:paraId="3BCC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01A197F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材料牌号</w:t>
            </w:r>
          </w:p>
        </w:tc>
        <w:tc>
          <w:tcPr>
            <w:tcW w:w="0" w:type="auto"/>
            <w:shd w:val="clear" w:color="auto" w:fill="auto"/>
            <w:vAlign w:val="center"/>
          </w:tcPr>
          <w:p w14:paraId="1E9C437A">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烧结态硬度（HRB）</w:t>
            </w:r>
          </w:p>
        </w:tc>
        <w:tc>
          <w:tcPr>
            <w:tcW w:w="0" w:type="auto"/>
            <w:shd w:val="clear" w:color="auto" w:fill="auto"/>
            <w:vAlign w:val="center"/>
          </w:tcPr>
          <w:p w14:paraId="6AE0A932">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热处理后硬度（HRB/HRC）</w:t>
            </w:r>
          </w:p>
        </w:tc>
        <w:tc>
          <w:tcPr>
            <w:tcW w:w="0" w:type="auto"/>
            <w:shd w:val="clear" w:color="auto" w:fill="auto"/>
            <w:vAlign w:val="center"/>
          </w:tcPr>
          <w:p w14:paraId="15B65992">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备注</w:t>
            </w:r>
          </w:p>
        </w:tc>
      </w:tr>
      <w:tr w14:paraId="0DF6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167E1B5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F-02C</w:t>
            </w:r>
          </w:p>
        </w:tc>
        <w:tc>
          <w:tcPr>
            <w:tcW w:w="0" w:type="auto"/>
            <w:shd w:val="clear" w:color="auto" w:fill="auto"/>
            <w:vAlign w:val="center"/>
          </w:tcPr>
          <w:p w14:paraId="15CCF483">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50～65</w:t>
            </w:r>
          </w:p>
        </w:tc>
        <w:tc>
          <w:tcPr>
            <w:tcW w:w="0" w:type="auto"/>
            <w:shd w:val="clear" w:color="auto" w:fill="auto"/>
            <w:vAlign w:val="center"/>
          </w:tcPr>
          <w:p w14:paraId="3F34B8C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58～68 HRB</w:t>
            </w:r>
          </w:p>
        </w:tc>
        <w:tc>
          <w:tcPr>
            <w:tcW w:w="0" w:type="auto"/>
            <w:shd w:val="clear" w:color="auto" w:fill="auto"/>
            <w:vAlign w:val="center"/>
          </w:tcPr>
          <w:p w14:paraId="438C163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渗碳处理</w:t>
            </w:r>
          </w:p>
        </w:tc>
      </w:tr>
      <w:tr w14:paraId="119F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26E5B8AB">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F-05Cu</w:t>
            </w:r>
          </w:p>
        </w:tc>
        <w:tc>
          <w:tcPr>
            <w:tcW w:w="0" w:type="auto"/>
            <w:shd w:val="clear" w:color="auto" w:fill="auto"/>
            <w:vAlign w:val="center"/>
          </w:tcPr>
          <w:p w14:paraId="4BA7B129">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55～70</w:t>
            </w:r>
          </w:p>
        </w:tc>
        <w:tc>
          <w:tcPr>
            <w:tcW w:w="0" w:type="auto"/>
            <w:shd w:val="clear" w:color="auto" w:fill="auto"/>
            <w:vAlign w:val="center"/>
          </w:tcPr>
          <w:p w14:paraId="4231A87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65～75 HRB</w:t>
            </w:r>
          </w:p>
        </w:tc>
        <w:tc>
          <w:tcPr>
            <w:tcW w:w="0" w:type="auto"/>
            <w:shd w:val="clear" w:color="auto" w:fill="auto"/>
            <w:vAlign w:val="center"/>
          </w:tcPr>
          <w:p w14:paraId="2472948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淬火+回火</w:t>
            </w:r>
          </w:p>
        </w:tc>
      </w:tr>
      <w:tr w14:paraId="39B0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391946D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F-07CuMo</w:t>
            </w:r>
          </w:p>
        </w:tc>
        <w:tc>
          <w:tcPr>
            <w:tcW w:w="0" w:type="auto"/>
            <w:shd w:val="clear" w:color="auto" w:fill="auto"/>
            <w:vAlign w:val="center"/>
          </w:tcPr>
          <w:p w14:paraId="7DD7081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60～80</w:t>
            </w:r>
          </w:p>
        </w:tc>
        <w:tc>
          <w:tcPr>
            <w:tcW w:w="0" w:type="auto"/>
            <w:shd w:val="clear" w:color="auto" w:fill="auto"/>
            <w:vAlign w:val="center"/>
          </w:tcPr>
          <w:p w14:paraId="16718A68">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30～38 HRC</w:t>
            </w:r>
          </w:p>
        </w:tc>
        <w:tc>
          <w:tcPr>
            <w:tcW w:w="0" w:type="auto"/>
            <w:shd w:val="clear" w:color="auto" w:fill="auto"/>
            <w:vAlign w:val="center"/>
          </w:tcPr>
          <w:p w14:paraId="227C69B3">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淬火+回火-</w:t>
            </w:r>
          </w:p>
        </w:tc>
      </w:tr>
    </w:tbl>
    <w:p w14:paraId="5445D471">
      <w:pPr>
        <w:pStyle w:val="69"/>
        <w:bidi w:val="0"/>
        <w:ind w:left="0" w:leftChars="0" w:firstLine="0" w:firstLineChars="0"/>
        <w:rPr>
          <w:rFonts w:hint="eastAsia"/>
          <w:lang w:val="en-US" w:eastAsia="zh-CN"/>
        </w:rPr>
      </w:pPr>
      <w:r>
        <w:rPr>
          <w:rFonts w:hint="eastAsia"/>
          <w:lang w:val="en-US" w:eastAsia="zh-CN"/>
        </w:rPr>
        <w:t>抗拉强度</w:t>
      </w:r>
    </w:p>
    <w:p w14:paraId="490ADDE5">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限位块及转子总成的抗拉强度应符合表8的规定。</w:t>
      </w:r>
    </w:p>
    <w:p w14:paraId="03EF8DE5">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表8 抗拉强度要求</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406"/>
        <w:gridCol w:w="3659"/>
        <w:gridCol w:w="4006"/>
      </w:tblGrid>
      <w:tr w14:paraId="33B5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1933C3EB">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材料牌号</w:t>
            </w:r>
          </w:p>
        </w:tc>
        <w:tc>
          <w:tcPr>
            <w:tcW w:w="0" w:type="auto"/>
            <w:shd w:val="clear" w:color="auto" w:fill="auto"/>
            <w:vAlign w:val="center"/>
          </w:tcPr>
          <w:p w14:paraId="7EA2B12A">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烧结态抗拉强度（MPa）</w:t>
            </w:r>
          </w:p>
        </w:tc>
        <w:tc>
          <w:tcPr>
            <w:tcW w:w="0" w:type="auto"/>
            <w:shd w:val="clear" w:color="auto" w:fill="auto"/>
            <w:vAlign w:val="center"/>
          </w:tcPr>
          <w:p w14:paraId="209781D8">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热处理后抗拉强度（MPa）</w:t>
            </w:r>
          </w:p>
        </w:tc>
      </w:tr>
      <w:tr w14:paraId="6B4C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4EF8B2B7">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F-02C</w:t>
            </w:r>
          </w:p>
        </w:tc>
        <w:tc>
          <w:tcPr>
            <w:tcW w:w="0" w:type="auto"/>
            <w:shd w:val="clear" w:color="auto" w:fill="auto"/>
            <w:vAlign w:val="center"/>
          </w:tcPr>
          <w:p w14:paraId="5E3B860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≥300</w:t>
            </w:r>
          </w:p>
        </w:tc>
        <w:tc>
          <w:tcPr>
            <w:tcW w:w="0" w:type="auto"/>
            <w:shd w:val="clear" w:color="auto" w:fill="auto"/>
            <w:vAlign w:val="center"/>
          </w:tcPr>
          <w:p w14:paraId="6E0CAAEF">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≥450</w:t>
            </w:r>
          </w:p>
        </w:tc>
      </w:tr>
      <w:tr w14:paraId="5A71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4113ACEE">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F-05Cu</w:t>
            </w:r>
          </w:p>
        </w:tc>
        <w:tc>
          <w:tcPr>
            <w:tcW w:w="0" w:type="auto"/>
            <w:shd w:val="clear" w:color="auto" w:fill="auto"/>
            <w:vAlign w:val="center"/>
          </w:tcPr>
          <w:p w14:paraId="5956FD1A">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≥350</w:t>
            </w:r>
          </w:p>
        </w:tc>
        <w:tc>
          <w:tcPr>
            <w:tcW w:w="0" w:type="auto"/>
            <w:shd w:val="clear" w:color="auto" w:fill="auto"/>
            <w:vAlign w:val="center"/>
          </w:tcPr>
          <w:p w14:paraId="1EFD3387">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≥520</w:t>
            </w:r>
          </w:p>
        </w:tc>
      </w:tr>
      <w:tr w14:paraId="1A32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4080EA3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F-07CuMo</w:t>
            </w:r>
          </w:p>
        </w:tc>
        <w:tc>
          <w:tcPr>
            <w:tcW w:w="0" w:type="auto"/>
            <w:shd w:val="clear" w:color="auto" w:fill="auto"/>
            <w:vAlign w:val="center"/>
          </w:tcPr>
          <w:p w14:paraId="3596A8BE">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≥400</w:t>
            </w:r>
          </w:p>
        </w:tc>
        <w:tc>
          <w:tcPr>
            <w:tcW w:w="0" w:type="auto"/>
            <w:shd w:val="clear" w:color="auto" w:fill="auto"/>
            <w:vAlign w:val="center"/>
          </w:tcPr>
          <w:p w14:paraId="78D2FDE9">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≥600</w:t>
            </w:r>
          </w:p>
        </w:tc>
      </w:tr>
    </w:tbl>
    <w:p w14:paraId="58534092">
      <w:pPr>
        <w:pStyle w:val="69"/>
        <w:bidi w:val="0"/>
        <w:ind w:left="0" w:leftChars="0" w:firstLine="0" w:firstLineChars="0"/>
        <w:rPr>
          <w:rFonts w:hint="eastAsia"/>
          <w:lang w:val="en-US" w:eastAsia="zh-CN"/>
        </w:rPr>
      </w:pPr>
      <w:r>
        <w:rPr>
          <w:rFonts w:hint="eastAsia"/>
          <w:lang w:val="en-US" w:eastAsia="zh-CN"/>
        </w:rPr>
        <w:t>横向断裂强度</w:t>
      </w:r>
    </w:p>
    <w:p w14:paraId="5A322624">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限位块及转子总成的横向断裂强度应符合表9的规定。</w:t>
      </w:r>
    </w:p>
    <w:p w14:paraId="4C694AC3">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表9 横向断裂强度要求</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703"/>
        <w:gridCol w:w="6368"/>
      </w:tblGrid>
      <w:tr w14:paraId="75E0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5A31EECF">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材料牌号</w:t>
            </w:r>
          </w:p>
        </w:tc>
        <w:tc>
          <w:tcPr>
            <w:tcW w:w="0" w:type="auto"/>
            <w:shd w:val="clear" w:color="auto" w:fill="auto"/>
            <w:vAlign w:val="center"/>
          </w:tcPr>
          <w:p w14:paraId="40A9FEEF">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横向断裂强度（MPa）</w:t>
            </w:r>
          </w:p>
        </w:tc>
      </w:tr>
      <w:tr w14:paraId="348C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2CE6208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F-02C</w:t>
            </w:r>
          </w:p>
        </w:tc>
        <w:tc>
          <w:tcPr>
            <w:tcW w:w="0" w:type="auto"/>
            <w:shd w:val="clear" w:color="auto" w:fill="auto"/>
            <w:vAlign w:val="center"/>
          </w:tcPr>
          <w:p w14:paraId="4D0590B0">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≥550</w:t>
            </w:r>
          </w:p>
        </w:tc>
      </w:tr>
      <w:tr w14:paraId="1F12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66812649">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F-05Cu</w:t>
            </w:r>
          </w:p>
        </w:tc>
        <w:tc>
          <w:tcPr>
            <w:tcW w:w="0" w:type="auto"/>
            <w:shd w:val="clear" w:color="auto" w:fill="auto"/>
            <w:vAlign w:val="center"/>
          </w:tcPr>
          <w:p w14:paraId="2B1BEE57">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≥650</w:t>
            </w:r>
          </w:p>
        </w:tc>
      </w:tr>
      <w:tr w14:paraId="02F0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0" w:type="auto"/>
            <w:shd w:val="clear" w:color="auto" w:fill="auto"/>
            <w:vAlign w:val="center"/>
          </w:tcPr>
          <w:p w14:paraId="6587D2F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F-07CuMo</w:t>
            </w:r>
          </w:p>
        </w:tc>
        <w:tc>
          <w:tcPr>
            <w:tcW w:w="0" w:type="auto"/>
            <w:shd w:val="clear" w:color="auto" w:fill="auto"/>
            <w:vAlign w:val="center"/>
          </w:tcPr>
          <w:p w14:paraId="060A32CE">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≥750</w:t>
            </w:r>
          </w:p>
        </w:tc>
      </w:tr>
    </w:tbl>
    <w:p w14:paraId="633EFCE2">
      <w:pPr>
        <w:pStyle w:val="69"/>
        <w:bidi w:val="0"/>
        <w:ind w:left="0" w:leftChars="0" w:firstLine="0" w:firstLineChars="0"/>
        <w:rPr>
          <w:rFonts w:hint="eastAsia"/>
          <w:lang w:val="en-US" w:eastAsia="zh-CN"/>
        </w:rPr>
      </w:pPr>
      <w:r>
        <w:rPr>
          <w:rFonts w:hint="eastAsia"/>
          <w:lang w:val="en-US" w:eastAsia="zh-CN"/>
        </w:rPr>
        <w:t>冲击韧性</w:t>
      </w:r>
    </w:p>
    <w:p w14:paraId="6A2B5D92">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限位块及转子总成的冲击韧性应符合表10的规定。</w:t>
      </w:r>
    </w:p>
    <w:p w14:paraId="6BA12751">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表10 冲击韧性要求</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919"/>
        <w:gridCol w:w="3576"/>
        <w:gridCol w:w="3576"/>
      </w:tblGrid>
      <w:tr w14:paraId="0594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20F6A230">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材料牌号</w:t>
            </w:r>
          </w:p>
        </w:tc>
        <w:tc>
          <w:tcPr>
            <w:tcW w:w="0" w:type="auto"/>
            <w:shd w:val="clear" w:color="auto" w:fill="auto"/>
            <w:vAlign w:val="center"/>
          </w:tcPr>
          <w:p w14:paraId="3A25686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冲击吸收功（J）</w:t>
            </w:r>
          </w:p>
        </w:tc>
        <w:tc>
          <w:tcPr>
            <w:tcW w:w="0" w:type="auto"/>
            <w:shd w:val="clear" w:color="auto" w:fill="auto"/>
            <w:vAlign w:val="center"/>
          </w:tcPr>
          <w:p w14:paraId="42A39C2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试验温度</w:t>
            </w:r>
          </w:p>
        </w:tc>
      </w:tr>
      <w:tr w14:paraId="4F8B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0" w:type="auto"/>
            <w:shd w:val="clear" w:color="auto" w:fill="auto"/>
            <w:vAlign w:val="center"/>
          </w:tcPr>
          <w:p w14:paraId="2E278F28">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F-02C</w:t>
            </w:r>
          </w:p>
        </w:tc>
        <w:tc>
          <w:tcPr>
            <w:tcW w:w="0" w:type="auto"/>
            <w:shd w:val="clear" w:color="auto" w:fill="auto"/>
            <w:vAlign w:val="center"/>
          </w:tcPr>
          <w:p w14:paraId="62D04E2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≥15</w:t>
            </w:r>
          </w:p>
        </w:tc>
        <w:tc>
          <w:tcPr>
            <w:tcW w:w="0" w:type="auto"/>
            <w:shd w:val="clear" w:color="auto" w:fill="auto"/>
            <w:vAlign w:val="center"/>
          </w:tcPr>
          <w:p w14:paraId="5F2F04E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室温（23±5）℃</w:t>
            </w:r>
          </w:p>
        </w:tc>
      </w:tr>
      <w:tr w14:paraId="0F24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0" w:type="auto"/>
            <w:shd w:val="clear" w:color="auto" w:fill="auto"/>
            <w:vAlign w:val="center"/>
          </w:tcPr>
          <w:p w14:paraId="56F10B6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F-05Cu</w:t>
            </w:r>
          </w:p>
        </w:tc>
        <w:tc>
          <w:tcPr>
            <w:tcW w:w="0" w:type="auto"/>
            <w:shd w:val="clear" w:color="auto" w:fill="auto"/>
            <w:vAlign w:val="center"/>
          </w:tcPr>
          <w:p w14:paraId="6AE0B85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≥18</w:t>
            </w:r>
          </w:p>
        </w:tc>
        <w:tc>
          <w:tcPr>
            <w:tcW w:w="0" w:type="auto"/>
            <w:shd w:val="clear" w:color="auto" w:fill="auto"/>
            <w:vAlign w:val="center"/>
          </w:tcPr>
          <w:p w14:paraId="25EA6A17">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室温（23±5）℃</w:t>
            </w:r>
          </w:p>
        </w:tc>
      </w:tr>
      <w:tr w14:paraId="7837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0" w:type="auto"/>
            <w:shd w:val="clear" w:color="auto" w:fill="auto"/>
            <w:vAlign w:val="center"/>
          </w:tcPr>
          <w:p w14:paraId="4C7E4F1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F-07CuMo</w:t>
            </w:r>
          </w:p>
        </w:tc>
        <w:tc>
          <w:tcPr>
            <w:tcW w:w="0" w:type="auto"/>
            <w:shd w:val="clear" w:color="auto" w:fill="auto"/>
            <w:vAlign w:val="center"/>
          </w:tcPr>
          <w:p w14:paraId="4237398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≥20</w:t>
            </w:r>
          </w:p>
        </w:tc>
        <w:tc>
          <w:tcPr>
            <w:tcW w:w="0" w:type="auto"/>
            <w:shd w:val="clear" w:color="auto" w:fill="auto"/>
            <w:vAlign w:val="center"/>
          </w:tcPr>
          <w:p w14:paraId="2785D25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室温（23±5）℃</w:t>
            </w:r>
          </w:p>
        </w:tc>
      </w:tr>
    </w:tbl>
    <w:p w14:paraId="454B0BEF">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20" w:name="_Toc28825"/>
      <w:r>
        <w:rPr>
          <w:rFonts w:hint="eastAsia"/>
          <w:strike w:val="0"/>
          <w:dstrike w:val="0"/>
          <w:highlight w:val="none"/>
          <w:lang w:val="en-US" w:eastAsia="zh-CN"/>
        </w:rPr>
        <w:t>表面质量</w:t>
      </w:r>
      <w:bookmarkEnd w:id="120"/>
    </w:p>
    <w:p w14:paraId="0CBFFB10">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限位块及转子总成表面应无裂纹、气孔、缩孔、分层、毛刺、锈蚀等缺陷。</w:t>
      </w:r>
    </w:p>
    <w:p w14:paraId="76206406">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表面粗糙度应符合表11的规定。</w:t>
      </w:r>
    </w:p>
    <w:p w14:paraId="1E6187FE">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表11 表面粗糙度要求</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060"/>
        <w:gridCol w:w="4252"/>
        <w:gridCol w:w="1759"/>
      </w:tblGrid>
      <w:tr w14:paraId="1A02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517CDC1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部位</w:t>
            </w:r>
          </w:p>
        </w:tc>
        <w:tc>
          <w:tcPr>
            <w:tcW w:w="0" w:type="auto"/>
            <w:shd w:val="clear" w:color="auto" w:fill="auto"/>
            <w:vAlign w:val="center"/>
          </w:tcPr>
          <w:p w14:paraId="139116A2">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表面粗糙度Ra（μm）</w:t>
            </w:r>
          </w:p>
        </w:tc>
        <w:tc>
          <w:tcPr>
            <w:tcW w:w="0" w:type="auto"/>
            <w:shd w:val="clear" w:color="auto" w:fill="auto"/>
            <w:vAlign w:val="center"/>
          </w:tcPr>
          <w:p w14:paraId="2577D8F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备注</w:t>
            </w:r>
          </w:p>
        </w:tc>
      </w:tr>
      <w:tr w14:paraId="1A80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7D3595B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转子外圆工作面</w:t>
            </w:r>
          </w:p>
        </w:tc>
        <w:tc>
          <w:tcPr>
            <w:tcW w:w="0" w:type="auto"/>
            <w:shd w:val="clear" w:color="auto" w:fill="auto"/>
            <w:vAlign w:val="center"/>
          </w:tcPr>
          <w:p w14:paraId="08EB8CC9">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≤0.8</w:t>
            </w:r>
          </w:p>
        </w:tc>
        <w:tc>
          <w:tcPr>
            <w:tcW w:w="0" w:type="auto"/>
            <w:shd w:val="clear" w:color="auto" w:fill="auto"/>
            <w:vAlign w:val="center"/>
          </w:tcPr>
          <w:p w14:paraId="53830F9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精加工面</w:t>
            </w:r>
          </w:p>
        </w:tc>
      </w:tr>
      <w:tr w14:paraId="72B5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0E88E3F7">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转子内孔工作面</w:t>
            </w:r>
          </w:p>
        </w:tc>
        <w:tc>
          <w:tcPr>
            <w:tcW w:w="0" w:type="auto"/>
            <w:shd w:val="clear" w:color="auto" w:fill="auto"/>
            <w:vAlign w:val="center"/>
          </w:tcPr>
          <w:p w14:paraId="6505CFB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≤0.8</w:t>
            </w:r>
          </w:p>
        </w:tc>
        <w:tc>
          <w:tcPr>
            <w:tcW w:w="0" w:type="auto"/>
            <w:shd w:val="clear" w:color="auto" w:fill="auto"/>
            <w:vAlign w:val="center"/>
          </w:tcPr>
          <w:p w14:paraId="6D33C25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精加工面</w:t>
            </w:r>
          </w:p>
        </w:tc>
      </w:tr>
      <w:tr w14:paraId="3DBF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2F50F57B">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转子端面</w:t>
            </w:r>
          </w:p>
        </w:tc>
        <w:tc>
          <w:tcPr>
            <w:tcW w:w="0" w:type="auto"/>
            <w:shd w:val="clear" w:color="auto" w:fill="auto"/>
            <w:vAlign w:val="center"/>
          </w:tcPr>
          <w:p w14:paraId="6739FF2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≤1.6</w:t>
            </w:r>
          </w:p>
        </w:tc>
        <w:tc>
          <w:tcPr>
            <w:tcW w:w="0" w:type="auto"/>
            <w:shd w:val="clear" w:color="auto" w:fill="auto"/>
            <w:vAlign w:val="center"/>
          </w:tcPr>
          <w:p w14:paraId="4AE8B6EF">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w:t>
            </w:r>
          </w:p>
        </w:tc>
      </w:tr>
      <w:tr w14:paraId="7AB7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6CCC3ED7">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叶片槽工作面</w:t>
            </w:r>
          </w:p>
        </w:tc>
        <w:tc>
          <w:tcPr>
            <w:tcW w:w="0" w:type="auto"/>
            <w:shd w:val="clear" w:color="auto" w:fill="auto"/>
            <w:vAlign w:val="center"/>
          </w:tcPr>
          <w:p w14:paraId="0984AD5F">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≤1.6</w:t>
            </w:r>
          </w:p>
        </w:tc>
        <w:tc>
          <w:tcPr>
            <w:tcW w:w="0" w:type="auto"/>
            <w:shd w:val="clear" w:color="auto" w:fill="auto"/>
            <w:vAlign w:val="center"/>
          </w:tcPr>
          <w:p w14:paraId="796D1710">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w:t>
            </w:r>
          </w:p>
        </w:tc>
      </w:tr>
      <w:tr w14:paraId="3B35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0" w:type="auto"/>
            <w:shd w:val="clear" w:color="auto" w:fill="auto"/>
            <w:vAlign w:val="center"/>
          </w:tcPr>
          <w:p w14:paraId="7078A0C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限位块工作面</w:t>
            </w:r>
          </w:p>
        </w:tc>
        <w:tc>
          <w:tcPr>
            <w:tcW w:w="0" w:type="auto"/>
            <w:shd w:val="clear" w:color="auto" w:fill="auto"/>
            <w:vAlign w:val="center"/>
          </w:tcPr>
          <w:p w14:paraId="6E78130A">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≤1.6</w:t>
            </w:r>
          </w:p>
        </w:tc>
        <w:tc>
          <w:tcPr>
            <w:tcW w:w="0" w:type="auto"/>
            <w:shd w:val="clear" w:color="auto" w:fill="auto"/>
            <w:vAlign w:val="center"/>
          </w:tcPr>
          <w:p w14:paraId="005E6A59">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w:t>
            </w:r>
          </w:p>
        </w:tc>
      </w:tr>
      <w:tr w14:paraId="0CD1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4913F385">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非工作面</w:t>
            </w:r>
          </w:p>
        </w:tc>
        <w:tc>
          <w:tcPr>
            <w:tcW w:w="0" w:type="auto"/>
            <w:shd w:val="clear" w:color="auto" w:fill="auto"/>
            <w:vAlign w:val="center"/>
          </w:tcPr>
          <w:p w14:paraId="65739390">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≤3.2</w:t>
            </w:r>
          </w:p>
        </w:tc>
        <w:tc>
          <w:tcPr>
            <w:tcW w:w="0" w:type="auto"/>
            <w:shd w:val="clear" w:color="auto" w:fill="auto"/>
            <w:vAlign w:val="center"/>
          </w:tcPr>
          <w:p w14:paraId="5A0E4CF9">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w:t>
            </w:r>
          </w:p>
        </w:tc>
      </w:tr>
    </w:tbl>
    <w:p w14:paraId="0DFC88B9">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限位块及转子总成的外观应均匀一致，色泽正常，无明显氧化色。</w:t>
      </w:r>
    </w:p>
    <w:p w14:paraId="4D36BA8C">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21" w:name="_Toc3987"/>
      <w:r>
        <w:rPr>
          <w:rFonts w:hint="eastAsia"/>
          <w:strike w:val="0"/>
          <w:dstrike w:val="0"/>
          <w:highlight w:val="none"/>
          <w:lang w:val="en-US" w:eastAsia="zh-CN"/>
        </w:rPr>
        <w:t>热处理要求</w:t>
      </w:r>
      <w:bookmarkEnd w:id="121"/>
    </w:p>
    <w:p w14:paraId="47E7251C">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根据产品使用要求，限位块及转子总成可进行渗碳、碳氮共渗、淬火+回火等热处理。</w:t>
      </w:r>
    </w:p>
    <w:p w14:paraId="2F06850C">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渗碳或碳氮共渗硬化层深度应符合表12的规定。</w:t>
      </w:r>
    </w:p>
    <w:p w14:paraId="6B9032C9">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表12 硬化层深度要求</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954"/>
        <w:gridCol w:w="4210"/>
        <w:gridCol w:w="1907"/>
      </w:tblGrid>
      <w:tr w14:paraId="4079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29B570E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部位</w:t>
            </w:r>
          </w:p>
        </w:tc>
        <w:tc>
          <w:tcPr>
            <w:tcW w:w="0" w:type="auto"/>
            <w:shd w:val="clear" w:color="auto" w:fill="auto"/>
            <w:vAlign w:val="center"/>
          </w:tcPr>
          <w:p w14:paraId="2102EFB8">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有效硬化层深度（mm）</w:t>
            </w:r>
          </w:p>
        </w:tc>
        <w:tc>
          <w:tcPr>
            <w:tcW w:w="0" w:type="auto"/>
            <w:shd w:val="clear" w:color="auto" w:fill="auto"/>
            <w:vAlign w:val="center"/>
          </w:tcPr>
          <w:p w14:paraId="3FA6D26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测定方法</w:t>
            </w:r>
          </w:p>
        </w:tc>
      </w:tr>
      <w:tr w14:paraId="5D34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59882A9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转子叶片工作面</w:t>
            </w:r>
          </w:p>
        </w:tc>
        <w:tc>
          <w:tcPr>
            <w:tcW w:w="0" w:type="auto"/>
            <w:shd w:val="clear" w:color="auto" w:fill="auto"/>
            <w:vAlign w:val="center"/>
          </w:tcPr>
          <w:p w14:paraId="1CB9F513">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0.30～0.80</w:t>
            </w:r>
          </w:p>
        </w:tc>
        <w:tc>
          <w:tcPr>
            <w:tcW w:w="0" w:type="auto"/>
            <w:shd w:val="clear" w:color="auto" w:fill="auto"/>
            <w:vAlign w:val="center"/>
          </w:tcPr>
          <w:p w14:paraId="1EC8CB18">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GB/T 9095</w:t>
            </w:r>
          </w:p>
        </w:tc>
      </w:tr>
      <w:tr w14:paraId="1FC3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57C8030E">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转子内孔工作面</w:t>
            </w:r>
          </w:p>
        </w:tc>
        <w:tc>
          <w:tcPr>
            <w:tcW w:w="0" w:type="auto"/>
            <w:shd w:val="clear" w:color="auto" w:fill="auto"/>
            <w:vAlign w:val="center"/>
          </w:tcPr>
          <w:p w14:paraId="2D1BCA3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0.20～0.60</w:t>
            </w:r>
          </w:p>
        </w:tc>
        <w:tc>
          <w:tcPr>
            <w:tcW w:w="0" w:type="auto"/>
            <w:shd w:val="clear" w:color="auto" w:fill="auto"/>
            <w:vAlign w:val="center"/>
          </w:tcPr>
          <w:p w14:paraId="2674BE36">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GB/T 9095</w:t>
            </w:r>
          </w:p>
        </w:tc>
      </w:tr>
      <w:tr w14:paraId="7940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0DCCAE5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限位块工作面</w:t>
            </w:r>
          </w:p>
        </w:tc>
        <w:tc>
          <w:tcPr>
            <w:tcW w:w="0" w:type="auto"/>
            <w:shd w:val="clear" w:color="auto" w:fill="auto"/>
            <w:vAlign w:val="center"/>
          </w:tcPr>
          <w:p w14:paraId="252AFEA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0.25～0.70</w:t>
            </w:r>
          </w:p>
        </w:tc>
        <w:tc>
          <w:tcPr>
            <w:tcW w:w="0" w:type="auto"/>
            <w:shd w:val="clear" w:color="auto" w:fill="auto"/>
            <w:vAlign w:val="center"/>
          </w:tcPr>
          <w:p w14:paraId="4737743D">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GB/T 9095</w:t>
            </w:r>
          </w:p>
        </w:tc>
      </w:tr>
    </w:tbl>
    <w:p w14:paraId="13C30489">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热处理后零件表面不应有氧化脱碳、过热、过烧等缺陷。</w:t>
      </w:r>
    </w:p>
    <w:p w14:paraId="287C849E">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22" w:name="_Toc26080"/>
      <w:r>
        <w:rPr>
          <w:rFonts w:hint="eastAsia"/>
          <w:strike w:val="0"/>
          <w:dstrike w:val="0"/>
          <w:highlight w:val="none"/>
          <w:lang w:val="en-US" w:eastAsia="zh-CN"/>
        </w:rPr>
        <w:t>功能性能要求</w:t>
      </w:r>
      <w:bookmarkEnd w:id="122"/>
    </w:p>
    <w:p w14:paraId="0F31FAFC">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限位块及转子总成应在油压0.1 MPa～0.6 MPa范围内平稳转动，无卡滞、异响现象。</w:t>
      </w:r>
    </w:p>
    <w:p w14:paraId="5A1B025B">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限位块限位角度偏差不应超过设计值的±0.5°。</w:t>
      </w:r>
    </w:p>
    <w:p w14:paraId="31E1735D">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总成在最高工作转速（12000 r/min）条件下持续运转30 min，不应出现松动、变形、断裂等失效。</w:t>
      </w:r>
    </w:p>
    <w:p w14:paraId="7FD907C4">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总成在-40 ℃～150 ℃温度范围内应能正常工作。</w:t>
      </w:r>
    </w:p>
    <w:p w14:paraId="36F77370">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总成应能承受不低于10⁷次的工作循环而不出现疲劳失效。</w:t>
      </w:r>
    </w:p>
    <w:p w14:paraId="531C6C30">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在1.2倍最高工作油压下保压5 min，总成各部位不应有渗漏现象。</w:t>
      </w:r>
    </w:p>
    <w:p w14:paraId="4DCD0871">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23" w:name="_Toc3260"/>
      <w:r>
        <w:rPr>
          <w:rFonts w:hint="eastAsia"/>
          <w:strike w:val="0"/>
          <w:dstrike w:val="0"/>
          <w:highlight w:val="none"/>
          <w:lang w:val="en-US" w:eastAsia="zh-CN"/>
        </w:rPr>
        <w:t>清洁度要求</w:t>
      </w:r>
      <w:bookmarkEnd w:id="123"/>
    </w:p>
    <w:p w14:paraId="0936F7BE">
      <w:pPr>
        <w:pStyle w:val="69"/>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ind w:leftChars="0" w:firstLine="420" w:firstLineChars="200"/>
        <w:textAlignment w:val="auto"/>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限位块及转子总成内腔及表面的残留污物质量应符合表13的规定。</w:t>
      </w:r>
    </w:p>
    <w:p w14:paraId="4763E150">
      <w:pPr>
        <w:pStyle w:val="60"/>
        <w:spacing w:line="240" w:lineRule="auto"/>
        <w:ind w:left="0" w:leftChars="0" w:firstLine="0" w:firstLineChars="0"/>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表13 清洁度要求</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759"/>
        <w:gridCol w:w="2393"/>
        <w:gridCol w:w="1919"/>
      </w:tblGrid>
      <w:tr w14:paraId="6BA2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tblHeader/>
          <w:jc w:val="center"/>
        </w:trPr>
        <w:tc>
          <w:tcPr>
            <w:tcW w:w="0" w:type="auto"/>
            <w:shd w:val="clear" w:color="auto" w:fill="auto"/>
            <w:vAlign w:val="center"/>
          </w:tcPr>
          <w:p w14:paraId="061E5EB4">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项目</w:t>
            </w:r>
          </w:p>
        </w:tc>
        <w:tc>
          <w:tcPr>
            <w:tcW w:w="0" w:type="auto"/>
            <w:shd w:val="clear" w:color="auto" w:fill="auto"/>
            <w:vAlign w:val="center"/>
          </w:tcPr>
          <w:p w14:paraId="5D8E82C0">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限值（mg）</w:t>
            </w:r>
          </w:p>
        </w:tc>
        <w:tc>
          <w:tcPr>
            <w:tcW w:w="0" w:type="auto"/>
            <w:shd w:val="clear" w:color="auto" w:fill="auto"/>
            <w:vAlign w:val="center"/>
          </w:tcPr>
          <w:p w14:paraId="062EA928">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测定方法</w:t>
            </w:r>
          </w:p>
        </w:tc>
      </w:tr>
      <w:tr w14:paraId="3F26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18E4BE43">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总成内部残留污物总量</w:t>
            </w:r>
          </w:p>
        </w:tc>
        <w:tc>
          <w:tcPr>
            <w:tcW w:w="0" w:type="auto"/>
            <w:shd w:val="clear" w:color="auto" w:fill="auto"/>
            <w:vAlign w:val="center"/>
          </w:tcPr>
          <w:p w14:paraId="46C9949C">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≤10</w:t>
            </w:r>
          </w:p>
        </w:tc>
        <w:tc>
          <w:tcPr>
            <w:tcW w:w="0" w:type="auto"/>
            <w:shd w:val="clear" w:color="auto" w:fill="auto"/>
            <w:vAlign w:val="center"/>
          </w:tcPr>
          <w:p w14:paraId="6A002B3F">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称重法</w:t>
            </w:r>
          </w:p>
        </w:tc>
      </w:tr>
      <w:tr w14:paraId="181A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0" w:type="auto"/>
            <w:shd w:val="clear" w:color="auto" w:fill="auto"/>
            <w:vAlign w:val="center"/>
          </w:tcPr>
          <w:p w14:paraId="78F67C92">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最大颗粒尺寸</w:t>
            </w:r>
          </w:p>
        </w:tc>
        <w:tc>
          <w:tcPr>
            <w:tcW w:w="0" w:type="auto"/>
            <w:shd w:val="clear" w:color="auto" w:fill="auto"/>
            <w:vAlign w:val="center"/>
          </w:tcPr>
          <w:p w14:paraId="24AE9CA1">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≤0.5 mm</w:t>
            </w:r>
          </w:p>
        </w:tc>
        <w:tc>
          <w:tcPr>
            <w:tcW w:w="0" w:type="auto"/>
            <w:shd w:val="clear" w:color="auto" w:fill="auto"/>
            <w:vAlign w:val="center"/>
          </w:tcPr>
          <w:p w14:paraId="4FA6321F">
            <w:pPr>
              <w:keepNext w:val="0"/>
              <w:keepLines w:val="0"/>
              <w:widowControl/>
              <w:suppressLineNumbers w:val="0"/>
              <w:spacing w:line="240" w:lineRule="auto"/>
              <w:jc w:val="center"/>
              <w:rPr>
                <w:rFonts w:hint="eastAsia" w:ascii="宋体" w:hAnsi="宋体" w:eastAsia="宋体" w:cs="宋体"/>
                <w:b w:val="0"/>
                <w:bCs w:val="0"/>
                <w:i w:val="0"/>
                <w:iCs w:val="0"/>
                <w:caps w:val="0"/>
                <w:color w:val="0F1115"/>
                <w:spacing w:val="0"/>
                <w:kern w:val="0"/>
                <w:sz w:val="18"/>
                <w:szCs w:val="18"/>
                <w:lang w:val="en-US" w:eastAsia="zh-CN" w:bidi="ar"/>
              </w:rPr>
            </w:pPr>
            <w:r>
              <w:rPr>
                <w:rFonts w:hint="eastAsia" w:ascii="宋体" w:hAnsi="宋体" w:eastAsia="宋体" w:cs="宋体"/>
                <w:b w:val="0"/>
                <w:bCs w:val="0"/>
                <w:i w:val="0"/>
                <w:iCs w:val="0"/>
                <w:caps w:val="0"/>
                <w:color w:val="0F1115"/>
                <w:spacing w:val="0"/>
                <w:kern w:val="0"/>
                <w:sz w:val="18"/>
                <w:szCs w:val="18"/>
                <w:lang w:val="en-US" w:eastAsia="zh-CN" w:bidi="ar"/>
              </w:rPr>
              <w:t>筛分法</w:t>
            </w:r>
          </w:p>
        </w:tc>
      </w:tr>
    </w:tbl>
    <w:p w14:paraId="65BE77DC">
      <w:pPr>
        <w:pStyle w:val="108"/>
        <w:rPr>
          <w:rFonts w:hint="eastAsia"/>
          <w:lang w:val="en-US" w:eastAsia="zh-CN"/>
        </w:rPr>
      </w:pPr>
      <w:bookmarkStart w:id="124" w:name="_Toc4241"/>
      <w:r>
        <w:rPr>
          <w:rFonts w:hint="eastAsia"/>
          <w:lang w:val="en-US" w:eastAsia="zh-CN"/>
        </w:rPr>
        <w:t>试验方法</w:t>
      </w:r>
      <w:bookmarkEnd w:id="124"/>
    </w:p>
    <w:p w14:paraId="60DAD482">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25" w:name="_Toc31426"/>
      <w:r>
        <w:rPr>
          <w:rFonts w:hint="eastAsia"/>
          <w:strike w:val="0"/>
          <w:dstrike w:val="0"/>
          <w:highlight w:val="none"/>
          <w:lang w:val="en-US" w:eastAsia="zh-CN"/>
        </w:rPr>
        <w:t>外观检验</w:t>
      </w:r>
      <w:bookmarkEnd w:id="125"/>
    </w:p>
    <w:p w14:paraId="50F6FA4D">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在充足自然光或等效照明条件下，以目视方法检查限位块及转子总成的表面质量，必要时可使用10倍放大镜辅助检查。</w:t>
      </w:r>
    </w:p>
    <w:p w14:paraId="12C355EB">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26" w:name="_Toc32338"/>
      <w:r>
        <w:rPr>
          <w:rFonts w:hint="eastAsia"/>
          <w:strike w:val="0"/>
          <w:dstrike w:val="0"/>
          <w:highlight w:val="none"/>
          <w:lang w:val="en-US" w:eastAsia="zh-CN"/>
        </w:rPr>
        <w:t>尺寸与公差试验</w:t>
      </w:r>
      <w:bookmarkEnd w:id="126"/>
    </w:p>
    <w:p w14:paraId="5BEF4DC3">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尺寸检验应按GB/T 1958的规定执行。</w:t>
      </w:r>
    </w:p>
    <w:p w14:paraId="3C8B12BA">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线性尺寸采用精度不低于0.001 mm的量具或量仪测量。</w:t>
      </w:r>
    </w:p>
    <w:p w14:paraId="0C63C2EC">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形位公差采用三坐标测量机或专用检具测量。</w:t>
      </w:r>
    </w:p>
    <w:p w14:paraId="5FF3471D">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角度采用万能角度尺或光学分度头测量，测量精度不低于±2′。</w:t>
      </w:r>
    </w:p>
    <w:p w14:paraId="1130FBD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27" w:name="_Toc938"/>
      <w:r>
        <w:rPr>
          <w:rFonts w:hint="eastAsia"/>
          <w:strike w:val="0"/>
          <w:dstrike w:val="0"/>
          <w:highlight w:val="none"/>
          <w:lang w:val="en-US" w:eastAsia="zh-CN"/>
        </w:rPr>
        <w:t>物理力学性能试验</w:t>
      </w:r>
      <w:bookmarkEnd w:id="127"/>
    </w:p>
    <w:p w14:paraId="65B25B50">
      <w:pPr>
        <w:pStyle w:val="69"/>
        <w:bidi w:val="0"/>
        <w:ind w:left="0" w:leftChars="0" w:firstLine="0" w:firstLineChars="0"/>
        <w:rPr>
          <w:rFonts w:hint="eastAsia"/>
          <w:lang w:val="en-US" w:eastAsia="zh-CN"/>
        </w:rPr>
      </w:pPr>
      <w:r>
        <w:rPr>
          <w:rFonts w:hint="eastAsia"/>
          <w:lang w:val="en-US" w:eastAsia="zh-CN"/>
        </w:rPr>
        <w:t>密度测定</w:t>
      </w:r>
    </w:p>
    <w:p w14:paraId="6451648E">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密度测定应按GB/T 5161的规定执行。试样应在烧结态或热处理后状态下测定，测定结果取3个试样的算术平均值。</w:t>
      </w:r>
    </w:p>
    <w:p w14:paraId="2FC195BE">
      <w:pPr>
        <w:pStyle w:val="69"/>
        <w:bidi w:val="0"/>
        <w:ind w:left="0" w:leftChars="0" w:firstLine="0" w:firstLineChars="0"/>
        <w:rPr>
          <w:rFonts w:hint="eastAsia"/>
          <w:lang w:val="en-US" w:eastAsia="zh-CN"/>
        </w:rPr>
      </w:pPr>
      <w:r>
        <w:rPr>
          <w:rFonts w:hint="eastAsia"/>
          <w:lang w:val="en-US" w:eastAsia="zh-CN"/>
        </w:rPr>
        <w:t>硬度测定</w:t>
      </w:r>
    </w:p>
    <w:p w14:paraId="05A6E511">
      <w:pPr>
        <w:pStyle w:val="60"/>
        <w:spacing w:line="240" w:lineRule="auto"/>
        <w:ind w:left="0" w:leftChars="0" w:firstLine="420" w:firstLineChars="200"/>
        <w:rPr>
          <w:rFonts w:hint="default" w:ascii="宋体" w:hAnsi="宋体" w:eastAsia="宋体" w:cs="宋体"/>
          <w:b w:val="0"/>
          <w:bCs w:val="0"/>
          <w:sz w:val="21"/>
          <w:szCs w:val="21"/>
          <w:lang w:val="en-US" w:eastAsia="zh-CN"/>
        </w:rPr>
      </w:pPr>
      <w:r>
        <w:rPr>
          <w:rFonts w:hint="eastAsia" w:hAnsi="宋体" w:cs="宋体"/>
          <w:b w:val="0"/>
          <w:bCs w:val="0"/>
          <w:sz w:val="21"/>
          <w:szCs w:val="21"/>
          <w:lang w:val="en-US" w:eastAsia="zh-CN"/>
        </w:rPr>
        <w:t>应按照以下规定进行：</w:t>
      </w:r>
    </w:p>
    <w:p w14:paraId="18B3A4B4">
      <w:pPr>
        <w:pStyle w:val="178"/>
        <w:numPr>
          <w:ilvl w:val="0"/>
          <w:numId w:val="41"/>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洛氏硬度（HRB/HRC）测定应按GB/T 230.1的规定执行</w:t>
      </w:r>
      <w:r>
        <w:rPr>
          <w:rFonts w:hint="eastAsia" w:hAnsi="宋体" w:cs="宋体"/>
          <w:b w:val="0"/>
          <w:bCs w:val="0"/>
          <w:sz w:val="21"/>
          <w:szCs w:val="21"/>
          <w:lang w:val="en-US" w:eastAsia="zh-CN"/>
        </w:rPr>
        <w:t>；</w:t>
      </w:r>
    </w:p>
    <w:p w14:paraId="75B37637">
      <w:pPr>
        <w:pStyle w:val="178"/>
        <w:numPr>
          <w:ilvl w:val="0"/>
          <w:numId w:val="41"/>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表观硬度测定应按GB/T 9097的规定执行</w:t>
      </w:r>
      <w:r>
        <w:rPr>
          <w:rFonts w:hint="eastAsia" w:hAnsi="宋体" w:cs="宋体"/>
          <w:b w:val="0"/>
          <w:bCs w:val="0"/>
          <w:sz w:val="21"/>
          <w:szCs w:val="21"/>
          <w:lang w:val="en-US" w:eastAsia="zh-CN"/>
        </w:rPr>
        <w:t>；</w:t>
      </w:r>
    </w:p>
    <w:p w14:paraId="40693E90">
      <w:pPr>
        <w:pStyle w:val="178"/>
        <w:numPr>
          <w:ilvl w:val="0"/>
          <w:numId w:val="41"/>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硬度测定应在零件工作表面或专用试样上进行，每件至少测定3点，取算术平均值。</w:t>
      </w:r>
    </w:p>
    <w:p w14:paraId="02FF4BD3">
      <w:pPr>
        <w:pStyle w:val="69"/>
        <w:bidi w:val="0"/>
        <w:ind w:left="0" w:leftChars="0" w:firstLine="0" w:firstLineChars="0"/>
        <w:rPr>
          <w:rFonts w:hint="eastAsia"/>
          <w:lang w:val="en-US" w:eastAsia="zh-CN"/>
        </w:rPr>
      </w:pPr>
      <w:r>
        <w:rPr>
          <w:rFonts w:hint="eastAsia"/>
          <w:lang w:val="en-US" w:eastAsia="zh-CN"/>
        </w:rPr>
        <w:t>抗拉强度测定</w:t>
      </w:r>
    </w:p>
    <w:p w14:paraId="16ACE404">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抗拉强度测定应按GB/T 7964的规定执行。试样应按GB/T 7963的要求制备。</w:t>
      </w:r>
    </w:p>
    <w:p w14:paraId="43C9B3CF">
      <w:pPr>
        <w:pStyle w:val="69"/>
        <w:bidi w:val="0"/>
        <w:ind w:left="0" w:leftChars="0" w:firstLine="0" w:firstLineChars="0"/>
        <w:rPr>
          <w:rFonts w:hint="eastAsia"/>
          <w:lang w:val="en-US" w:eastAsia="zh-CN"/>
        </w:rPr>
      </w:pPr>
      <w:r>
        <w:rPr>
          <w:rFonts w:hint="eastAsia"/>
          <w:lang w:val="en-US" w:eastAsia="zh-CN"/>
        </w:rPr>
        <w:t>横向断裂强度测定</w:t>
      </w:r>
    </w:p>
    <w:p w14:paraId="373C8A85">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横向断裂强度测定应按GB/T 5319的规定执行。</w:t>
      </w:r>
    </w:p>
    <w:p w14:paraId="0B4744E7">
      <w:pPr>
        <w:pStyle w:val="69"/>
        <w:bidi w:val="0"/>
        <w:ind w:left="0" w:leftChars="0" w:firstLine="0" w:firstLineChars="0"/>
        <w:rPr>
          <w:rFonts w:hint="eastAsia"/>
          <w:lang w:val="en-US" w:eastAsia="zh-CN"/>
        </w:rPr>
      </w:pPr>
      <w:r>
        <w:rPr>
          <w:rFonts w:hint="eastAsia"/>
          <w:lang w:val="en-US" w:eastAsia="zh-CN"/>
        </w:rPr>
        <w:t>冲击韧性测定</w:t>
      </w:r>
    </w:p>
    <w:p w14:paraId="0952F533">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冲击韧性测定应按GB/T 9096的规定执行。采用夏比（Charpy）冲击试验方法，试样为无缺口或U型缺口试样。</w:t>
      </w:r>
    </w:p>
    <w:p w14:paraId="03D4FFE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28" w:name="_Toc58"/>
      <w:r>
        <w:rPr>
          <w:rFonts w:hint="eastAsia"/>
          <w:strike w:val="0"/>
          <w:dstrike w:val="0"/>
          <w:highlight w:val="none"/>
          <w:lang w:val="en-US" w:eastAsia="zh-CN"/>
        </w:rPr>
        <w:t>表面粗糙度测定</w:t>
      </w:r>
      <w:bookmarkEnd w:id="128"/>
    </w:p>
    <w:p w14:paraId="5F7E25DE">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表面粗糙度测定应按GB/T 12767的规定执行，采用粗糙度测量仪测量，取样长度和评定长度应符合相关标准要求。</w:t>
      </w:r>
    </w:p>
    <w:p w14:paraId="469C8A60">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29" w:name="_Toc28333"/>
      <w:r>
        <w:rPr>
          <w:rFonts w:hint="eastAsia"/>
          <w:strike w:val="0"/>
          <w:dstrike w:val="0"/>
          <w:highlight w:val="none"/>
          <w:lang w:val="en-US" w:eastAsia="zh-CN"/>
        </w:rPr>
        <w:t>硬化层深度测定</w:t>
      </w:r>
      <w:bookmarkEnd w:id="129"/>
    </w:p>
    <w:p w14:paraId="51F02745">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硬化层深度测定应按GB/T 9095的规定执行，采用显微硬度法测定有效硬化层深度。</w:t>
      </w:r>
    </w:p>
    <w:p w14:paraId="57535FFB">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30" w:name="_Toc6430"/>
      <w:r>
        <w:rPr>
          <w:rFonts w:hint="eastAsia"/>
          <w:strike w:val="0"/>
          <w:dstrike w:val="0"/>
          <w:highlight w:val="none"/>
          <w:lang w:val="en-US" w:eastAsia="zh-CN"/>
        </w:rPr>
        <w:t>功能性能试验</w:t>
      </w:r>
      <w:bookmarkEnd w:id="130"/>
    </w:p>
    <w:p w14:paraId="0D6E12FC">
      <w:pPr>
        <w:pStyle w:val="69"/>
        <w:bidi w:val="0"/>
        <w:ind w:left="0" w:leftChars="0" w:firstLine="0" w:firstLineChars="0"/>
        <w:rPr>
          <w:rFonts w:hint="eastAsia"/>
          <w:lang w:val="en-US" w:eastAsia="zh-CN"/>
        </w:rPr>
      </w:pPr>
      <w:r>
        <w:rPr>
          <w:rFonts w:hint="eastAsia"/>
          <w:lang w:val="en-US" w:eastAsia="zh-CN"/>
        </w:rPr>
        <w:t>转动灵活性试验</w:t>
      </w:r>
    </w:p>
    <w:p w14:paraId="6D201C3F">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将限位块及转子总成安装于专用试验台上，在0.1 MPa～0.6 MPa油压范围内驱动转子往复转动，检查是否有卡滞、异响。</w:t>
      </w:r>
    </w:p>
    <w:p w14:paraId="541A1C89">
      <w:pPr>
        <w:pStyle w:val="69"/>
        <w:bidi w:val="0"/>
        <w:ind w:left="0" w:leftChars="0" w:firstLine="0" w:firstLineChars="0"/>
        <w:rPr>
          <w:rFonts w:hint="eastAsia"/>
          <w:lang w:val="en-US" w:eastAsia="zh-CN"/>
        </w:rPr>
      </w:pPr>
      <w:r>
        <w:rPr>
          <w:rFonts w:hint="eastAsia"/>
          <w:lang w:val="en-US" w:eastAsia="zh-CN"/>
        </w:rPr>
        <w:t>限位角度试验</w:t>
      </w:r>
    </w:p>
    <w:p w14:paraId="4EF7C7C8">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采用角度传感器测量转子的实际转动角度，与设计值进行对比，偏差不应超过±0.5°。</w:t>
      </w:r>
    </w:p>
    <w:p w14:paraId="6955D142">
      <w:pPr>
        <w:pStyle w:val="69"/>
        <w:bidi w:val="0"/>
        <w:ind w:left="0" w:leftChars="0" w:firstLine="0" w:firstLineChars="0"/>
        <w:rPr>
          <w:rFonts w:hint="eastAsia"/>
          <w:lang w:val="en-US" w:eastAsia="zh-CN"/>
        </w:rPr>
      </w:pPr>
      <w:r>
        <w:rPr>
          <w:rFonts w:hint="eastAsia"/>
          <w:lang w:val="en-US" w:eastAsia="zh-CN"/>
        </w:rPr>
        <w:t>高速运转试验</w:t>
      </w:r>
    </w:p>
    <w:p w14:paraId="69C2EAA6">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将总成安装于高速试验台上，在12000 r/min转速下连续运转30 min，检查零件状态。</w:t>
      </w:r>
    </w:p>
    <w:p w14:paraId="4737ED5E">
      <w:pPr>
        <w:pStyle w:val="69"/>
        <w:bidi w:val="0"/>
        <w:ind w:left="0" w:leftChars="0" w:firstLine="0" w:firstLineChars="0"/>
        <w:rPr>
          <w:rFonts w:hint="eastAsia"/>
          <w:lang w:val="en-US" w:eastAsia="zh-CN"/>
        </w:rPr>
      </w:pPr>
      <w:r>
        <w:rPr>
          <w:rFonts w:hint="eastAsia"/>
          <w:lang w:val="en-US" w:eastAsia="zh-CN"/>
        </w:rPr>
        <w:t>温度循环试验</w:t>
      </w:r>
    </w:p>
    <w:p w14:paraId="309E8E3C">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将总成置于高低温试验箱中，在-40 ℃保温2 h后，以不大于3 ℃/min的速率升温至150 ℃保温2 h，循环3次，检查零件状态。</w:t>
      </w:r>
    </w:p>
    <w:p w14:paraId="5AA3A13C">
      <w:pPr>
        <w:pStyle w:val="69"/>
        <w:bidi w:val="0"/>
        <w:ind w:left="0" w:leftChars="0" w:firstLine="0" w:firstLineChars="0"/>
        <w:rPr>
          <w:rFonts w:hint="eastAsia"/>
          <w:lang w:val="en-US" w:eastAsia="zh-CN"/>
        </w:rPr>
      </w:pPr>
      <w:r>
        <w:rPr>
          <w:rFonts w:hint="eastAsia"/>
          <w:lang w:val="en-US" w:eastAsia="zh-CN"/>
        </w:rPr>
        <w:t>耐久性试验</w:t>
      </w:r>
    </w:p>
    <w:p w14:paraId="21E3C472">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在模拟发动机工作条件下，对总成施加不低于10⁷次的工作循环，检查零件是否出现疲劳失效。</w:t>
      </w:r>
    </w:p>
    <w:p w14:paraId="3990D375">
      <w:pPr>
        <w:pStyle w:val="69"/>
        <w:bidi w:val="0"/>
        <w:ind w:left="0" w:leftChars="0" w:firstLine="0" w:firstLineChars="0"/>
        <w:rPr>
          <w:rFonts w:hint="eastAsia"/>
          <w:lang w:val="en-US" w:eastAsia="zh-CN"/>
        </w:rPr>
      </w:pPr>
      <w:r>
        <w:rPr>
          <w:rFonts w:hint="eastAsia"/>
          <w:lang w:val="en-US" w:eastAsia="zh-CN"/>
        </w:rPr>
        <w:t>密封性试验</w:t>
      </w:r>
    </w:p>
    <w:p w14:paraId="1BB615A6">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将总成内部加压至1.2倍最高工作油压，保压5 min，检查各部位是否有渗漏现象。</w:t>
      </w:r>
    </w:p>
    <w:p w14:paraId="2682C892">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31" w:name="_Toc4580"/>
      <w:r>
        <w:rPr>
          <w:rFonts w:hint="eastAsia"/>
          <w:strike w:val="0"/>
          <w:dstrike w:val="0"/>
          <w:highlight w:val="none"/>
          <w:lang w:val="en-US" w:eastAsia="zh-CN"/>
        </w:rPr>
        <w:t>清洁度检验</w:t>
      </w:r>
      <w:bookmarkEnd w:id="131"/>
    </w:p>
    <w:p w14:paraId="6EE6A808">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将限位块及转子总成用规定溶剂进行清洗，收集清洗液中的残留物，经干燥后用精度不低于0.1 mg的天平称量，并按筛分法测定最大颗粒尺寸。</w:t>
      </w:r>
    </w:p>
    <w:p w14:paraId="31548B4F">
      <w:pPr>
        <w:pStyle w:val="108"/>
        <w:rPr>
          <w:rFonts w:hint="eastAsia"/>
          <w:lang w:val="en-US" w:eastAsia="zh-CN"/>
        </w:rPr>
      </w:pPr>
      <w:bookmarkStart w:id="132" w:name="_Toc29430"/>
      <w:r>
        <w:rPr>
          <w:rFonts w:hint="eastAsia"/>
          <w:lang w:val="en-US" w:eastAsia="zh-CN"/>
        </w:rPr>
        <w:t>检验规则</w:t>
      </w:r>
      <w:bookmarkEnd w:id="132"/>
    </w:p>
    <w:p w14:paraId="5A37C531">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33" w:name="_Toc4739"/>
      <w:r>
        <w:rPr>
          <w:rFonts w:hint="eastAsia"/>
          <w:strike w:val="0"/>
          <w:dstrike w:val="0"/>
          <w:highlight w:val="none"/>
          <w:lang w:val="en-US" w:eastAsia="zh-CN"/>
        </w:rPr>
        <w:t>检验分类</w:t>
      </w:r>
      <w:bookmarkEnd w:id="133"/>
    </w:p>
    <w:p w14:paraId="0FDA1C41">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限位块及转子总成的检验分为出厂检验和型式检验两类。</w:t>
      </w:r>
    </w:p>
    <w:p w14:paraId="1BDEFBB7">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34" w:name="_Toc15556"/>
      <w:r>
        <w:rPr>
          <w:rFonts w:hint="eastAsia"/>
          <w:strike w:val="0"/>
          <w:dstrike w:val="0"/>
          <w:highlight w:val="none"/>
          <w:lang w:val="en-US" w:eastAsia="zh-CN"/>
        </w:rPr>
        <w:t>出厂检验</w:t>
      </w:r>
      <w:bookmarkEnd w:id="134"/>
    </w:p>
    <w:p w14:paraId="0C3C81CD">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每件限位块及转子总成应经制造厂质量检验部门检验合格后方可出厂，并附有产品质量合格证。</w:t>
      </w:r>
    </w:p>
    <w:p w14:paraId="7B9513E0">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出厂检验项目应包括尺寸与公差、表面质量。</w:t>
      </w:r>
    </w:p>
    <w:p w14:paraId="0B386BD9">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35" w:name="_Toc28599"/>
      <w:r>
        <w:rPr>
          <w:rFonts w:hint="eastAsia"/>
          <w:strike w:val="0"/>
          <w:dstrike w:val="0"/>
          <w:highlight w:val="none"/>
          <w:lang w:val="en-US" w:eastAsia="zh-CN"/>
        </w:rPr>
        <w:t>型式检验</w:t>
      </w:r>
      <w:bookmarkEnd w:id="135"/>
    </w:p>
    <w:p w14:paraId="7F4D1ADE">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有下列情况之一时，应进行型式检验：</w:t>
      </w:r>
    </w:p>
    <w:p w14:paraId="35F64601">
      <w:pPr>
        <w:pStyle w:val="178"/>
        <w:numPr>
          <w:ilvl w:val="0"/>
          <w:numId w:val="42"/>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新产品或老产品转厂生产的试制定型鉴定；</w:t>
      </w:r>
    </w:p>
    <w:p w14:paraId="75832445">
      <w:pPr>
        <w:pStyle w:val="178"/>
        <w:numPr>
          <w:ilvl w:val="0"/>
          <w:numId w:val="42"/>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正式生产后，如材料、工艺有较大改变，可能影响产品性能时；</w:t>
      </w:r>
    </w:p>
    <w:p w14:paraId="59922A51">
      <w:pPr>
        <w:pStyle w:val="178"/>
        <w:numPr>
          <w:ilvl w:val="0"/>
          <w:numId w:val="42"/>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正常生产时，每两年应至少进行一次；</w:t>
      </w:r>
    </w:p>
    <w:p w14:paraId="3C372D90">
      <w:pPr>
        <w:pStyle w:val="178"/>
        <w:numPr>
          <w:ilvl w:val="0"/>
          <w:numId w:val="42"/>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产品长期停产后恢复生产时；</w:t>
      </w:r>
    </w:p>
    <w:p w14:paraId="0041D35A">
      <w:pPr>
        <w:pStyle w:val="178"/>
        <w:numPr>
          <w:ilvl w:val="0"/>
          <w:numId w:val="42"/>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出厂检验结果与上次型式检验有较大差异时。</w:t>
      </w:r>
    </w:p>
    <w:p w14:paraId="1F13DC4E">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型式检验项目应包括第5章中全部技术要求。</w:t>
      </w:r>
    </w:p>
    <w:p w14:paraId="00A67419">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型式检验的抽样应按GB/T 2829的规定执行，采用判别水平Ⅰ的一次抽样方案，不合格质量水平（RQL）值为40。</w:t>
      </w:r>
    </w:p>
    <w:p w14:paraId="21B702A3">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36" w:name="_Toc7273"/>
      <w:r>
        <w:rPr>
          <w:rFonts w:hint="eastAsia"/>
          <w:strike w:val="0"/>
          <w:dstrike w:val="0"/>
          <w:highlight w:val="none"/>
          <w:lang w:val="en-US" w:eastAsia="zh-CN"/>
        </w:rPr>
        <w:t>判定规则</w:t>
      </w:r>
      <w:bookmarkEnd w:id="136"/>
    </w:p>
    <w:p w14:paraId="5F574B80">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出厂检验中，若发现不合格品，应剔除不合格品后对该批次加倍抽样复检。若复检仍不合格，则判定该批次产品为不合格批。</w:t>
      </w:r>
    </w:p>
    <w:p w14:paraId="68B2F6BB">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型式检验中，若所有检验项目均符合要求，则判定型式检验合格。若有一项不符合要求，则判定型式检验不合格。</w:t>
      </w:r>
    </w:p>
    <w:p w14:paraId="16D2FC6B">
      <w:pPr>
        <w:pStyle w:val="108"/>
        <w:rPr>
          <w:rFonts w:hint="eastAsia"/>
          <w:lang w:val="en-US" w:eastAsia="zh-CN"/>
        </w:rPr>
      </w:pPr>
      <w:bookmarkStart w:id="137" w:name="_Toc30113"/>
      <w:r>
        <w:rPr>
          <w:rFonts w:hint="eastAsia"/>
          <w:lang w:val="en-US" w:eastAsia="zh-CN"/>
        </w:rPr>
        <w:t>标志、包装、运输和贮存</w:t>
      </w:r>
      <w:bookmarkEnd w:id="137"/>
    </w:p>
    <w:p w14:paraId="600EAC2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38" w:name="_Toc31806"/>
      <w:r>
        <w:rPr>
          <w:rFonts w:hint="eastAsia"/>
          <w:strike w:val="0"/>
          <w:dstrike w:val="0"/>
          <w:highlight w:val="none"/>
          <w:lang w:val="en-US" w:eastAsia="zh-CN"/>
        </w:rPr>
        <w:t>标志</w:t>
      </w:r>
      <w:bookmarkEnd w:id="138"/>
    </w:p>
    <w:p w14:paraId="2BF60925">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每件限位块及转子总成应在非工作面上清晰标注以下内容：</w:t>
      </w:r>
    </w:p>
    <w:p w14:paraId="218C1B28">
      <w:pPr>
        <w:pStyle w:val="178"/>
        <w:numPr>
          <w:ilvl w:val="0"/>
          <w:numId w:val="43"/>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制造厂名称或商标；</w:t>
      </w:r>
    </w:p>
    <w:p w14:paraId="7C327DF6">
      <w:pPr>
        <w:pStyle w:val="178"/>
        <w:numPr>
          <w:ilvl w:val="0"/>
          <w:numId w:val="43"/>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产品型号；</w:t>
      </w:r>
    </w:p>
    <w:p w14:paraId="6C3B90BE">
      <w:pPr>
        <w:pStyle w:val="178"/>
        <w:numPr>
          <w:ilvl w:val="0"/>
          <w:numId w:val="43"/>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生产批号或日期代码。</w:t>
      </w:r>
    </w:p>
    <w:p w14:paraId="116079BA">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外包装箱上应标明：</w:t>
      </w:r>
    </w:p>
    <w:p w14:paraId="051CD313">
      <w:pPr>
        <w:pStyle w:val="178"/>
        <w:numPr>
          <w:ilvl w:val="0"/>
          <w:numId w:val="44"/>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产品名称、型号及数量；</w:t>
      </w:r>
    </w:p>
    <w:p w14:paraId="328EFF3A">
      <w:pPr>
        <w:pStyle w:val="178"/>
        <w:numPr>
          <w:ilvl w:val="0"/>
          <w:numId w:val="44"/>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制造厂名称、地址；</w:t>
      </w:r>
    </w:p>
    <w:p w14:paraId="03BC39F8">
      <w:pPr>
        <w:pStyle w:val="178"/>
        <w:numPr>
          <w:ilvl w:val="0"/>
          <w:numId w:val="44"/>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生产日期；</w:t>
      </w:r>
    </w:p>
    <w:p w14:paraId="53945B28">
      <w:pPr>
        <w:pStyle w:val="178"/>
        <w:numPr>
          <w:ilvl w:val="0"/>
          <w:numId w:val="44"/>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“防潮”“防震”“小心轻放”等警示标志</w:t>
      </w:r>
      <w:r>
        <w:rPr>
          <w:rFonts w:hint="eastAsia" w:hAnsi="宋体" w:cs="宋体"/>
          <w:b w:val="0"/>
          <w:bCs w:val="0"/>
          <w:sz w:val="21"/>
          <w:szCs w:val="21"/>
          <w:lang w:val="en-US" w:eastAsia="zh-CN"/>
        </w:rPr>
        <w:t>（符合GB/T 191规定）</w:t>
      </w:r>
      <w:r>
        <w:rPr>
          <w:rFonts w:hint="eastAsia" w:ascii="宋体" w:hAnsi="宋体" w:eastAsia="宋体" w:cs="宋体"/>
          <w:b w:val="0"/>
          <w:bCs w:val="0"/>
          <w:sz w:val="21"/>
          <w:szCs w:val="21"/>
          <w:lang w:val="en-US" w:eastAsia="zh-CN"/>
        </w:rPr>
        <w:t>；</w:t>
      </w:r>
    </w:p>
    <w:p w14:paraId="749091D5">
      <w:pPr>
        <w:pStyle w:val="178"/>
        <w:numPr>
          <w:ilvl w:val="0"/>
          <w:numId w:val="44"/>
        </w:numPr>
        <w:bidi w:val="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执行标准编号。</w:t>
      </w:r>
    </w:p>
    <w:p w14:paraId="4AE40597">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39" w:name="_Toc24841"/>
      <w:r>
        <w:rPr>
          <w:rFonts w:hint="eastAsia"/>
          <w:strike w:val="0"/>
          <w:dstrike w:val="0"/>
          <w:highlight w:val="none"/>
          <w:lang w:val="en-US" w:eastAsia="zh-CN"/>
        </w:rPr>
        <w:t>包装</w:t>
      </w:r>
      <w:bookmarkEnd w:id="139"/>
    </w:p>
    <w:p w14:paraId="14794691">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限位块及转子总成应采用防锈纸或防锈塑料袋包装，外包装应采用适当的缓冲材料，防止在运输过程中相互碰撞和损伤。</w:t>
      </w:r>
    </w:p>
    <w:p w14:paraId="57F60015">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包装应具有防潮、防尘功能，保证产品在正常贮存条件下12个月内不发生锈蚀。</w:t>
      </w:r>
    </w:p>
    <w:p w14:paraId="1FA4DC8F">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包装箱内应附有产品质量合格证，合格证上应注明产品名称、型号、数量、检验员签章及检验日期。</w:t>
      </w:r>
    </w:p>
    <w:p w14:paraId="777B9D19">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40" w:name="_Toc31349"/>
      <w:r>
        <w:rPr>
          <w:rFonts w:hint="eastAsia"/>
          <w:strike w:val="0"/>
          <w:dstrike w:val="0"/>
          <w:highlight w:val="none"/>
          <w:lang w:val="en-US" w:eastAsia="zh-CN"/>
        </w:rPr>
        <w:t>运输</w:t>
      </w:r>
      <w:bookmarkEnd w:id="140"/>
    </w:p>
    <w:p w14:paraId="2AA8B859">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运输过程中应防止剧烈振动、冲击和雨淋。</w:t>
      </w:r>
    </w:p>
    <w:p w14:paraId="08D2D9B1">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装卸时应轻拿轻放，严禁抛掷。</w:t>
      </w:r>
    </w:p>
    <w:p w14:paraId="6C4C0189">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strike w:val="0"/>
          <w:dstrike w:val="0"/>
          <w:highlight w:val="none"/>
          <w:lang w:val="en-US" w:eastAsia="zh-CN"/>
        </w:rPr>
      </w:pPr>
      <w:bookmarkStart w:id="141" w:name="_Toc439"/>
      <w:r>
        <w:rPr>
          <w:rFonts w:hint="eastAsia"/>
          <w:strike w:val="0"/>
          <w:dstrike w:val="0"/>
          <w:highlight w:val="none"/>
          <w:lang w:val="en-US" w:eastAsia="zh-CN"/>
        </w:rPr>
        <w:t>贮存</w:t>
      </w:r>
      <w:bookmarkEnd w:id="141"/>
    </w:p>
    <w:p w14:paraId="68552EAE">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限位块及转子总成应贮存在干燥、通风、无腐蚀性气体的库房内。</w:t>
      </w:r>
    </w:p>
    <w:p w14:paraId="68F29405">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贮存环境温度应为-10 ℃～40 ℃，相对湿度不应大于80%。</w:t>
      </w:r>
    </w:p>
    <w:p w14:paraId="590A0380">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产品应放置在货架上，离地面高度不应小于200 mm，离墙距离不应小于300 mm。</w:t>
      </w:r>
    </w:p>
    <w:p w14:paraId="0DE196C7">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Style w:val="283"/>
          <w:rFonts w:hint="eastAsia"/>
          <w:lang w:val="en-US" w:eastAsia="zh-CN"/>
        </w:rPr>
      </w:pPr>
      <w:r>
        <w:rPr>
          <w:rStyle w:val="283"/>
          <w:rFonts w:hint="eastAsia"/>
          <w:lang w:val="en-US" w:eastAsia="zh-CN"/>
        </w:rPr>
        <w:t>在符合规定的贮存条件下，产品自出厂之日起12个月内不应出现锈蚀。</w:t>
      </w:r>
    </w:p>
    <w:bookmarkEnd w:id="32"/>
    <w:bookmarkEnd w:id="78"/>
    <w:bookmarkEnd w:id="100"/>
    <w:p w14:paraId="376E0BEE">
      <w:pPr>
        <w:pStyle w:val="60"/>
        <w:ind w:firstLine="0" w:firstLineChars="0"/>
        <w:jc w:val="center"/>
      </w:pPr>
      <w:bookmarkStart w:id="142" w:name="BookMark8"/>
    </w:p>
    <w:p w14:paraId="70B061B7">
      <w:pPr>
        <w:pStyle w:val="60"/>
        <w:ind w:firstLine="0" w:firstLineChars="0"/>
        <w:jc w:val="center"/>
      </w:pPr>
    </w:p>
    <w:p w14:paraId="0333ADFD">
      <w:pPr>
        <w:pStyle w:val="60"/>
        <w:ind w:firstLine="0" w:firstLineChars="0"/>
        <w:jc w:val="center"/>
      </w:pPr>
    </w:p>
    <w:p w14:paraId="2E3C0187">
      <w:pPr>
        <w:pStyle w:val="60"/>
        <w:ind w:firstLine="0" w:firstLineChars="0"/>
        <w:jc w:val="center"/>
      </w:pPr>
    </w:p>
    <w:p w14:paraId="28E3BD16">
      <w:pPr>
        <w:pStyle w:val="60"/>
        <w:ind w:firstLine="0" w:firstLineChars="0"/>
        <w:jc w:val="center"/>
      </w:pPr>
    </w:p>
    <w:p w14:paraId="78C05647">
      <w:pPr>
        <w:pStyle w:val="60"/>
        <w:ind w:firstLine="0" w:firstLineChars="0"/>
        <w:jc w:val="center"/>
        <w:sectPr>
          <w:headerReference r:id="rId16" w:type="default"/>
          <w:footerReference r:id="rId18" w:type="default"/>
          <w:headerReference r:id="rId17" w:type="even"/>
          <w:footerReference r:id="rId19" w:type="even"/>
          <w:pgSz w:w="11906" w:h="16838"/>
          <w:pgMar w:top="1928" w:right="1134" w:bottom="1134" w:left="1134" w:header="1418" w:footer="1134" w:gutter="283"/>
          <w:pgNumType w:start="1"/>
          <w:cols w:space="0" w:num="1"/>
          <w:formProt w:val="0"/>
          <w:docGrid w:linePitch="312" w:charSpace="0"/>
        </w:sectPr>
      </w:pPr>
      <w: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42"/>
    </w:p>
    <w:p w14:paraId="29A293D7">
      <w:pPr>
        <w:pStyle w:val="60"/>
        <w:spacing w:beforeLines="0" w:afterLines="0"/>
        <w:ind w:firstLine="420"/>
        <w:rPr>
          <w:rFonts w:hint="eastAsia"/>
          <w:sz w:val="21"/>
          <w:szCs w:val="24"/>
        </w:rPr>
      </w:pPr>
      <w:r>
        <mc:AlternateContent>
          <mc:Choice Requires="wps">
            <w:drawing>
              <wp:anchor distT="0" distB="0" distL="114300" distR="114300" simplePos="0" relativeHeight="251669504" behindDoc="0" locked="0" layoutInCell="1" allowOverlap="1">
                <wp:simplePos x="0" y="0"/>
                <wp:positionH relativeFrom="column">
                  <wp:posOffset>4298315</wp:posOffset>
                </wp:positionH>
                <wp:positionV relativeFrom="paragraph">
                  <wp:posOffset>808990</wp:posOffset>
                </wp:positionV>
                <wp:extent cx="2347595" cy="626745"/>
                <wp:effectExtent l="860425" t="0" r="0" b="0"/>
                <wp:wrapNone/>
                <wp:docPr id="343168771" name="文本框 343168771"/>
                <wp:cNvGraphicFramePr/>
                <a:graphic xmlns:a="http://schemas.openxmlformats.org/drawingml/2006/main">
                  <a:graphicData uri="http://schemas.microsoft.com/office/word/2010/wordprocessingShape">
                    <wps:wsp>
                      <wps:cNvSpPr txBox="1"/>
                      <wps:spPr>
                        <a:xfrm rot="5400000" flipV="1">
                          <a:off x="0" y="0"/>
                          <a:ext cx="2347595" cy="626745"/>
                        </a:xfrm>
                        <a:prstGeom prst="rect">
                          <a:avLst/>
                        </a:prstGeom>
                        <a:noFill/>
                        <a:ln w="6350">
                          <a:noFill/>
                        </a:ln>
                        <a:effectLst/>
                      </wps:spPr>
                      <wps:txb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y;margin-left:338.45pt;margin-top:63.7pt;height:49.35pt;width:184.85pt;rotation:-5898240f;z-index:251669504;mso-width-relative:page;mso-height-relative:page;" filled="f" stroked="f" coordsize="21600,21600" o:gfxdata="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xbX&#10;xdkAAAAMAQAADwAAAAAAAAABACAAAAAiAAAAZHJzL2Rvd25yZXYueG1sUEsBAhQAFAAAAAgAh07i&#10;QI1Y6+BaAgAAnAQAAA4AAAAAAAAAAQAgAAAAKAEAAGRycy9lMm9Eb2MueG1sUEsFBgAAAAAGAAYA&#10;WQEAAPQFAAAAAA==&#10;">
                <v:fill on="f" focussize="0,0"/>
                <v:stroke on="f" weight="0.5pt"/>
                <v:imagedata o:title=""/>
                <o:lock v:ext="edit" aspectratio="f"/>
                <v:textbo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v:textbox>
              </v:shape>
            </w:pict>
          </mc:Fallback>
        </mc:AlternateContent>
      </w:r>
    </w:p>
    <w:p w14:paraId="632885CD">
      <w:pPr>
        <w:pStyle w:val="60"/>
        <w:spacing w:beforeLines="0" w:afterLines="0"/>
        <w:ind w:firstLine="420"/>
        <w:rPr>
          <w:rFonts w:hint="eastAsia"/>
          <w:sz w:val="21"/>
          <w:szCs w:val="24"/>
        </w:rPr>
      </w:pPr>
    </w:p>
    <w:p w14:paraId="201829C8">
      <w:pPr>
        <w:pStyle w:val="60"/>
        <w:spacing w:beforeLines="0" w:afterLines="0"/>
        <w:ind w:firstLine="420"/>
        <w:rPr>
          <w:rFonts w:hint="eastAsia"/>
          <w:sz w:val="21"/>
          <w:szCs w:val="24"/>
        </w:rPr>
      </w:pPr>
    </w:p>
    <w:p w14:paraId="75F026A5">
      <w:pPr>
        <w:tabs>
          <w:tab w:val="left" w:pos="1110"/>
        </w:tabs>
        <w:spacing w:beforeLines="0" w:afterLines="0"/>
        <w:ind w:left="5342" w:right="1543"/>
        <w:jc w:val="left"/>
        <w:rPr>
          <w:rFonts w:hint="default"/>
          <w:sz w:val="21"/>
          <w:szCs w:val="21"/>
        </w:rPr>
      </w:pPr>
      <w:r>
        <w:rPr>
          <w:rFonts w:hint="eastAsia"/>
          <w:sz w:val="21"/>
          <w:szCs w:val="21"/>
        </w:rPr>
        <w:tab/>
      </w:r>
    </w:p>
    <w:p w14:paraId="4EAE3043">
      <w:pPr>
        <w:spacing w:beforeLines="0" w:afterLines="0"/>
        <w:ind w:left="5342" w:right="1543"/>
        <w:jc w:val="center"/>
        <w:rPr>
          <w:rFonts w:hint="default"/>
          <w:sz w:val="21"/>
          <w:szCs w:val="21"/>
        </w:rPr>
      </w:pPr>
    </w:p>
    <w:p w14:paraId="33C99B97">
      <w:pPr>
        <w:spacing w:beforeLines="0" w:afterLines="0"/>
        <w:ind w:left="5342" w:right="1543"/>
        <w:jc w:val="center"/>
        <w:rPr>
          <w:rFonts w:hint="default"/>
          <w:sz w:val="21"/>
          <w:szCs w:val="21"/>
        </w:rPr>
      </w:pPr>
    </w:p>
    <w:p w14:paraId="078749BD">
      <w:pPr>
        <w:spacing w:beforeLines="0" w:afterLines="0"/>
        <w:ind w:left="5342" w:right="1543"/>
        <w:jc w:val="center"/>
        <w:rPr>
          <w:rFonts w:hint="default"/>
          <w:sz w:val="21"/>
          <w:szCs w:val="21"/>
        </w:rPr>
      </w:pPr>
    </w:p>
    <w:p w14:paraId="1019DDC5">
      <w:pPr>
        <w:spacing w:beforeLines="0" w:afterLines="0"/>
        <w:ind w:left="5342" w:right="1543"/>
        <w:jc w:val="center"/>
        <w:rPr>
          <w:rFonts w:hint="default"/>
          <w:sz w:val="21"/>
          <w:szCs w:val="21"/>
        </w:rPr>
      </w:pPr>
    </w:p>
    <w:p w14:paraId="5823F605">
      <w:pPr>
        <w:spacing w:beforeLines="0" w:afterLines="0"/>
        <w:ind w:left="5342" w:right="1543"/>
        <w:jc w:val="center"/>
        <w:rPr>
          <w:rFonts w:hint="default"/>
          <w:sz w:val="21"/>
          <w:szCs w:val="21"/>
        </w:rPr>
      </w:pPr>
    </w:p>
    <w:p w14:paraId="21066067">
      <w:pPr>
        <w:spacing w:beforeLines="0" w:afterLines="0"/>
        <w:ind w:left="5342" w:right="1543"/>
        <w:jc w:val="center"/>
        <w:rPr>
          <w:rFonts w:hint="default"/>
          <w:sz w:val="21"/>
          <w:szCs w:val="21"/>
        </w:rPr>
      </w:pPr>
    </w:p>
    <w:p w14:paraId="3975E4E1">
      <w:pPr>
        <w:spacing w:beforeLines="0" w:afterLines="0"/>
        <w:ind w:left="5342" w:right="1543"/>
        <w:jc w:val="center"/>
        <w:rPr>
          <w:rFonts w:hint="default"/>
          <w:sz w:val="21"/>
          <w:szCs w:val="21"/>
        </w:rPr>
      </w:pPr>
    </w:p>
    <w:p w14:paraId="1D7EFF3D">
      <w:pPr>
        <w:spacing w:beforeLines="0" w:afterLines="0"/>
        <w:ind w:left="5342" w:right="1543"/>
        <w:jc w:val="center"/>
        <w:rPr>
          <w:rFonts w:hint="default"/>
          <w:sz w:val="21"/>
          <w:szCs w:val="21"/>
        </w:rPr>
      </w:pPr>
    </w:p>
    <w:p w14:paraId="48EF6844">
      <w:pPr>
        <w:spacing w:beforeLines="0" w:afterLines="0"/>
        <w:ind w:left="5342" w:right="1543"/>
        <w:jc w:val="center"/>
        <w:rPr>
          <w:rFonts w:hint="default"/>
          <w:sz w:val="21"/>
          <w:szCs w:val="21"/>
        </w:rPr>
      </w:pPr>
    </w:p>
    <w:p w14:paraId="42E46B21">
      <w:pPr>
        <w:spacing w:beforeLines="0" w:afterLines="0"/>
        <w:ind w:left="5342" w:right="1543"/>
        <w:jc w:val="center"/>
        <w:rPr>
          <w:rFonts w:hint="default"/>
          <w:sz w:val="21"/>
          <w:szCs w:val="21"/>
        </w:rPr>
      </w:pPr>
    </w:p>
    <w:p w14:paraId="674B6B69">
      <w:pPr>
        <w:spacing w:beforeLines="0" w:afterLines="0"/>
        <w:ind w:left="5342" w:right="1543"/>
        <w:jc w:val="center"/>
        <w:rPr>
          <w:rFonts w:hint="default"/>
          <w:sz w:val="21"/>
          <w:szCs w:val="21"/>
        </w:rPr>
      </w:pPr>
    </w:p>
    <w:p w14:paraId="4C12C3A9">
      <w:pPr>
        <w:spacing w:beforeLines="0" w:afterLines="0"/>
        <w:ind w:left="5342" w:right="1543"/>
        <w:jc w:val="center"/>
        <w:rPr>
          <w:rFonts w:hint="default"/>
          <w:sz w:val="21"/>
          <w:szCs w:val="21"/>
        </w:rPr>
      </w:pPr>
    </w:p>
    <w:p w14:paraId="24D573AA">
      <w:pPr>
        <w:spacing w:beforeLines="0" w:afterLines="0"/>
        <w:ind w:left="5342" w:right="1543"/>
        <w:jc w:val="center"/>
        <w:rPr>
          <w:rFonts w:hint="default"/>
          <w:sz w:val="21"/>
          <w:szCs w:val="21"/>
        </w:rPr>
      </w:pPr>
    </w:p>
    <w:p w14:paraId="035F739C">
      <w:pPr>
        <w:spacing w:beforeLines="0" w:afterLines="0"/>
        <w:ind w:left="5342" w:right="1543"/>
        <w:jc w:val="center"/>
        <w:rPr>
          <w:rFonts w:hint="default"/>
          <w:sz w:val="21"/>
          <w:szCs w:val="21"/>
        </w:rPr>
      </w:pPr>
    </w:p>
    <w:p w14:paraId="3FDCBDCE">
      <w:pPr>
        <w:spacing w:beforeLines="0" w:afterLines="0"/>
        <w:ind w:left="5342" w:right="1543"/>
        <w:jc w:val="center"/>
        <w:rPr>
          <w:rFonts w:hint="default"/>
          <w:sz w:val="21"/>
          <w:szCs w:val="21"/>
        </w:rPr>
      </w:pPr>
    </w:p>
    <w:p w14:paraId="0084A5E9">
      <w:pPr>
        <w:spacing w:beforeLines="0" w:afterLines="0"/>
        <w:ind w:right="1543"/>
        <w:rPr>
          <w:rFonts w:hint="default"/>
          <w:sz w:val="21"/>
          <w:szCs w:val="21"/>
        </w:rPr>
      </w:pPr>
    </w:p>
    <w:p w14:paraId="10579657">
      <w:pPr>
        <w:spacing w:beforeLines="0" w:afterLines="0"/>
        <w:ind w:right="1543" w:firstLine="5670" w:firstLineChars="2700"/>
        <w:rPr>
          <w:rFonts w:hint="default"/>
          <w:sz w:val="21"/>
          <w:szCs w:val="21"/>
        </w:rPr>
      </w:pPr>
      <w:r>
        <w:rPr>
          <w:rFonts w:hint="eastAsia" w:ascii="宋体"/>
          <w:sz w:val="21"/>
          <w:szCs w:val="21"/>
        </w:rPr>
        <w:t xml:space="preserve">中 华 人 民 共 和 国 </w:t>
      </w:r>
    </w:p>
    <w:p w14:paraId="4943F931">
      <w:pPr>
        <w:spacing w:beforeLines="0" w:afterLines="0"/>
        <w:ind w:right="1543" w:firstLine="6090" w:firstLineChars="2900"/>
        <w:rPr>
          <w:rFonts w:hint="default"/>
          <w:sz w:val="21"/>
          <w:szCs w:val="21"/>
        </w:rPr>
      </w:pPr>
      <w:r>
        <w:rPr>
          <w:rFonts w:hint="eastAsia" w:ascii="宋体"/>
          <w:sz w:val="21"/>
          <w:szCs w:val="21"/>
        </w:rPr>
        <w:t>团 体 标 准</w:t>
      </w:r>
    </w:p>
    <w:p w14:paraId="64DAFE38">
      <w:pPr>
        <w:spacing w:beforeLines="0" w:afterLines="0"/>
        <w:jc w:val="center"/>
        <w:rPr>
          <w:rFonts w:hint="eastAsia" w:ascii="黑体" w:eastAsia="黑体"/>
          <w:sz w:val="21"/>
          <w:szCs w:val="21"/>
        </w:rPr>
      </w:pPr>
      <w:r>
        <w:rPr>
          <w:rFonts w:hint="eastAsia" w:ascii="黑体" w:eastAsia="黑体"/>
          <w:sz w:val="21"/>
          <w:szCs w:val="21"/>
        </w:rPr>
        <w:t xml:space="preserve">                               汽车可变气门正时系统用粉末冶金VVT限位块及转子总成技术规范</w:t>
      </w:r>
    </w:p>
    <w:p w14:paraId="134C0D46">
      <w:pPr>
        <w:spacing w:beforeLines="0" w:afterLines="0"/>
        <w:ind w:firstLine="5880" w:firstLineChars="2800"/>
        <w:jc w:val="left"/>
        <w:rPr>
          <w:rFonts w:hint="eastAsia" w:ascii="宋体" w:hAnsi="宋体" w:eastAsia="宋体" w:cs="宋体"/>
          <w:sz w:val="21"/>
          <w:szCs w:val="21"/>
          <w:lang w:val="en-US" w:eastAsia="zh-CN"/>
        </w:rPr>
      </w:pPr>
      <w:r>
        <w:rPr>
          <w:rFonts w:hint="eastAsia" w:ascii="宋体" w:hAnsi="宋体" w:cs="宋体"/>
          <w:sz w:val="21"/>
          <w:szCs w:val="21"/>
        </w:rPr>
        <w:t>T/C</w:t>
      </w:r>
      <w:r>
        <w:rPr>
          <w:rFonts w:hint="eastAsia" w:ascii="宋体" w:hAnsi="宋体" w:cs="宋体"/>
          <w:sz w:val="21"/>
          <w:szCs w:val="21"/>
          <w:lang w:val="en-US" w:eastAsia="zh-CN"/>
        </w:rPr>
        <w:t>WDPA</w:t>
      </w:r>
      <w:r>
        <w:rPr>
          <w:rFonts w:hint="eastAsia" w:ascii="宋体" w:hAnsi="宋体" w:cs="宋体"/>
          <w:sz w:val="21"/>
          <w:szCs w:val="21"/>
        </w:rPr>
        <w:t xml:space="preserve"> </w:t>
      </w:r>
      <w:r>
        <w:rPr>
          <w:rFonts w:hint="eastAsia" w:ascii="宋体" w:hAnsi="宋体" w:cs="宋体"/>
          <w:sz w:val="21"/>
          <w:szCs w:val="21"/>
          <w:lang w:val="en-US" w:eastAsia="zh-CN"/>
        </w:rPr>
        <w:t>XXX</w:t>
      </w:r>
      <w:r>
        <w:rPr>
          <w:rFonts w:hint="eastAsia" w:ascii="宋体" w:hAnsi="宋体" w:cs="宋体"/>
          <w:sz w:val="21"/>
          <w:szCs w:val="21"/>
        </w:rPr>
        <w:t>―202</w:t>
      </w:r>
      <w:r>
        <w:rPr>
          <w:rFonts w:hint="eastAsia" w:ascii="宋体" w:hAnsi="宋体" w:cs="宋体"/>
          <w:sz w:val="21"/>
          <w:szCs w:val="21"/>
          <w:lang w:val="en-US" w:eastAsia="zh-CN"/>
        </w:rPr>
        <w:t>6</w:t>
      </w:r>
    </w:p>
    <w:p w14:paraId="6332E93A">
      <w:pPr>
        <w:spacing w:beforeLines="0" w:afterLines="0"/>
        <w:ind w:left="3800"/>
        <w:jc w:val="center"/>
        <w:rPr>
          <w:rFonts w:hint="default"/>
          <w:sz w:val="21"/>
          <w:szCs w:val="21"/>
        </w:rPr>
      </w:pPr>
      <w:r>
        <w:rPr>
          <w:rFonts w:hint="default"/>
          <w:w w:val="99"/>
          <w:sz w:val="21"/>
          <w:szCs w:val="21"/>
        </w:rPr>
        <w:t>*</w:t>
      </w:r>
    </w:p>
    <w:p w14:paraId="01847B99">
      <w:pPr>
        <w:spacing w:beforeLines="0" w:afterLines="0"/>
        <w:ind w:left="5335" w:firstLine="420" w:firstLineChars="200"/>
        <w:rPr>
          <w:rFonts w:hint="default"/>
          <w:sz w:val="21"/>
          <w:szCs w:val="21"/>
        </w:rPr>
      </w:pPr>
      <w:r>
        <w:rPr>
          <w:rFonts w:hint="eastAsia" w:ascii="宋体"/>
          <w:sz w:val="21"/>
          <w:szCs w:val="21"/>
        </w:rPr>
        <w:t>中国西部开发促进会</w:t>
      </w:r>
    </w:p>
    <w:p w14:paraId="19EBF051">
      <w:pPr>
        <w:spacing w:beforeLines="0" w:afterLines="0"/>
        <w:ind w:left="4603" w:right="807"/>
        <w:jc w:val="center"/>
        <w:rPr>
          <w:rFonts w:hint="default"/>
          <w:sz w:val="21"/>
          <w:szCs w:val="21"/>
        </w:rPr>
      </w:pPr>
      <w:r>
        <w:rPr>
          <w:rFonts w:hint="eastAsia" w:ascii="宋体"/>
          <w:sz w:val="21"/>
          <w:szCs w:val="21"/>
        </w:rPr>
        <w:t xml:space="preserve">网址 </w:t>
      </w:r>
      <w:r>
        <w:rPr>
          <w:rFonts w:hint="default" w:ascii="Times New Roman" w:hAnsi="Times New Roman"/>
          <w:sz w:val="21"/>
          <w:szCs w:val="21"/>
        </w:rPr>
        <w:t>www.cwdpa.org.cn</w:t>
      </w:r>
    </w:p>
    <w:p w14:paraId="19F2B497">
      <w:pPr>
        <w:spacing w:beforeLines="0" w:afterLines="0"/>
        <w:ind w:left="3800"/>
        <w:jc w:val="center"/>
        <w:rPr>
          <w:rFonts w:hint="default"/>
          <w:sz w:val="21"/>
          <w:szCs w:val="21"/>
        </w:rPr>
      </w:pPr>
      <w:r>
        <w:rPr>
          <w:rFonts w:hint="default"/>
          <w:w w:val="99"/>
          <w:sz w:val="21"/>
          <w:szCs w:val="21"/>
        </w:rPr>
        <w:t>*</w:t>
      </w:r>
    </w:p>
    <w:p w14:paraId="2E433EE0">
      <w:pPr>
        <w:tabs>
          <w:tab w:val="left" w:pos="5426"/>
          <w:tab w:val="left" w:pos="6057"/>
          <w:tab w:val="left" w:pos="7106"/>
        </w:tabs>
        <w:spacing w:beforeLines="0" w:afterLines="0"/>
        <w:ind w:left="3799"/>
        <w:jc w:val="center"/>
        <w:rPr>
          <w:rFonts w:hint="eastAsia" w:ascii="宋体" w:hAnsi="宋体" w:cs="宋体"/>
          <w:sz w:val="21"/>
          <w:szCs w:val="21"/>
        </w:rPr>
      </w:pPr>
      <w:r>
        <w:rPr>
          <w:rFonts w:hint="eastAsia" w:ascii="宋体" w:hAnsi="宋体" w:cs="宋体"/>
          <w:sz w:val="21"/>
          <w:szCs w:val="21"/>
        </w:rPr>
        <w:t>开本 880×1230</w:t>
      </w:r>
      <w:r>
        <w:rPr>
          <w:rFonts w:hint="eastAsia" w:ascii="宋体" w:hAnsi="宋体" w:cs="宋体"/>
          <w:sz w:val="21"/>
          <w:szCs w:val="21"/>
        </w:rPr>
        <w:tab/>
      </w:r>
      <w:r>
        <w:rPr>
          <w:rFonts w:hint="eastAsia" w:ascii="宋体" w:hAnsi="宋体" w:cs="宋体"/>
          <w:sz w:val="21"/>
          <w:szCs w:val="21"/>
        </w:rPr>
        <w:t>1/6</w:t>
      </w:r>
      <w:r>
        <w:rPr>
          <w:rFonts w:hint="eastAsia" w:ascii="宋体" w:hAnsi="宋体" w:cs="宋体"/>
          <w:sz w:val="21"/>
          <w:szCs w:val="21"/>
        </w:rPr>
        <w:tab/>
      </w:r>
      <w:r>
        <w:rPr>
          <w:rFonts w:hint="eastAsia" w:ascii="宋体" w:hAnsi="宋体" w:cs="宋体"/>
          <w:sz w:val="21"/>
          <w:szCs w:val="21"/>
        </w:rPr>
        <w:t>印张1.5字数</w:t>
      </w:r>
      <w:r>
        <w:rPr>
          <w:rFonts w:hint="eastAsia" w:ascii="宋体" w:hAnsi="宋体" w:cs="宋体"/>
          <w:sz w:val="21"/>
          <w:szCs w:val="21"/>
          <w:lang w:val="en-US" w:eastAsia="zh-CN"/>
        </w:rPr>
        <w:t>3.4</w:t>
      </w:r>
      <w:r>
        <w:rPr>
          <w:rFonts w:hint="eastAsia" w:ascii="宋体" w:hAnsi="宋体" w:cs="宋体"/>
          <w:sz w:val="21"/>
          <w:szCs w:val="21"/>
        </w:rPr>
        <w:t>千字</w:t>
      </w:r>
    </w:p>
    <w:p w14:paraId="30D9D426">
      <w:pPr>
        <w:tabs>
          <w:tab w:val="left" w:pos="5846"/>
        </w:tabs>
        <w:spacing w:beforeLines="0" w:afterLines="0"/>
        <w:ind w:left="3798"/>
        <w:jc w:val="center"/>
        <w:rPr>
          <w:rFonts w:hint="eastAsia" w:ascii="宋体" w:hAnsi="宋体" w:cs="宋体"/>
          <w:sz w:val="21"/>
          <w:szCs w:val="21"/>
        </w:rPr>
      </w:pPr>
      <w:r>
        <w:rPr>
          <w:rFonts w:hint="eastAsia" w:ascii="宋体" w:hAnsi="宋体" w:cs="宋体"/>
          <w:sz w:val="21"/>
          <w:szCs w:val="21"/>
        </w:rPr>
        <w:t>202</w:t>
      </w:r>
      <w:r>
        <w:rPr>
          <w:rFonts w:hint="eastAsia" w:ascii="宋体" w:hAnsi="宋体" w:cs="宋体"/>
          <w:sz w:val="21"/>
          <w:szCs w:val="21"/>
          <w:lang w:val="en-US" w:eastAsia="zh-CN"/>
        </w:rPr>
        <w:t>6</w:t>
      </w:r>
      <w:r>
        <w:rPr>
          <w:rFonts w:hint="eastAsia" w:ascii="宋体" w:hAnsi="宋体" w:cs="宋体"/>
          <w:sz w:val="21"/>
          <w:szCs w:val="21"/>
        </w:rPr>
        <w:t>年</w:t>
      </w:r>
      <w:r>
        <w:rPr>
          <w:rFonts w:hint="eastAsia" w:ascii="宋体" w:hAnsi="宋体" w:cs="宋体"/>
          <w:sz w:val="21"/>
          <w:szCs w:val="21"/>
          <w:lang w:val="en-US" w:eastAsia="zh-CN"/>
        </w:rPr>
        <w:t>5</w:t>
      </w:r>
      <w:r>
        <w:rPr>
          <w:rFonts w:hint="eastAsia" w:ascii="宋体" w:hAnsi="宋体" w:cs="宋体"/>
          <w:sz w:val="21"/>
          <w:szCs w:val="21"/>
        </w:rPr>
        <w:t>月第一版</w:t>
      </w:r>
      <w:r>
        <w:rPr>
          <w:rFonts w:hint="eastAsia" w:ascii="宋体" w:hAnsi="宋体" w:cs="宋体"/>
          <w:sz w:val="21"/>
          <w:szCs w:val="21"/>
        </w:rPr>
        <w:tab/>
      </w:r>
      <w:r>
        <w:rPr>
          <w:rFonts w:hint="eastAsia" w:ascii="宋体" w:hAnsi="宋体" w:cs="宋体"/>
          <w:sz w:val="21"/>
          <w:szCs w:val="21"/>
        </w:rPr>
        <w:t>2026年</w:t>
      </w:r>
      <w:r>
        <w:rPr>
          <w:rFonts w:hint="eastAsia" w:ascii="宋体" w:hAnsi="宋体" w:cs="宋体"/>
          <w:sz w:val="21"/>
          <w:szCs w:val="21"/>
          <w:lang w:val="en-US" w:eastAsia="zh-CN"/>
        </w:rPr>
        <w:t>5</w:t>
      </w:r>
      <w:r>
        <w:rPr>
          <w:rFonts w:hint="eastAsia" w:ascii="宋体" w:hAnsi="宋体" w:cs="宋体"/>
          <w:sz w:val="21"/>
          <w:szCs w:val="21"/>
        </w:rPr>
        <w:t>月第一次印刷</w:t>
      </w:r>
    </w:p>
    <w:p w14:paraId="7DF6A568">
      <w:pPr>
        <w:spacing w:beforeLines="0" w:afterLines="0"/>
        <w:ind w:left="3800"/>
        <w:jc w:val="center"/>
        <w:rPr>
          <w:rFonts w:hint="default"/>
          <w:w w:val="99"/>
          <w:sz w:val="21"/>
          <w:szCs w:val="21"/>
        </w:rPr>
      </w:pPr>
      <w:r>
        <w:rPr>
          <w:rFonts w:hint="default"/>
          <w:sz w:val="21"/>
          <w:szCs w:val="21"/>
        </w:rPr>
        <w:drawing>
          <wp:anchor distT="0" distB="0" distL="114300" distR="114300" simplePos="0" relativeHeight="251666432" behindDoc="0" locked="0" layoutInCell="1" allowOverlap="1">
            <wp:simplePos x="0" y="0"/>
            <wp:positionH relativeFrom="column">
              <wp:posOffset>-67310</wp:posOffset>
            </wp:positionH>
            <wp:positionV relativeFrom="paragraph">
              <wp:posOffset>252730</wp:posOffset>
            </wp:positionV>
            <wp:extent cx="2268855" cy="601345"/>
            <wp:effectExtent l="0" t="0" r="17145" b="8255"/>
            <wp:wrapNone/>
            <wp:docPr id="16" name="图片 3" descr="C:/Users/Administrator/Desktop/tiaoxingma/脱硫废水.png脱硫废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C:/Users/Administrator/Desktop/tiaoxingma/脱硫废水.png脱硫废水"/>
                    <pic:cNvPicPr>
                      <a:picLocks noChangeAspect="1"/>
                    </pic:cNvPicPr>
                  </pic:nvPicPr>
                  <pic:blipFill>
                    <a:blip r:embed="rId26"/>
                    <a:srcRect l="528" r="528"/>
                    <a:stretch>
                      <a:fillRect/>
                    </a:stretch>
                  </pic:blipFill>
                  <pic:spPr>
                    <a:xfrm>
                      <a:off x="0" y="0"/>
                      <a:ext cx="2268855" cy="601345"/>
                    </a:xfrm>
                    <a:prstGeom prst="rect">
                      <a:avLst/>
                    </a:prstGeom>
                    <a:noFill/>
                    <a:ln>
                      <a:noFill/>
                    </a:ln>
                  </pic:spPr>
                </pic:pic>
              </a:graphicData>
            </a:graphic>
          </wp:anchor>
        </w:drawing>
      </w:r>
      <w:r>
        <w:rPr>
          <w:rFonts w:hint="default"/>
          <w:w w:val="99"/>
          <w:sz w:val="21"/>
          <w:szCs w:val="21"/>
        </w:rPr>
        <w:t>*</w:t>
      </w:r>
    </w:p>
    <w:p w14:paraId="210934C4">
      <w:pPr>
        <w:spacing w:beforeLines="0" w:afterLines="0"/>
        <w:ind w:left="3800"/>
        <w:jc w:val="center"/>
        <w:rPr>
          <w:rFonts w:hint="eastAsia" w:ascii="黑体" w:eastAsia="黑体"/>
          <w:spacing w:val="-12"/>
          <w:sz w:val="21"/>
          <w:szCs w:val="21"/>
        </w:rPr>
      </w:pPr>
      <w:r>
        <w:rPr>
          <w:rFonts w:hint="eastAsia" w:ascii="黑体" w:eastAsia="黑体"/>
          <w:sz w:val="21"/>
          <w:szCs w:val="21"/>
        </w:rPr>
        <w:t>如有印装差错</w:t>
      </w:r>
      <w:r>
        <w:rPr>
          <w:rFonts w:hint="eastAsia" w:ascii="黑体" w:eastAsia="黑体"/>
          <w:sz w:val="21"/>
          <w:szCs w:val="21"/>
        </w:rPr>
        <w:tab/>
      </w:r>
      <w:r>
        <w:rPr>
          <w:rFonts w:hint="eastAsia" w:ascii="黑体" w:eastAsia="黑体"/>
          <w:sz w:val="21"/>
          <w:szCs w:val="21"/>
        </w:rPr>
        <w:t>由中国西部开发促进会调</w:t>
      </w:r>
      <w:r>
        <w:rPr>
          <w:rFonts w:hint="eastAsia" w:ascii="黑体" w:eastAsia="黑体"/>
          <w:spacing w:val="-12"/>
          <w:sz w:val="21"/>
          <w:szCs w:val="21"/>
        </w:rPr>
        <w:t>换</w:t>
      </w:r>
    </w:p>
    <w:p w14:paraId="0003FC36">
      <w:pPr>
        <w:tabs>
          <w:tab w:val="left" w:pos="5551"/>
          <w:tab w:val="left" w:pos="5971"/>
        </w:tabs>
        <w:spacing w:beforeLines="0" w:afterLines="0"/>
        <w:ind w:left="4502" w:right="703"/>
        <w:jc w:val="center"/>
        <w:rPr>
          <w:rFonts w:hint="eastAsia" w:ascii="黑体" w:eastAsia="黑体"/>
          <w:sz w:val="21"/>
          <w:szCs w:val="21"/>
        </w:rPr>
      </w:pPr>
      <w:r>
        <mc:AlternateContent>
          <mc:Choice Requires="wps">
            <w:drawing>
              <wp:anchor distT="0" distB="0" distL="114300" distR="114300" simplePos="0" relativeHeight="251670528" behindDoc="0" locked="0" layoutInCell="1" allowOverlap="1">
                <wp:simplePos x="0" y="0"/>
                <wp:positionH relativeFrom="column">
                  <wp:posOffset>245110</wp:posOffset>
                </wp:positionH>
                <wp:positionV relativeFrom="paragraph">
                  <wp:posOffset>234315</wp:posOffset>
                </wp:positionV>
                <wp:extent cx="1631315" cy="328295"/>
                <wp:effectExtent l="0" t="0" r="0" b="0"/>
                <wp:wrapNone/>
                <wp:docPr id="107758860" name="文本框 107758860"/>
                <wp:cNvGraphicFramePr/>
                <a:graphic xmlns:a="http://schemas.openxmlformats.org/drawingml/2006/main">
                  <a:graphicData uri="http://schemas.microsoft.com/office/word/2010/wordprocessingShape">
                    <wps:wsp>
                      <wps:cNvSpPr txBox="1"/>
                      <wps:spPr>
                        <a:xfrm>
                          <a:off x="0" y="0"/>
                          <a:ext cx="1631315" cy="328295"/>
                        </a:xfrm>
                        <a:prstGeom prst="rect">
                          <a:avLst/>
                        </a:prstGeom>
                        <a:noFill/>
                        <a:ln w="6350">
                          <a:noFill/>
                        </a:ln>
                        <a:effectLst/>
                      </wps:spPr>
                      <wps:txbx>
                        <w:txbxContent>
                          <w:p w14:paraId="74F6995D">
                            <w:pPr>
                              <w:ind w:firstLine="210" w:firstLineChars="100"/>
                              <w:rPr>
                                <w:rFonts w:hint="eastAsia" w:ascii="黑体" w:hAnsi="黑体" w:eastAsia="黑体" w:cs="黑体"/>
                                <w:lang w:eastAsia="zh-CN"/>
                              </w:rPr>
                            </w:pPr>
                            <w:r>
                              <w:rPr>
                                <w:rFonts w:hint="eastAsia" w:ascii="黑体" w:hAnsi="黑体" w:eastAsia="黑体" w:cs="黑体"/>
                              </w:rPr>
                              <w:t>T/C</w:t>
                            </w:r>
                            <w:r>
                              <w:rPr>
                                <w:rFonts w:hint="eastAsia" w:ascii="黑体" w:hAnsi="黑体" w:eastAsia="黑体" w:cs="黑体"/>
                                <w:lang w:val="en-US" w:eastAsia="zh-CN"/>
                              </w:rPr>
                              <w:t>WDPA</w:t>
                            </w:r>
                            <w:r>
                              <w:rPr>
                                <w:rFonts w:hint="eastAsia" w:ascii="黑体" w:hAnsi="黑体" w:eastAsia="黑体" w:cs="黑体"/>
                              </w:rPr>
                              <w:t xml:space="preserve"> </w:t>
                            </w:r>
                            <w:r>
                              <w:rPr>
                                <w:rFonts w:hint="eastAsia" w:ascii="黑体" w:hAnsi="黑体" w:eastAsia="黑体" w:cs="黑体"/>
                                <w:lang w:val="en-US" w:eastAsia="zh-CN"/>
                              </w:rPr>
                              <w:t>XXX</w:t>
                            </w:r>
                            <w:r>
                              <w:rPr>
                                <w:rFonts w:hint="eastAsia" w:ascii="黑体" w:hAnsi="黑体" w:eastAsia="黑体" w:cs="黑体"/>
                              </w:rPr>
                              <w:t>—202</w:t>
                            </w:r>
                            <w:r>
                              <w:rPr>
                                <w:rFonts w:hint="eastAsia" w:ascii="黑体" w:hAnsi="黑体" w:eastAsia="黑体" w:cs="黑体"/>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pt;margin-top:18.45pt;height:25.85pt;width:128.45pt;z-index:251670528;mso-width-relative:page;mso-height-relative:page;" filled="f" stroked="f" coordsize="21600,21600" o:gfxdata="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C7BTVNgAAAAIAQAADwAAAAAAAAAB&#10;ACAAAAAiAAAAZHJzL2Rvd25yZXYueG1sUEsBAhQAFAAAAAgAh07iQG26ivZJAgAAhAQAAA4AAAAA&#10;AAAAAQAgAAAAJwEAAGRycy9lMm9Eb2MueG1sUEsFBgAAAAAGAAYAWQEAAOIFAAAAAA==&#10;">
                <v:fill on="f" focussize="0,0"/>
                <v:stroke on="f" weight="0.5pt"/>
                <v:imagedata o:title=""/>
                <o:lock v:ext="edit" aspectratio="f"/>
                <v:textbox>
                  <w:txbxContent>
                    <w:p w14:paraId="74F6995D">
                      <w:pPr>
                        <w:ind w:firstLine="210" w:firstLineChars="100"/>
                        <w:rPr>
                          <w:rFonts w:hint="eastAsia" w:ascii="黑体" w:hAnsi="黑体" w:eastAsia="黑体" w:cs="黑体"/>
                          <w:lang w:eastAsia="zh-CN"/>
                        </w:rPr>
                      </w:pPr>
                      <w:r>
                        <w:rPr>
                          <w:rFonts w:hint="eastAsia" w:ascii="黑体" w:hAnsi="黑体" w:eastAsia="黑体" w:cs="黑体"/>
                        </w:rPr>
                        <w:t>T/C</w:t>
                      </w:r>
                      <w:r>
                        <w:rPr>
                          <w:rFonts w:hint="eastAsia" w:ascii="黑体" w:hAnsi="黑体" w:eastAsia="黑体" w:cs="黑体"/>
                          <w:lang w:val="en-US" w:eastAsia="zh-CN"/>
                        </w:rPr>
                        <w:t>WDPA</w:t>
                      </w:r>
                      <w:r>
                        <w:rPr>
                          <w:rFonts w:hint="eastAsia" w:ascii="黑体" w:hAnsi="黑体" w:eastAsia="黑体" w:cs="黑体"/>
                        </w:rPr>
                        <w:t xml:space="preserve"> </w:t>
                      </w:r>
                      <w:r>
                        <w:rPr>
                          <w:rFonts w:hint="eastAsia" w:ascii="黑体" w:hAnsi="黑体" w:eastAsia="黑体" w:cs="黑体"/>
                          <w:lang w:val="en-US" w:eastAsia="zh-CN"/>
                        </w:rPr>
                        <w:t>XXX</w:t>
                      </w:r>
                      <w:r>
                        <w:rPr>
                          <w:rFonts w:hint="eastAsia" w:ascii="黑体" w:hAnsi="黑体" w:eastAsia="黑体" w:cs="黑体"/>
                        </w:rPr>
                        <w:t>—202</w:t>
                      </w:r>
                      <w:r>
                        <w:rPr>
                          <w:rFonts w:hint="eastAsia" w:ascii="黑体" w:hAnsi="黑体" w:eastAsia="黑体" w:cs="黑体"/>
                          <w:lang w:val="en-US" w:eastAsia="zh-CN"/>
                        </w:rPr>
                        <w:t>6</w:t>
                      </w:r>
                    </w:p>
                  </w:txbxContent>
                </v:textbox>
              </v:shape>
            </w:pict>
          </mc:Fallback>
        </mc:AlternateContent>
      </w:r>
      <w:r>
        <w:rPr>
          <w:rFonts w:hint="eastAsia" w:ascii="黑体" w:eastAsia="黑体"/>
          <w:sz w:val="21"/>
          <w:szCs w:val="21"/>
        </w:rPr>
        <w:t>版权专有</w:t>
      </w:r>
      <w:r>
        <w:rPr>
          <w:rFonts w:hint="eastAsia" w:ascii="黑体" w:eastAsia="黑体"/>
          <w:sz w:val="21"/>
          <w:szCs w:val="21"/>
        </w:rPr>
        <w:tab/>
      </w:r>
      <w:r>
        <w:rPr>
          <w:rFonts w:hint="eastAsia" w:ascii="黑体" w:eastAsia="黑体"/>
          <w:sz w:val="21"/>
          <w:szCs w:val="21"/>
        </w:rPr>
        <w:t>侵权必究</w:t>
      </w:r>
    </w:p>
    <w:p w14:paraId="705206D4">
      <w:pPr>
        <w:spacing w:beforeLines="0" w:afterLines="0"/>
        <w:ind w:left="4604" w:right="807"/>
        <w:jc w:val="center"/>
        <w:rPr>
          <w:rFonts w:hint="default" w:eastAsia="黑体"/>
          <w:sz w:val="21"/>
          <w:szCs w:val="21"/>
          <w:lang w:val="en-US" w:eastAsia="zh-CN"/>
        </w:rPr>
      </w:pPr>
      <w:r>
        <w:rPr>
          <w:rFonts w:hint="eastAsia" w:ascii="黑体" w:eastAsia="黑体"/>
          <w:sz w:val="21"/>
          <w:szCs w:val="21"/>
        </w:rPr>
        <w:t>举报电话：010―6</w:t>
      </w:r>
      <w:r>
        <w:rPr>
          <w:rFonts w:hint="eastAsia" w:ascii="黑体" w:eastAsia="黑体"/>
          <w:sz w:val="21"/>
          <w:szCs w:val="21"/>
          <w:lang w:val="en-US" w:eastAsia="zh-CN"/>
        </w:rPr>
        <w:t>5919503</w:t>
      </w:r>
    </w:p>
    <w:p w14:paraId="149F45AF">
      <w:pPr>
        <w:pStyle w:val="178"/>
        <w:numPr>
          <w:ilvl w:val="0"/>
          <w:numId w:val="0"/>
        </w:numPr>
        <w:snapToGrid w:val="0"/>
        <w:rPr>
          <w:rFonts w:hint="default" w:hAnsi="Times New Roman" w:cs="Times New Roman"/>
          <w:highlight w:val="none"/>
          <w:lang w:val="en-US" w:eastAsia="zh-CN"/>
        </w:rPr>
      </w:pPr>
    </w:p>
    <w:sectPr>
      <w:headerReference r:id="rId20" w:type="default"/>
      <w:footerReference r:id="rId22" w:type="default"/>
      <w:headerReference r:id="rId21" w:type="even"/>
      <w:footerReference r:id="rId23"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306F9">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6D476">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D86D476">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0F63B">
    <w:pPr>
      <w:pStyle w:val="18"/>
      <w:jc w:val="left"/>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4F1F7">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C389">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EAF1">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1A30">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C771A30">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B6B1C">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5364">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C0834">
                          <w:pPr>
                            <w:pStyle w:val="18"/>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AC0834">
                    <w:pPr>
                      <w:pStyle w:val="18"/>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63A5">
    <w:pPr>
      <w:pStyle w:val="56"/>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5F0A7">
                          <w:pPr>
                            <w:pStyle w:val="56"/>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6E5F0A7">
                    <w:pPr>
                      <w:pStyle w:val="56"/>
                    </w:pPr>
                    <w:r>
                      <w:fldChar w:fldCharType="begin"/>
                    </w:r>
                    <w:r>
                      <w:instrText xml:space="preserve">PAGE   \* MERGEFORMAT</w:instrText>
                    </w:r>
                    <w:r>
                      <w:fldChar w:fldCharType="separate"/>
                    </w:r>
                    <w:r>
                      <w:rPr>
                        <w:lang w:val="zh-CN"/>
                      </w:rP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686E">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24E43">
    <w:pPr>
      <w:pStyle w:val="56"/>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9E8D">
                          <w:pPr>
                            <w:pStyle w:val="5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28E9E8D">
                    <w:pPr>
                      <w:pStyle w:val="5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6807F">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1A20">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7A75">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B859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877A">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331DB">
    <w:pPr>
      <w:pStyle w:val="65"/>
      <w:rPr>
        <w:rFonts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T/CWDPA XXX—2026</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7A6F6">
    <w:pPr>
      <w:pStyle w:val="19"/>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8910">
    <w:pPr>
      <w:pStyle w:val="65"/>
      <w:rPr>
        <w:rFonts w:hint="eastAsia" w:hAnsi="黑体" w:cs="黑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A282A">
    <w:pPr>
      <w:pStyle w:val="19"/>
      <w:jc w:val="lef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6"/>
      <w:suff w:val="nothing"/>
      <w:lvlText w:val="表%1　"/>
      <w:lvlJc w:val="left"/>
      <w:pPr>
        <w:ind w:left="3570" w:firstLine="0"/>
      </w:pPr>
    </w:lvl>
    <w:lvl w:ilvl="1" w:tentative="0">
      <w:start w:val="1"/>
      <w:numFmt w:val="decimal"/>
      <w:lvlText w:val="%1.%2"/>
      <w:lvlJc w:val="left"/>
      <w:pPr>
        <w:tabs>
          <w:tab w:val="left" w:pos="992"/>
        </w:tabs>
        <w:ind w:left="1302" w:hanging="567"/>
      </w:pPr>
    </w:lvl>
    <w:lvl w:ilvl="2" w:tentative="0">
      <w:start w:val="1"/>
      <w:numFmt w:val="decimal"/>
      <w:lvlText w:val="%1.%2.%3"/>
      <w:lvlJc w:val="left"/>
      <w:pPr>
        <w:tabs>
          <w:tab w:val="left" w:pos="1417"/>
        </w:tabs>
        <w:ind w:left="1727" w:hanging="567"/>
      </w:pPr>
    </w:lvl>
    <w:lvl w:ilvl="3" w:tentative="0">
      <w:start w:val="1"/>
      <w:numFmt w:val="decimal"/>
      <w:lvlText w:val="%1.%2.%3.%4"/>
      <w:lvlJc w:val="left"/>
      <w:pPr>
        <w:tabs>
          <w:tab w:val="left" w:pos="1984"/>
        </w:tabs>
        <w:ind w:left="2294" w:hanging="708"/>
      </w:pPr>
    </w:lvl>
    <w:lvl w:ilvl="4" w:tentative="0">
      <w:start w:val="1"/>
      <w:numFmt w:val="decimal"/>
      <w:lvlText w:val="%1.%2.%3.%4.%5"/>
      <w:lvlJc w:val="left"/>
      <w:pPr>
        <w:tabs>
          <w:tab w:val="left" w:pos="2551"/>
        </w:tabs>
        <w:ind w:left="2861" w:hanging="850"/>
      </w:pPr>
    </w:lvl>
    <w:lvl w:ilvl="5" w:tentative="0">
      <w:start w:val="1"/>
      <w:numFmt w:val="decimal"/>
      <w:lvlText w:val="%1.%2.%3.%4.%5.%6"/>
      <w:lvlJc w:val="left"/>
      <w:pPr>
        <w:tabs>
          <w:tab w:val="left" w:pos="3260"/>
        </w:tabs>
        <w:ind w:left="3570" w:hanging="1134"/>
      </w:pPr>
    </w:lvl>
    <w:lvl w:ilvl="6" w:tentative="0">
      <w:start w:val="1"/>
      <w:numFmt w:val="decimal"/>
      <w:lvlText w:val="%1.%2.%3.%4.%5.%6.%7"/>
      <w:lvlJc w:val="left"/>
      <w:pPr>
        <w:tabs>
          <w:tab w:val="left" w:pos="3827"/>
        </w:tabs>
        <w:ind w:left="4137" w:hanging="1276"/>
      </w:pPr>
    </w:lvl>
    <w:lvl w:ilvl="7" w:tentative="0">
      <w:start w:val="1"/>
      <w:numFmt w:val="decimal"/>
      <w:lvlText w:val="%1.%2.%3.%4.%5.%6.%7.%8"/>
      <w:lvlJc w:val="left"/>
      <w:pPr>
        <w:tabs>
          <w:tab w:val="left" w:pos="4394"/>
        </w:tabs>
        <w:ind w:left="4704" w:hanging="1418"/>
      </w:pPr>
    </w:lvl>
    <w:lvl w:ilvl="8" w:tentative="0">
      <w:start w:val="1"/>
      <w:numFmt w:val="decimal"/>
      <w:lvlText w:val="%1.%2.%3.%4.%5.%6.%7.%8.%9"/>
      <w:lvlJc w:val="left"/>
      <w:pPr>
        <w:tabs>
          <w:tab w:val="left" w:pos="5102"/>
        </w:tabs>
        <w:ind w:left="5412" w:hanging="1700"/>
      </w:p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63"/>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7">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6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2A8F7113"/>
    <w:multiLevelType w:val="multilevel"/>
    <w:tmpl w:val="2A8F7113"/>
    <w:lvl w:ilvl="0" w:tentative="0">
      <w:start w:val="1"/>
      <w:numFmt w:val="upperLetter"/>
      <w:suff w:val="space"/>
      <w:lvlText w:val="%1"/>
      <w:lvlJc w:val="left"/>
      <w:pPr>
        <w:ind w:left="0" w:firstLine="0"/>
      </w:pPr>
      <w:rPr>
        <w:rFonts w:hint="eastAsia"/>
      </w:rPr>
    </w:lvl>
    <w:lvl w:ilvl="1" w:tentative="0">
      <w:start w:val="1"/>
      <w:numFmt w:val="decimal"/>
      <w:pStyle w:val="27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5">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316938D5"/>
    <w:multiLevelType w:val="multilevel"/>
    <w:tmpl w:val="316938D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0">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1">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2">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3">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4">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5">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8">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9">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0">
    <w:nsid w:val="681DD817"/>
    <w:multiLevelType w:val="multilevel"/>
    <w:tmpl w:val="681DD817"/>
    <w:lvl w:ilvl="0" w:tentative="0">
      <w:start w:val="1"/>
      <w:numFmt w:val="lowerLetter"/>
      <w:pStyle w:val="26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7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2">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DBF04F4"/>
    <w:multiLevelType w:val="multilevel"/>
    <w:tmpl w:val="6DBF04F4"/>
    <w:lvl w:ilvl="0" w:tentative="0">
      <w:start w:val="1"/>
      <w:numFmt w:val="none"/>
      <w:pStyle w:val="26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5">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6">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16"/>
  </w:num>
  <w:num w:numId="3">
    <w:abstractNumId w:val="8"/>
  </w:num>
  <w:num w:numId="4">
    <w:abstractNumId w:val="29"/>
  </w:num>
  <w:num w:numId="5">
    <w:abstractNumId w:val="24"/>
  </w:num>
  <w:num w:numId="6">
    <w:abstractNumId w:val="19"/>
  </w:num>
  <w:num w:numId="7">
    <w:abstractNumId w:val="11"/>
  </w:num>
  <w:num w:numId="8">
    <w:abstractNumId w:val="4"/>
  </w:num>
  <w:num w:numId="9">
    <w:abstractNumId w:val="12"/>
  </w:num>
  <w:num w:numId="10">
    <w:abstractNumId w:val="22"/>
  </w:num>
  <w:num w:numId="11">
    <w:abstractNumId w:val="32"/>
  </w:num>
  <w:num w:numId="12">
    <w:abstractNumId w:val="17"/>
  </w:num>
  <w:num w:numId="13">
    <w:abstractNumId w:val="18"/>
  </w:num>
  <w:num w:numId="14">
    <w:abstractNumId w:val="10"/>
  </w:num>
  <w:num w:numId="15">
    <w:abstractNumId w:val="25"/>
  </w:num>
  <w:num w:numId="16">
    <w:abstractNumId w:val="0"/>
  </w:num>
  <w:num w:numId="17">
    <w:abstractNumId w:val="23"/>
  </w:num>
  <w:num w:numId="18">
    <w:abstractNumId w:val="35"/>
  </w:num>
  <w:num w:numId="19">
    <w:abstractNumId w:val="21"/>
  </w:num>
  <w:num w:numId="20">
    <w:abstractNumId w:val="2"/>
  </w:num>
  <w:num w:numId="21">
    <w:abstractNumId w:val="15"/>
  </w:num>
  <w:num w:numId="22">
    <w:abstractNumId w:val="36"/>
  </w:num>
  <w:num w:numId="23">
    <w:abstractNumId w:val="27"/>
  </w:num>
  <w:num w:numId="24">
    <w:abstractNumId w:val="9"/>
  </w:num>
  <w:num w:numId="25">
    <w:abstractNumId w:val="33"/>
  </w:num>
  <w:num w:numId="26">
    <w:abstractNumId w:val="3"/>
  </w:num>
  <w:num w:numId="27">
    <w:abstractNumId w:val="7"/>
  </w:num>
  <w:num w:numId="28">
    <w:abstractNumId w:val="20"/>
  </w:num>
  <w:num w:numId="29">
    <w:abstractNumId w:val="31"/>
  </w:num>
  <w:num w:numId="30">
    <w:abstractNumId w:val="28"/>
  </w:num>
  <w:num w:numId="31">
    <w:abstractNumId w:val="26"/>
  </w:num>
  <w:num w:numId="32">
    <w:abstractNumId w:val="5"/>
  </w:num>
  <w:num w:numId="33">
    <w:abstractNumId w:val="6"/>
  </w:num>
  <w:num w:numId="34">
    <w:abstractNumId w:val="34"/>
  </w:num>
  <w:num w:numId="35">
    <w:abstractNumId w:val="13"/>
  </w:num>
  <w:num w:numId="36">
    <w:abstractNumId w:val="30"/>
  </w:num>
  <w:num w:numId="37">
    <w:abstractNumId w:val="14"/>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36905"/>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0F6930"/>
    <w:rsid w:val="00104926"/>
    <w:rsid w:val="00110ADB"/>
    <w:rsid w:val="00113B1E"/>
    <w:rsid w:val="00114E4E"/>
    <w:rsid w:val="0011711C"/>
    <w:rsid w:val="00121BBD"/>
    <w:rsid w:val="00124E4F"/>
    <w:rsid w:val="0012503B"/>
    <w:rsid w:val="001260B7"/>
    <w:rsid w:val="001265CB"/>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A27"/>
    <w:rsid w:val="00172E5F"/>
    <w:rsid w:val="0017340B"/>
    <w:rsid w:val="0017370A"/>
    <w:rsid w:val="00173FB1"/>
    <w:rsid w:val="00176DFD"/>
    <w:rsid w:val="0018198D"/>
    <w:rsid w:val="0018268C"/>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1E9C"/>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936"/>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F44"/>
    <w:rsid w:val="002B0C40"/>
    <w:rsid w:val="002B1966"/>
    <w:rsid w:val="002B4508"/>
    <w:rsid w:val="002B5002"/>
    <w:rsid w:val="002B5779"/>
    <w:rsid w:val="002B6E30"/>
    <w:rsid w:val="002B7332"/>
    <w:rsid w:val="002B7F51"/>
    <w:rsid w:val="002C09E7"/>
    <w:rsid w:val="002C1E06"/>
    <w:rsid w:val="002C3F07"/>
    <w:rsid w:val="002C5278"/>
    <w:rsid w:val="002C7EBB"/>
    <w:rsid w:val="002D06C1"/>
    <w:rsid w:val="002D093E"/>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717"/>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3FA"/>
    <w:rsid w:val="003C5A43"/>
    <w:rsid w:val="003C7AF6"/>
    <w:rsid w:val="003D0519"/>
    <w:rsid w:val="003D0FF6"/>
    <w:rsid w:val="003D262C"/>
    <w:rsid w:val="003D3110"/>
    <w:rsid w:val="003D35C9"/>
    <w:rsid w:val="003D6D61"/>
    <w:rsid w:val="003E091D"/>
    <w:rsid w:val="003E1C53"/>
    <w:rsid w:val="003E2A69"/>
    <w:rsid w:val="003E2D49"/>
    <w:rsid w:val="003E2FD4"/>
    <w:rsid w:val="003E49F6"/>
    <w:rsid w:val="003E660F"/>
    <w:rsid w:val="003F0841"/>
    <w:rsid w:val="003F1E41"/>
    <w:rsid w:val="003F23D3"/>
    <w:rsid w:val="003F336F"/>
    <w:rsid w:val="003F3F08"/>
    <w:rsid w:val="003F44AF"/>
    <w:rsid w:val="003F49F1"/>
    <w:rsid w:val="003F6272"/>
    <w:rsid w:val="00400101"/>
    <w:rsid w:val="00400E72"/>
    <w:rsid w:val="00401400"/>
    <w:rsid w:val="00404869"/>
    <w:rsid w:val="00405884"/>
    <w:rsid w:val="00405CC8"/>
    <w:rsid w:val="0040789C"/>
    <w:rsid w:val="00407D39"/>
    <w:rsid w:val="00413441"/>
    <w:rsid w:val="0041477A"/>
    <w:rsid w:val="004167A3"/>
    <w:rsid w:val="00422E3B"/>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5059"/>
    <w:rsid w:val="004B7E19"/>
    <w:rsid w:val="004C1FBC"/>
    <w:rsid w:val="004C25A2"/>
    <w:rsid w:val="004C3F1D"/>
    <w:rsid w:val="004C458D"/>
    <w:rsid w:val="004C7556"/>
    <w:rsid w:val="004C7C9D"/>
    <w:rsid w:val="004C7E8B"/>
    <w:rsid w:val="004C7E9D"/>
    <w:rsid w:val="004C7F67"/>
    <w:rsid w:val="004D076D"/>
    <w:rsid w:val="004D0EF1"/>
    <w:rsid w:val="004D2253"/>
    <w:rsid w:val="004D2BD5"/>
    <w:rsid w:val="004D4406"/>
    <w:rsid w:val="004D5EED"/>
    <w:rsid w:val="004D7C42"/>
    <w:rsid w:val="004E0465"/>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06D"/>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492"/>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1960"/>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9B8"/>
    <w:rsid w:val="005C2CDF"/>
    <w:rsid w:val="005C5F21"/>
    <w:rsid w:val="005C7156"/>
    <w:rsid w:val="005D076E"/>
    <w:rsid w:val="005D0C75"/>
    <w:rsid w:val="005D4171"/>
    <w:rsid w:val="005D5660"/>
    <w:rsid w:val="005D6A95"/>
    <w:rsid w:val="005D6B2C"/>
    <w:rsid w:val="005D6D9C"/>
    <w:rsid w:val="005E2335"/>
    <w:rsid w:val="005E34CA"/>
    <w:rsid w:val="005E3C18"/>
    <w:rsid w:val="005E4250"/>
    <w:rsid w:val="005E6812"/>
    <w:rsid w:val="005E7881"/>
    <w:rsid w:val="005E78E0"/>
    <w:rsid w:val="005F0D9C"/>
    <w:rsid w:val="005F284E"/>
    <w:rsid w:val="005F33AF"/>
    <w:rsid w:val="005F3C24"/>
    <w:rsid w:val="006015CE"/>
    <w:rsid w:val="00604784"/>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5904"/>
    <w:rsid w:val="00645CAD"/>
    <w:rsid w:val="00646D3D"/>
    <w:rsid w:val="00651ACB"/>
    <w:rsid w:val="00651C47"/>
    <w:rsid w:val="00652AB2"/>
    <w:rsid w:val="00653FED"/>
    <w:rsid w:val="00654292"/>
    <w:rsid w:val="00654EC0"/>
    <w:rsid w:val="0065525B"/>
    <w:rsid w:val="006552A2"/>
    <w:rsid w:val="00655D4F"/>
    <w:rsid w:val="00656D29"/>
    <w:rsid w:val="00657245"/>
    <w:rsid w:val="00660ECF"/>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3EDE"/>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6284"/>
    <w:rsid w:val="007002C5"/>
    <w:rsid w:val="00704387"/>
    <w:rsid w:val="007071CA"/>
    <w:rsid w:val="00707669"/>
    <w:rsid w:val="0071041E"/>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4574"/>
    <w:rsid w:val="00765C43"/>
    <w:rsid w:val="00765EFB"/>
    <w:rsid w:val="007671CA"/>
    <w:rsid w:val="00767C61"/>
    <w:rsid w:val="0077008A"/>
    <w:rsid w:val="00773C1F"/>
    <w:rsid w:val="00774DA4"/>
    <w:rsid w:val="007755D8"/>
    <w:rsid w:val="00776599"/>
    <w:rsid w:val="007778D0"/>
    <w:rsid w:val="0078114B"/>
    <w:rsid w:val="00781DD2"/>
    <w:rsid w:val="00783ECF"/>
    <w:rsid w:val="0078413A"/>
    <w:rsid w:val="00785BF6"/>
    <w:rsid w:val="007959E8"/>
    <w:rsid w:val="00795E9C"/>
    <w:rsid w:val="00796127"/>
    <w:rsid w:val="007961E0"/>
    <w:rsid w:val="007A0521"/>
    <w:rsid w:val="007A2E12"/>
    <w:rsid w:val="007A3475"/>
    <w:rsid w:val="007A41C8"/>
    <w:rsid w:val="007A46A8"/>
    <w:rsid w:val="007A54CE"/>
    <w:rsid w:val="007A6FD9"/>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42D2"/>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903"/>
    <w:rsid w:val="00842A47"/>
    <w:rsid w:val="0084341A"/>
    <w:rsid w:val="00843C13"/>
    <w:rsid w:val="008454F8"/>
    <w:rsid w:val="00845E27"/>
    <w:rsid w:val="00846636"/>
    <w:rsid w:val="0085173A"/>
    <w:rsid w:val="00851F4E"/>
    <w:rsid w:val="0085405F"/>
    <w:rsid w:val="008563AD"/>
    <w:rsid w:val="008603CE"/>
    <w:rsid w:val="008620FC"/>
    <w:rsid w:val="0086213F"/>
    <w:rsid w:val="008627A5"/>
    <w:rsid w:val="00863E05"/>
    <w:rsid w:val="008652F7"/>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4FCF"/>
    <w:rsid w:val="00895172"/>
    <w:rsid w:val="00895680"/>
    <w:rsid w:val="00896DFF"/>
    <w:rsid w:val="0089762C"/>
    <w:rsid w:val="008A1315"/>
    <w:rsid w:val="008A173B"/>
    <w:rsid w:val="008A1893"/>
    <w:rsid w:val="008A3FAB"/>
    <w:rsid w:val="008A57E6"/>
    <w:rsid w:val="008A67A5"/>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40B"/>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27992"/>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9A7"/>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0370"/>
    <w:rsid w:val="009C27F1"/>
    <w:rsid w:val="009C2C4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3BA7"/>
    <w:rsid w:val="00A06A6B"/>
    <w:rsid w:val="00A07E47"/>
    <w:rsid w:val="00A110A1"/>
    <w:rsid w:val="00A129D0"/>
    <w:rsid w:val="00A12C33"/>
    <w:rsid w:val="00A138BA"/>
    <w:rsid w:val="00A14C8E"/>
    <w:rsid w:val="00A153D9"/>
    <w:rsid w:val="00A15F09"/>
    <w:rsid w:val="00A169B6"/>
    <w:rsid w:val="00A21A39"/>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4D76"/>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0DDC"/>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E25"/>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C94"/>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2880"/>
    <w:rsid w:val="00B758BF"/>
    <w:rsid w:val="00B75B30"/>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B6852"/>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1433"/>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18DD"/>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5787B"/>
    <w:rsid w:val="00D57D22"/>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2495"/>
    <w:rsid w:val="00E15CCD"/>
    <w:rsid w:val="00E15F05"/>
    <w:rsid w:val="00E202EF"/>
    <w:rsid w:val="00E210B5"/>
    <w:rsid w:val="00E21855"/>
    <w:rsid w:val="00E232C0"/>
    <w:rsid w:val="00E24A5A"/>
    <w:rsid w:val="00E2552F"/>
    <w:rsid w:val="00E2798F"/>
    <w:rsid w:val="00E3137A"/>
    <w:rsid w:val="00E3259B"/>
    <w:rsid w:val="00E32CCF"/>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656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3AB8"/>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5B0"/>
    <w:rsid w:val="00EF7637"/>
    <w:rsid w:val="00EF7E72"/>
    <w:rsid w:val="00F00967"/>
    <w:rsid w:val="00F030FB"/>
    <w:rsid w:val="00F06D1D"/>
    <w:rsid w:val="00F06D37"/>
    <w:rsid w:val="00F078B7"/>
    <w:rsid w:val="00F07B9D"/>
    <w:rsid w:val="00F1091D"/>
    <w:rsid w:val="00F11586"/>
    <w:rsid w:val="00F1183B"/>
    <w:rsid w:val="00F11C9F"/>
    <w:rsid w:val="00F12263"/>
    <w:rsid w:val="00F1409D"/>
    <w:rsid w:val="00F14214"/>
    <w:rsid w:val="00F14674"/>
    <w:rsid w:val="00F157A9"/>
    <w:rsid w:val="00F16F00"/>
    <w:rsid w:val="00F20AC4"/>
    <w:rsid w:val="00F21C86"/>
    <w:rsid w:val="00F23C5A"/>
    <w:rsid w:val="00F23F44"/>
    <w:rsid w:val="00F242C9"/>
    <w:rsid w:val="00F2477C"/>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BB7"/>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005C04"/>
    <w:rsid w:val="0125635D"/>
    <w:rsid w:val="01565C22"/>
    <w:rsid w:val="01BF5A52"/>
    <w:rsid w:val="01CC3898"/>
    <w:rsid w:val="01D95F0B"/>
    <w:rsid w:val="01FC640B"/>
    <w:rsid w:val="021F0A6D"/>
    <w:rsid w:val="02535CBD"/>
    <w:rsid w:val="025B4F1C"/>
    <w:rsid w:val="025F7408"/>
    <w:rsid w:val="02906263"/>
    <w:rsid w:val="02A76E81"/>
    <w:rsid w:val="02C31095"/>
    <w:rsid w:val="02DC3198"/>
    <w:rsid w:val="02F44E37"/>
    <w:rsid w:val="032C2C0D"/>
    <w:rsid w:val="03443777"/>
    <w:rsid w:val="0357767E"/>
    <w:rsid w:val="03946435"/>
    <w:rsid w:val="03C10461"/>
    <w:rsid w:val="03E2177F"/>
    <w:rsid w:val="03FD209E"/>
    <w:rsid w:val="045029FB"/>
    <w:rsid w:val="045A77D7"/>
    <w:rsid w:val="046048F9"/>
    <w:rsid w:val="04AE18D1"/>
    <w:rsid w:val="04D05CEB"/>
    <w:rsid w:val="04DF0901"/>
    <w:rsid w:val="04F66143"/>
    <w:rsid w:val="04FE13F4"/>
    <w:rsid w:val="052676B9"/>
    <w:rsid w:val="052A026E"/>
    <w:rsid w:val="055E62CD"/>
    <w:rsid w:val="056A1C9B"/>
    <w:rsid w:val="057B5A67"/>
    <w:rsid w:val="059F29D4"/>
    <w:rsid w:val="05A17A72"/>
    <w:rsid w:val="05D617A2"/>
    <w:rsid w:val="05DE7F94"/>
    <w:rsid w:val="05DF5861"/>
    <w:rsid w:val="05FF17A6"/>
    <w:rsid w:val="060C4B01"/>
    <w:rsid w:val="061F2A86"/>
    <w:rsid w:val="06417867"/>
    <w:rsid w:val="064A5F1B"/>
    <w:rsid w:val="06537525"/>
    <w:rsid w:val="06574AB8"/>
    <w:rsid w:val="06672D9E"/>
    <w:rsid w:val="06754A83"/>
    <w:rsid w:val="06C867AC"/>
    <w:rsid w:val="06E17D3B"/>
    <w:rsid w:val="07150B15"/>
    <w:rsid w:val="071F7EBF"/>
    <w:rsid w:val="073F0F06"/>
    <w:rsid w:val="073F557B"/>
    <w:rsid w:val="07460E92"/>
    <w:rsid w:val="076B1CFB"/>
    <w:rsid w:val="07795030"/>
    <w:rsid w:val="07C24B58"/>
    <w:rsid w:val="07C4574A"/>
    <w:rsid w:val="07CF32A0"/>
    <w:rsid w:val="07ED677E"/>
    <w:rsid w:val="081418BF"/>
    <w:rsid w:val="08365E65"/>
    <w:rsid w:val="089D5934"/>
    <w:rsid w:val="08B84ACC"/>
    <w:rsid w:val="08F301FA"/>
    <w:rsid w:val="08F41D87"/>
    <w:rsid w:val="08F74A5F"/>
    <w:rsid w:val="09095984"/>
    <w:rsid w:val="09192547"/>
    <w:rsid w:val="09390D12"/>
    <w:rsid w:val="094C583B"/>
    <w:rsid w:val="09694269"/>
    <w:rsid w:val="098215A1"/>
    <w:rsid w:val="09A65662"/>
    <w:rsid w:val="09A82EAE"/>
    <w:rsid w:val="09C86F91"/>
    <w:rsid w:val="09F47D86"/>
    <w:rsid w:val="09FB64A3"/>
    <w:rsid w:val="0A00672A"/>
    <w:rsid w:val="0A0E4391"/>
    <w:rsid w:val="0A167B17"/>
    <w:rsid w:val="0A2B694C"/>
    <w:rsid w:val="0AD927F5"/>
    <w:rsid w:val="0AE53B72"/>
    <w:rsid w:val="0AF47B08"/>
    <w:rsid w:val="0B41054B"/>
    <w:rsid w:val="0B51447D"/>
    <w:rsid w:val="0BE277A8"/>
    <w:rsid w:val="0C404922"/>
    <w:rsid w:val="0C49645E"/>
    <w:rsid w:val="0CD755C5"/>
    <w:rsid w:val="0CE20369"/>
    <w:rsid w:val="0D154730"/>
    <w:rsid w:val="0D6D5E4C"/>
    <w:rsid w:val="0D9F2963"/>
    <w:rsid w:val="0DAE46EF"/>
    <w:rsid w:val="0DC25855"/>
    <w:rsid w:val="0DE7165B"/>
    <w:rsid w:val="0DF92677"/>
    <w:rsid w:val="0DF972A0"/>
    <w:rsid w:val="0E0F33E0"/>
    <w:rsid w:val="0E172295"/>
    <w:rsid w:val="0E325320"/>
    <w:rsid w:val="0E335347"/>
    <w:rsid w:val="0E3F3599"/>
    <w:rsid w:val="0E5500A8"/>
    <w:rsid w:val="0E721A6C"/>
    <w:rsid w:val="0E8F26AA"/>
    <w:rsid w:val="0E9A5B52"/>
    <w:rsid w:val="0EB65F51"/>
    <w:rsid w:val="0EBE1C9D"/>
    <w:rsid w:val="0EFA3E86"/>
    <w:rsid w:val="0F1A3C80"/>
    <w:rsid w:val="0F1D7D7F"/>
    <w:rsid w:val="0F207E9C"/>
    <w:rsid w:val="0F22328B"/>
    <w:rsid w:val="0F2904D1"/>
    <w:rsid w:val="0F7B6853"/>
    <w:rsid w:val="0F7C616D"/>
    <w:rsid w:val="0FB60BC5"/>
    <w:rsid w:val="0FC053D7"/>
    <w:rsid w:val="0FE200C5"/>
    <w:rsid w:val="0FED7751"/>
    <w:rsid w:val="106628A7"/>
    <w:rsid w:val="1066305F"/>
    <w:rsid w:val="10703EDE"/>
    <w:rsid w:val="112C7269"/>
    <w:rsid w:val="11AA3420"/>
    <w:rsid w:val="11BD5E31"/>
    <w:rsid w:val="11BE3BDB"/>
    <w:rsid w:val="11E85CAC"/>
    <w:rsid w:val="12104465"/>
    <w:rsid w:val="126B3D39"/>
    <w:rsid w:val="128122DC"/>
    <w:rsid w:val="12ED62C5"/>
    <w:rsid w:val="12F71599"/>
    <w:rsid w:val="130628D8"/>
    <w:rsid w:val="1312127D"/>
    <w:rsid w:val="13160D6D"/>
    <w:rsid w:val="13204ECA"/>
    <w:rsid w:val="136E0BA9"/>
    <w:rsid w:val="13DE3B8C"/>
    <w:rsid w:val="13F66909"/>
    <w:rsid w:val="142C0D80"/>
    <w:rsid w:val="143A0E43"/>
    <w:rsid w:val="145F1258"/>
    <w:rsid w:val="14983A03"/>
    <w:rsid w:val="14A016C2"/>
    <w:rsid w:val="14D507B4"/>
    <w:rsid w:val="15192D96"/>
    <w:rsid w:val="1521464F"/>
    <w:rsid w:val="15237DE9"/>
    <w:rsid w:val="15A94E95"/>
    <w:rsid w:val="15E52C78"/>
    <w:rsid w:val="15F15EE9"/>
    <w:rsid w:val="15FC7BB6"/>
    <w:rsid w:val="15FE40E3"/>
    <w:rsid w:val="16055728"/>
    <w:rsid w:val="160A4EEC"/>
    <w:rsid w:val="162D54D7"/>
    <w:rsid w:val="163C6EA9"/>
    <w:rsid w:val="16A63835"/>
    <w:rsid w:val="16C07E56"/>
    <w:rsid w:val="16E3540A"/>
    <w:rsid w:val="174F6F43"/>
    <w:rsid w:val="17671E03"/>
    <w:rsid w:val="17771FF6"/>
    <w:rsid w:val="17796000"/>
    <w:rsid w:val="17842753"/>
    <w:rsid w:val="17852965"/>
    <w:rsid w:val="17BB0135"/>
    <w:rsid w:val="17C67150"/>
    <w:rsid w:val="17F453F5"/>
    <w:rsid w:val="17FF1243"/>
    <w:rsid w:val="1853531D"/>
    <w:rsid w:val="187059FC"/>
    <w:rsid w:val="18A1557C"/>
    <w:rsid w:val="18E526BB"/>
    <w:rsid w:val="18F60753"/>
    <w:rsid w:val="19215E2D"/>
    <w:rsid w:val="192C3B89"/>
    <w:rsid w:val="19992F43"/>
    <w:rsid w:val="19CB486B"/>
    <w:rsid w:val="1A064859"/>
    <w:rsid w:val="1A0D279E"/>
    <w:rsid w:val="1A2308F8"/>
    <w:rsid w:val="1A8268CC"/>
    <w:rsid w:val="1ABD41C4"/>
    <w:rsid w:val="1ADF42B2"/>
    <w:rsid w:val="1AEC0ACF"/>
    <w:rsid w:val="1B03673C"/>
    <w:rsid w:val="1B375D24"/>
    <w:rsid w:val="1B570174"/>
    <w:rsid w:val="1B7E2538"/>
    <w:rsid w:val="1B886580"/>
    <w:rsid w:val="1BBE4697"/>
    <w:rsid w:val="1BC42B10"/>
    <w:rsid w:val="1BE73A14"/>
    <w:rsid w:val="1BFB3FD6"/>
    <w:rsid w:val="1BFB4FA4"/>
    <w:rsid w:val="1BFB594B"/>
    <w:rsid w:val="1CB36B43"/>
    <w:rsid w:val="1CBA14B4"/>
    <w:rsid w:val="1CC849BD"/>
    <w:rsid w:val="1D247334"/>
    <w:rsid w:val="1DB042FE"/>
    <w:rsid w:val="1DDE2DCF"/>
    <w:rsid w:val="1E042157"/>
    <w:rsid w:val="1E783D88"/>
    <w:rsid w:val="1F086C28"/>
    <w:rsid w:val="1F0C54D7"/>
    <w:rsid w:val="1F185E6D"/>
    <w:rsid w:val="1F37674D"/>
    <w:rsid w:val="1F6E1F30"/>
    <w:rsid w:val="1FBA6AEA"/>
    <w:rsid w:val="1FC14756"/>
    <w:rsid w:val="1FC617AE"/>
    <w:rsid w:val="1FCA360B"/>
    <w:rsid w:val="1FDA6DBE"/>
    <w:rsid w:val="1FE225D0"/>
    <w:rsid w:val="20705BE9"/>
    <w:rsid w:val="20745325"/>
    <w:rsid w:val="20E4055B"/>
    <w:rsid w:val="20EE1C1F"/>
    <w:rsid w:val="210B5C89"/>
    <w:rsid w:val="2110329F"/>
    <w:rsid w:val="2115671A"/>
    <w:rsid w:val="211B1C44"/>
    <w:rsid w:val="21470C8B"/>
    <w:rsid w:val="219A0DBB"/>
    <w:rsid w:val="21D30729"/>
    <w:rsid w:val="21ED21C6"/>
    <w:rsid w:val="22082616"/>
    <w:rsid w:val="22116A3F"/>
    <w:rsid w:val="228644BC"/>
    <w:rsid w:val="22A4640E"/>
    <w:rsid w:val="22BA5BB9"/>
    <w:rsid w:val="22D57BA3"/>
    <w:rsid w:val="22D87DED"/>
    <w:rsid w:val="233E67E2"/>
    <w:rsid w:val="23735D67"/>
    <w:rsid w:val="238C6E29"/>
    <w:rsid w:val="23952182"/>
    <w:rsid w:val="23C40371"/>
    <w:rsid w:val="23D305B4"/>
    <w:rsid w:val="23F5050A"/>
    <w:rsid w:val="245D2C8D"/>
    <w:rsid w:val="249935AC"/>
    <w:rsid w:val="249944D1"/>
    <w:rsid w:val="24BC310B"/>
    <w:rsid w:val="24D60635"/>
    <w:rsid w:val="24FE4191"/>
    <w:rsid w:val="25096CBD"/>
    <w:rsid w:val="25247077"/>
    <w:rsid w:val="256E7D73"/>
    <w:rsid w:val="256F74FA"/>
    <w:rsid w:val="257B0F03"/>
    <w:rsid w:val="25D74FC3"/>
    <w:rsid w:val="25E31261"/>
    <w:rsid w:val="261C4494"/>
    <w:rsid w:val="26213859"/>
    <w:rsid w:val="263E265D"/>
    <w:rsid w:val="26410247"/>
    <w:rsid w:val="264D0C35"/>
    <w:rsid w:val="265E685B"/>
    <w:rsid w:val="26915FCA"/>
    <w:rsid w:val="269234BA"/>
    <w:rsid w:val="26956186"/>
    <w:rsid w:val="26F6389B"/>
    <w:rsid w:val="271474CA"/>
    <w:rsid w:val="2750627A"/>
    <w:rsid w:val="276D746E"/>
    <w:rsid w:val="27765E26"/>
    <w:rsid w:val="27962024"/>
    <w:rsid w:val="27990BFF"/>
    <w:rsid w:val="27DA0163"/>
    <w:rsid w:val="27E370C7"/>
    <w:rsid w:val="27E55EA8"/>
    <w:rsid w:val="27ED736F"/>
    <w:rsid w:val="27F03E2A"/>
    <w:rsid w:val="283A0353"/>
    <w:rsid w:val="285C326E"/>
    <w:rsid w:val="28602E72"/>
    <w:rsid w:val="28874A54"/>
    <w:rsid w:val="2892582B"/>
    <w:rsid w:val="28B730AF"/>
    <w:rsid w:val="28C50E13"/>
    <w:rsid w:val="28D252DE"/>
    <w:rsid w:val="28E374EB"/>
    <w:rsid w:val="28F039B6"/>
    <w:rsid w:val="29291515"/>
    <w:rsid w:val="292A336C"/>
    <w:rsid w:val="294E1641"/>
    <w:rsid w:val="29522056"/>
    <w:rsid w:val="298D533F"/>
    <w:rsid w:val="2A402EB4"/>
    <w:rsid w:val="2A554419"/>
    <w:rsid w:val="2A8D1997"/>
    <w:rsid w:val="2AA44A58"/>
    <w:rsid w:val="2AB80867"/>
    <w:rsid w:val="2AE578A2"/>
    <w:rsid w:val="2AF27EBA"/>
    <w:rsid w:val="2B0752C2"/>
    <w:rsid w:val="2B281991"/>
    <w:rsid w:val="2B7B0FC3"/>
    <w:rsid w:val="2BB13233"/>
    <w:rsid w:val="2BB74432"/>
    <w:rsid w:val="2BCC070B"/>
    <w:rsid w:val="2C7D116F"/>
    <w:rsid w:val="2C8E4833"/>
    <w:rsid w:val="2D5B4C0F"/>
    <w:rsid w:val="2D766591"/>
    <w:rsid w:val="2DB96A6D"/>
    <w:rsid w:val="2DDE0F45"/>
    <w:rsid w:val="2DDE64D3"/>
    <w:rsid w:val="2DEA595F"/>
    <w:rsid w:val="2E0028ED"/>
    <w:rsid w:val="2E5B2F02"/>
    <w:rsid w:val="2E80527A"/>
    <w:rsid w:val="2EE6563F"/>
    <w:rsid w:val="2F486004"/>
    <w:rsid w:val="2F9B7DD2"/>
    <w:rsid w:val="2FA86D99"/>
    <w:rsid w:val="2FB57729"/>
    <w:rsid w:val="2FC021F3"/>
    <w:rsid w:val="30040748"/>
    <w:rsid w:val="307D1FD3"/>
    <w:rsid w:val="30A31CD5"/>
    <w:rsid w:val="30DA1187"/>
    <w:rsid w:val="30E96AAE"/>
    <w:rsid w:val="31097764"/>
    <w:rsid w:val="310C0943"/>
    <w:rsid w:val="31660CB9"/>
    <w:rsid w:val="31735C22"/>
    <w:rsid w:val="3175714F"/>
    <w:rsid w:val="318F4926"/>
    <w:rsid w:val="322748ED"/>
    <w:rsid w:val="323808A8"/>
    <w:rsid w:val="32452FC5"/>
    <w:rsid w:val="3269779D"/>
    <w:rsid w:val="32770709"/>
    <w:rsid w:val="32DB1FCA"/>
    <w:rsid w:val="32E75B37"/>
    <w:rsid w:val="32EF68B4"/>
    <w:rsid w:val="32FB3538"/>
    <w:rsid w:val="33075F3D"/>
    <w:rsid w:val="331035D3"/>
    <w:rsid w:val="332756A7"/>
    <w:rsid w:val="33545566"/>
    <w:rsid w:val="3357192F"/>
    <w:rsid w:val="339A4C4A"/>
    <w:rsid w:val="33B71CA0"/>
    <w:rsid w:val="342804A8"/>
    <w:rsid w:val="342D6CBE"/>
    <w:rsid w:val="34337175"/>
    <w:rsid w:val="347100A1"/>
    <w:rsid w:val="34AD36B8"/>
    <w:rsid w:val="34D128EE"/>
    <w:rsid w:val="34DA79F4"/>
    <w:rsid w:val="34F76A97"/>
    <w:rsid w:val="351441F0"/>
    <w:rsid w:val="3529011B"/>
    <w:rsid w:val="353535B2"/>
    <w:rsid w:val="354C5EC7"/>
    <w:rsid w:val="355326FC"/>
    <w:rsid w:val="3578720D"/>
    <w:rsid w:val="35851948"/>
    <w:rsid w:val="35C13CCB"/>
    <w:rsid w:val="35D57C94"/>
    <w:rsid w:val="35D65063"/>
    <w:rsid w:val="361C7B45"/>
    <w:rsid w:val="36775DFC"/>
    <w:rsid w:val="3698148D"/>
    <w:rsid w:val="370B6CF4"/>
    <w:rsid w:val="370D6AF8"/>
    <w:rsid w:val="375D7A2B"/>
    <w:rsid w:val="37A22637"/>
    <w:rsid w:val="37D47531"/>
    <w:rsid w:val="380A119C"/>
    <w:rsid w:val="38671EF1"/>
    <w:rsid w:val="389C6AEB"/>
    <w:rsid w:val="38BE20CC"/>
    <w:rsid w:val="38BE762D"/>
    <w:rsid w:val="38C74D5D"/>
    <w:rsid w:val="38D877D8"/>
    <w:rsid w:val="38EE02D5"/>
    <w:rsid w:val="390B1722"/>
    <w:rsid w:val="39186D3D"/>
    <w:rsid w:val="39406F06"/>
    <w:rsid w:val="39C40C73"/>
    <w:rsid w:val="39C57AFA"/>
    <w:rsid w:val="39D37108"/>
    <w:rsid w:val="39E353D5"/>
    <w:rsid w:val="39F2758E"/>
    <w:rsid w:val="3A4A1178"/>
    <w:rsid w:val="3A9012A4"/>
    <w:rsid w:val="3AA51A40"/>
    <w:rsid w:val="3ADC741E"/>
    <w:rsid w:val="3AEA295B"/>
    <w:rsid w:val="3B0D0F39"/>
    <w:rsid w:val="3B1860B3"/>
    <w:rsid w:val="3B2220F5"/>
    <w:rsid w:val="3B300374"/>
    <w:rsid w:val="3B3312CF"/>
    <w:rsid w:val="3B4E2EEA"/>
    <w:rsid w:val="3B547DD5"/>
    <w:rsid w:val="3B9B5ABE"/>
    <w:rsid w:val="3BA0301A"/>
    <w:rsid w:val="3BED2ADE"/>
    <w:rsid w:val="3BF26D83"/>
    <w:rsid w:val="3BFA5C0C"/>
    <w:rsid w:val="3C084298"/>
    <w:rsid w:val="3C300842"/>
    <w:rsid w:val="3C660FEE"/>
    <w:rsid w:val="3C6E23C9"/>
    <w:rsid w:val="3C7C3A87"/>
    <w:rsid w:val="3C7E335B"/>
    <w:rsid w:val="3C885735"/>
    <w:rsid w:val="3C9012E0"/>
    <w:rsid w:val="3CB12751"/>
    <w:rsid w:val="3CC43B7F"/>
    <w:rsid w:val="3CE755E8"/>
    <w:rsid w:val="3CF74EBC"/>
    <w:rsid w:val="3D582B25"/>
    <w:rsid w:val="3D6A7B59"/>
    <w:rsid w:val="3D915310"/>
    <w:rsid w:val="3DC41242"/>
    <w:rsid w:val="3DC8576F"/>
    <w:rsid w:val="3DF7311B"/>
    <w:rsid w:val="3E1E5270"/>
    <w:rsid w:val="3E2C6DE7"/>
    <w:rsid w:val="3E4427DC"/>
    <w:rsid w:val="3E522122"/>
    <w:rsid w:val="3E7F05B5"/>
    <w:rsid w:val="3E9A2F5F"/>
    <w:rsid w:val="3EB07FB9"/>
    <w:rsid w:val="3EFC2464"/>
    <w:rsid w:val="3F0F1D39"/>
    <w:rsid w:val="3F23468E"/>
    <w:rsid w:val="3F6A6DDC"/>
    <w:rsid w:val="3F787264"/>
    <w:rsid w:val="3F825CCD"/>
    <w:rsid w:val="3FFC1167"/>
    <w:rsid w:val="40487E84"/>
    <w:rsid w:val="404F74B5"/>
    <w:rsid w:val="40727100"/>
    <w:rsid w:val="40BF2194"/>
    <w:rsid w:val="40C35A83"/>
    <w:rsid w:val="40D95004"/>
    <w:rsid w:val="4111051C"/>
    <w:rsid w:val="412B15D8"/>
    <w:rsid w:val="41432DC5"/>
    <w:rsid w:val="41A76EB0"/>
    <w:rsid w:val="41C04359"/>
    <w:rsid w:val="41E9571B"/>
    <w:rsid w:val="423A41C8"/>
    <w:rsid w:val="42467274"/>
    <w:rsid w:val="42796B0B"/>
    <w:rsid w:val="428060AE"/>
    <w:rsid w:val="429A2DFF"/>
    <w:rsid w:val="42AB2039"/>
    <w:rsid w:val="42D26925"/>
    <w:rsid w:val="42F54415"/>
    <w:rsid w:val="430D335C"/>
    <w:rsid w:val="430E7C3C"/>
    <w:rsid w:val="432E715D"/>
    <w:rsid w:val="43495316"/>
    <w:rsid w:val="436239D7"/>
    <w:rsid w:val="43947908"/>
    <w:rsid w:val="439F3F66"/>
    <w:rsid w:val="43B72D8E"/>
    <w:rsid w:val="43C1733D"/>
    <w:rsid w:val="43FD36FF"/>
    <w:rsid w:val="44004F56"/>
    <w:rsid w:val="44461ED1"/>
    <w:rsid w:val="44655FBE"/>
    <w:rsid w:val="44826B42"/>
    <w:rsid w:val="44860CD1"/>
    <w:rsid w:val="44EA3184"/>
    <w:rsid w:val="44F331C9"/>
    <w:rsid w:val="450955C6"/>
    <w:rsid w:val="45171187"/>
    <w:rsid w:val="451C4FCB"/>
    <w:rsid w:val="45315AC5"/>
    <w:rsid w:val="457F1EF2"/>
    <w:rsid w:val="458637C9"/>
    <w:rsid w:val="458D0A2C"/>
    <w:rsid w:val="459E4A6E"/>
    <w:rsid w:val="45A030EC"/>
    <w:rsid w:val="45AA6F6F"/>
    <w:rsid w:val="45CB23C1"/>
    <w:rsid w:val="467C6F4C"/>
    <w:rsid w:val="46DA7D28"/>
    <w:rsid w:val="46ED1809"/>
    <w:rsid w:val="46F36279"/>
    <w:rsid w:val="46F75CCC"/>
    <w:rsid w:val="46FC5E9B"/>
    <w:rsid w:val="471F1BDF"/>
    <w:rsid w:val="47604374"/>
    <w:rsid w:val="47633357"/>
    <w:rsid w:val="476D294A"/>
    <w:rsid w:val="478D6B48"/>
    <w:rsid w:val="47B022A8"/>
    <w:rsid w:val="47B70069"/>
    <w:rsid w:val="47BE0573"/>
    <w:rsid w:val="47C63E08"/>
    <w:rsid w:val="47E65735"/>
    <w:rsid w:val="4800731A"/>
    <w:rsid w:val="48074B4D"/>
    <w:rsid w:val="482079BC"/>
    <w:rsid w:val="482B6CCE"/>
    <w:rsid w:val="4835149E"/>
    <w:rsid w:val="48684EBF"/>
    <w:rsid w:val="48975200"/>
    <w:rsid w:val="489A151D"/>
    <w:rsid w:val="489D725F"/>
    <w:rsid w:val="48A01213"/>
    <w:rsid w:val="48A26623"/>
    <w:rsid w:val="48BA1BBF"/>
    <w:rsid w:val="48E22EC4"/>
    <w:rsid w:val="48EC4C8A"/>
    <w:rsid w:val="490C2B32"/>
    <w:rsid w:val="49261002"/>
    <w:rsid w:val="493D00FA"/>
    <w:rsid w:val="49425735"/>
    <w:rsid w:val="499637FE"/>
    <w:rsid w:val="49A676D7"/>
    <w:rsid w:val="49CF51F6"/>
    <w:rsid w:val="49EC1C9B"/>
    <w:rsid w:val="4A477482"/>
    <w:rsid w:val="4A640D3D"/>
    <w:rsid w:val="4AD60806"/>
    <w:rsid w:val="4B3938D2"/>
    <w:rsid w:val="4B7D0C82"/>
    <w:rsid w:val="4BC603C3"/>
    <w:rsid w:val="4BF76C86"/>
    <w:rsid w:val="4C0849EF"/>
    <w:rsid w:val="4C0D0258"/>
    <w:rsid w:val="4C3457E4"/>
    <w:rsid w:val="4C435E96"/>
    <w:rsid w:val="4C447326"/>
    <w:rsid w:val="4C545E87"/>
    <w:rsid w:val="4C577725"/>
    <w:rsid w:val="4C6C1422"/>
    <w:rsid w:val="4C8449BE"/>
    <w:rsid w:val="4CBF59F6"/>
    <w:rsid w:val="4CC4660B"/>
    <w:rsid w:val="4CCA6149"/>
    <w:rsid w:val="4CCA7EF7"/>
    <w:rsid w:val="4CFB6302"/>
    <w:rsid w:val="4D037549"/>
    <w:rsid w:val="4D306E91"/>
    <w:rsid w:val="4D5C16A3"/>
    <w:rsid w:val="4D5E04AC"/>
    <w:rsid w:val="4D7A36CB"/>
    <w:rsid w:val="4DB210B7"/>
    <w:rsid w:val="4DF06083"/>
    <w:rsid w:val="4DFB61FC"/>
    <w:rsid w:val="4E012DB3"/>
    <w:rsid w:val="4E102281"/>
    <w:rsid w:val="4E3D3AAD"/>
    <w:rsid w:val="4E47299C"/>
    <w:rsid w:val="4E704ACE"/>
    <w:rsid w:val="4E81368C"/>
    <w:rsid w:val="4ED67027"/>
    <w:rsid w:val="4F072E4C"/>
    <w:rsid w:val="4F1171EA"/>
    <w:rsid w:val="4F1C0D7A"/>
    <w:rsid w:val="4F2C3CE9"/>
    <w:rsid w:val="4F4A6982"/>
    <w:rsid w:val="4F530677"/>
    <w:rsid w:val="4F752402"/>
    <w:rsid w:val="4FC968D9"/>
    <w:rsid w:val="4FF41062"/>
    <w:rsid w:val="504F13FA"/>
    <w:rsid w:val="50A82084"/>
    <w:rsid w:val="50AD3DB7"/>
    <w:rsid w:val="50D605D0"/>
    <w:rsid w:val="51114346"/>
    <w:rsid w:val="51566BAA"/>
    <w:rsid w:val="516E01AD"/>
    <w:rsid w:val="51917235"/>
    <w:rsid w:val="51CB6BEB"/>
    <w:rsid w:val="51DC173E"/>
    <w:rsid w:val="51E65D02"/>
    <w:rsid w:val="51FC6DA4"/>
    <w:rsid w:val="521606D0"/>
    <w:rsid w:val="522956BF"/>
    <w:rsid w:val="52630BD1"/>
    <w:rsid w:val="52D01FDF"/>
    <w:rsid w:val="52DA7D38"/>
    <w:rsid w:val="52DC6BD6"/>
    <w:rsid w:val="52E9110F"/>
    <w:rsid w:val="531B4B18"/>
    <w:rsid w:val="531E0316"/>
    <w:rsid w:val="534E7B91"/>
    <w:rsid w:val="5362593B"/>
    <w:rsid w:val="53C2343A"/>
    <w:rsid w:val="53C5766A"/>
    <w:rsid w:val="53D1600F"/>
    <w:rsid w:val="53FC752F"/>
    <w:rsid w:val="53FE1CAE"/>
    <w:rsid w:val="54096145"/>
    <w:rsid w:val="543635BF"/>
    <w:rsid w:val="54417177"/>
    <w:rsid w:val="54752E3E"/>
    <w:rsid w:val="54905ECA"/>
    <w:rsid w:val="54B576DE"/>
    <w:rsid w:val="54BE4CA1"/>
    <w:rsid w:val="54D04518"/>
    <w:rsid w:val="54D86127"/>
    <w:rsid w:val="54DE2DE2"/>
    <w:rsid w:val="54FF4546"/>
    <w:rsid w:val="553C3BC4"/>
    <w:rsid w:val="554227C3"/>
    <w:rsid w:val="555B07B2"/>
    <w:rsid w:val="555D02CD"/>
    <w:rsid w:val="55774994"/>
    <w:rsid w:val="557C770E"/>
    <w:rsid w:val="55B1143D"/>
    <w:rsid w:val="55CC0A51"/>
    <w:rsid w:val="55D83684"/>
    <w:rsid w:val="562B140A"/>
    <w:rsid w:val="5630526E"/>
    <w:rsid w:val="56416A39"/>
    <w:rsid w:val="56547E6E"/>
    <w:rsid w:val="56975989"/>
    <w:rsid w:val="56987D1D"/>
    <w:rsid w:val="569A40BE"/>
    <w:rsid w:val="569B5857"/>
    <w:rsid w:val="56B178A8"/>
    <w:rsid w:val="56E42C0C"/>
    <w:rsid w:val="573915E2"/>
    <w:rsid w:val="57911D41"/>
    <w:rsid w:val="57D34C7B"/>
    <w:rsid w:val="57D936E4"/>
    <w:rsid w:val="57E5652D"/>
    <w:rsid w:val="57EE6CBE"/>
    <w:rsid w:val="58022C3B"/>
    <w:rsid w:val="580A1F3C"/>
    <w:rsid w:val="58263D7A"/>
    <w:rsid w:val="587D0513"/>
    <w:rsid w:val="58C00850"/>
    <w:rsid w:val="58CE248E"/>
    <w:rsid w:val="58D02821"/>
    <w:rsid w:val="58D33612"/>
    <w:rsid w:val="58DF37A3"/>
    <w:rsid w:val="58EC43C6"/>
    <w:rsid w:val="59262FC6"/>
    <w:rsid w:val="59380949"/>
    <w:rsid w:val="59515EF9"/>
    <w:rsid w:val="596F3B96"/>
    <w:rsid w:val="59AF3DFF"/>
    <w:rsid w:val="59C363FA"/>
    <w:rsid w:val="59E55871"/>
    <w:rsid w:val="5A320FCE"/>
    <w:rsid w:val="5A3966BC"/>
    <w:rsid w:val="5A407A4A"/>
    <w:rsid w:val="5A470DD9"/>
    <w:rsid w:val="5A851901"/>
    <w:rsid w:val="5AF034C2"/>
    <w:rsid w:val="5B545E5B"/>
    <w:rsid w:val="5BEF2C11"/>
    <w:rsid w:val="5BF3746A"/>
    <w:rsid w:val="5C0056E3"/>
    <w:rsid w:val="5C036F81"/>
    <w:rsid w:val="5C413DFD"/>
    <w:rsid w:val="5C4C2CA7"/>
    <w:rsid w:val="5C8207EE"/>
    <w:rsid w:val="5C826784"/>
    <w:rsid w:val="5CA63FA9"/>
    <w:rsid w:val="5CB44D92"/>
    <w:rsid w:val="5CC93458"/>
    <w:rsid w:val="5CCC4F75"/>
    <w:rsid w:val="5CDD7CD2"/>
    <w:rsid w:val="5CED210B"/>
    <w:rsid w:val="5D2544BA"/>
    <w:rsid w:val="5D570FA6"/>
    <w:rsid w:val="5D8646F8"/>
    <w:rsid w:val="5D8C2D6B"/>
    <w:rsid w:val="5DB14783"/>
    <w:rsid w:val="5DCA244C"/>
    <w:rsid w:val="5E3D75FD"/>
    <w:rsid w:val="5E721B5C"/>
    <w:rsid w:val="5E776A60"/>
    <w:rsid w:val="5E802B0B"/>
    <w:rsid w:val="5E810A7B"/>
    <w:rsid w:val="5E892B2C"/>
    <w:rsid w:val="5EBB7FE7"/>
    <w:rsid w:val="5ECC2455"/>
    <w:rsid w:val="5F0A0E0B"/>
    <w:rsid w:val="5F2D67F5"/>
    <w:rsid w:val="5F4C0C3F"/>
    <w:rsid w:val="5F592AFE"/>
    <w:rsid w:val="5F600DA5"/>
    <w:rsid w:val="5F6B30AD"/>
    <w:rsid w:val="5FAF6FEE"/>
    <w:rsid w:val="5FBC7B73"/>
    <w:rsid w:val="5FD67D35"/>
    <w:rsid w:val="5FEA7F0B"/>
    <w:rsid w:val="60017C7C"/>
    <w:rsid w:val="60182E76"/>
    <w:rsid w:val="607E62CC"/>
    <w:rsid w:val="610E08A2"/>
    <w:rsid w:val="612B13A1"/>
    <w:rsid w:val="61A92379"/>
    <w:rsid w:val="61E51C5E"/>
    <w:rsid w:val="61F27457"/>
    <w:rsid w:val="61F524AB"/>
    <w:rsid w:val="61FF7C84"/>
    <w:rsid w:val="620530E0"/>
    <w:rsid w:val="62145A44"/>
    <w:rsid w:val="62262BE0"/>
    <w:rsid w:val="62E748C0"/>
    <w:rsid w:val="631303F2"/>
    <w:rsid w:val="63E96724"/>
    <w:rsid w:val="63EA44DC"/>
    <w:rsid w:val="63FA510E"/>
    <w:rsid w:val="63FE0426"/>
    <w:rsid w:val="64124205"/>
    <w:rsid w:val="644D348F"/>
    <w:rsid w:val="64550596"/>
    <w:rsid w:val="6477605C"/>
    <w:rsid w:val="64801AB7"/>
    <w:rsid w:val="649B244D"/>
    <w:rsid w:val="64A537E1"/>
    <w:rsid w:val="64EC5163"/>
    <w:rsid w:val="64F068BE"/>
    <w:rsid w:val="64F658D5"/>
    <w:rsid w:val="650A5824"/>
    <w:rsid w:val="6529160E"/>
    <w:rsid w:val="653235F2"/>
    <w:rsid w:val="656B1A72"/>
    <w:rsid w:val="65B04D2F"/>
    <w:rsid w:val="65DD6613"/>
    <w:rsid w:val="65E02D5F"/>
    <w:rsid w:val="65E16585"/>
    <w:rsid w:val="65E505B2"/>
    <w:rsid w:val="65F23BAF"/>
    <w:rsid w:val="6603474E"/>
    <w:rsid w:val="660932CF"/>
    <w:rsid w:val="660C5297"/>
    <w:rsid w:val="66417024"/>
    <w:rsid w:val="664B36ED"/>
    <w:rsid w:val="66590E47"/>
    <w:rsid w:val="666340E5"/>
    <w:rsid w:val="66680A54"/>
    <w:rsid w:val="66A4646F"/>
    <w:rsid w:val="66CF2882"/>
    <w:rsid w:val="66E826A9"/>
    <w:rsid w:val="672666F2"/>
    <w:rsid w:val="673132B0"/>
    <w:rsid w:val="676C1E7F"/>
    <w:rsid w:val="67A41618"/>
    <w:rsid w:val="67AC6DD1"/>
    <w:rsid w:val="67DC1391"/>
    <w:rsid w:val="67DD2577"/>
    <w:rsid w:val="68012F0F"/>
    <w:rsid w:val="680421B2"/>
    <w:rsid w:val="6807798D"/>
    <w:rsid w:val="680B1DCD"/>
    <w:rsid w:val="681503E6"/>
    <w:rsid w:val="683B68B2"/>
    <w:rsid w:val="68872E51"/>
    <w:rsid w:val="68AE3467"/>
    <w:rsid w:val="68B24209"/>
    <w:rsid w:val="68C10EA6"/>
    <w:rsid w:val="68CA3301"/>
    <w:rsid w:val="68CC52CB"/>
    <w:rsid w:val="69252C2D"/>
    <w:rsid w:val="693448A9"/>
    <w:rsid w:val="69824627"/>
    <w:rsid w:val="69892779"/>
    <w:rsid w:val="69BA52E5"/>
    <w:rsid w:val="6A1C4030"/>
    <w:rsid w:val="6A260A0B"/>
    <w:rsid w:val="6A5E5EC5"/>
    <w:rsid w:val="6A75102E"/>
    <w:rsid w:val="6ACD6BE6"/>
    <w:rsid w:val="6B075151"/>
    <w:rsid w:val="6B15282D"/>
    <w:rsid w:val="6B5B6548"/>
    <w:rsid w:val="6B6F018F"/>
    <w:rsid w:val="6BDB5825"/>
    <w:rsid w:val="6BE51DE5"/>
    <w:rsid w:val="6C3948F8"/>
    <w:rsid w:val="6C545B9D"/>
    <w:rsid w:val="6C8C6B1F"/>
    <w:rsid w:val="6CA70E8F"/>
    <w:rsid w:val="6CD009DE"/>
    <w:rsid w:val="6CD56CEF"/>
    <w:rsid w:val="6CE801F9"/>
    <w:rsid w:val="6D0854A3"/>
    <w:rsid w:val="6D090706"/>
    <w:rsid w:val="6D1B0A3B"/>
    <w:rsid w:val="6D2A78D9"/>
    <w:rsid w:val="6D2F0CB0"/>
    <w:rsid w:val="6D5911AE"/>
    <w:rsid w:val="6D8E5405"/>
    <w:rsid w:val="6D9C2A14"/>
    <w:rsid w:val="6DEA1D4F"/>
    <w:rsid w:val="6DEE4DF9"/>
    <w:rsid w:val="6E4F6056"/>
    <w:rsid w:val="6E724023"/>
    <w:rsid w:val="6E873AFE"/>
    <w:rsid w:val="6E8E0FCC"/>
    <w:rsid w:val="6EBA7973"/>
    <w:rsid w:val="6EC41BFF"/>
    <w:rsid w:val="6EEC1EFB"/>
    <w:rsid w:val="6EF121B8"/>
    <w:rsid w:val="6F3752B5"/>
    <w:rsid w:val="6F392A5E"/>
    <w:rsid w:val="6F675A43"/>
    <w:rsid w:val="6F7F4719"/>
    <w:rsid w:val="6F926B42"/>
    <w:rsid w:val="6FA94B7A"/>
    <w:rsid w:val="6FD67DE1"/>
    <w:rsid w:val="70065AA8"/>
    <w:rsid w:val="70273BAE"/>
    <w:rsid w:val="702D0210"/>
    <w:rsid w:val="70AC68CB"/>
    <w:rsid w:val="70F76C5D"/>
    <w:rsid w:val="70F8039F"/>
    <w:rsid w:val="71236F3D"/>
    <w:rsid w:val="7139610E"/>
    <w:rsid w:val="71581BF0"/>
    <w:rsid w:val="715B31D5"/>
    <w:rsid w:val="716E4E92"/>
    <w:rsid w:val="71755DD4"/>
    <w:rsid w:val="71771B4C"/>
    <w:rsid w:val="71E73175"/>
    <w:rsid w:val="71F33D12"/>
    <w:rsid w:val="71FC347E"/>
    <w:rsid w:val="71FF1D0A"/>
    <w:rsid w:val="72086C48"/>
    <w:rsid w:val="723637B5"/>
    <w:rsid w:val="727056D0"/>
    <w:rsid w:val="72FB33E4"/>
    <w:rsid w:val="73196236"/>
    <w:rsid w:val="733C7E7A"/>
    <w:rsid w:val="737A3B75"/>
    <w:rsid w:val="737E3B89"/>
    <w:rsid w:val="73816CB2"/>
    <w:rsid w:val="738F0BCE"/>
    <w:rsid w:val="73A55AC9"/>
    <w:rsid w:val="73C11280"/>
    <w:rsid w:val="73D3719B"/>
    <w:rsid w:val="73F41B79"/>
    <w:rsid w:val="740578E3"/>
    <w:rsid w:val="742A5972"/>
    <w:rsid w:val="742C30C1"/>
    <w:rsid w:val="742F15C1"/>
    <w:rsid w:val="7447614D"/>
    <w:rsid w:val="7451604E"/>
    <w:rsid w:val="74654825"/>
    <w:rsid w:val="748702F8"/>
    <w:rsid w:val="748E7A7C"/>
    <w:rsid w:val="7490063B"/>
    <w:rsid w:val="74BF03A7"/>
    <w:rsid w:val="74F31BEB"/>
    <w:rsid w:val="74F4393E"/>
    <w:rsid w:val="750F72AD"/>
    <w:rsid w:val="7521699E"/>
    <w:rsid w:val="752244C4"/>
    <w:rsid w:val="758D73E2"/>
    <w:rsid w:val="75E55C1E"/>
    <w:rsid w:val="76B90225"/>
    <w:rsid w:val="76C5092E"/>
    <w:rsid w:val="76FE5951"/>
    <w:rsid w:val="771066E9"/>
    <w:rsid w:val="77117357"/>
    <w:rsid w:val="778B1457"/>
    <w:rsid w:val="77AA6FDD"/>
    <w:rsid w:val="77DC18CC"/>
    <w:rsid w:val="780116F5"/>
    <w:rsid w:val="780E1917"/>
    <w:rsid w:val="785015CD"/>
    <w:rsid w:val="78576328"/>
    <w:rsid w:val="786A534C"/>
    <w:rsid w:val="787E7BA9"/>
    <w:rsid w:val="78886D34"/>
    <w:rsid w:val="789C002C"/>
    <w:rsid w:val="78C37D6C"/>
    <w:rsid w:val="791D1B21"/>
    <w:rsid w:val="79222CE5"/>
    <w:rsid w:val="792627D5"/>
    <w:rsid w:val="79675392"/>
    <w:rsid w:val="797E2505"/>
    <w:rsid w:val="79893C49"/>
    <w:rsid w:val="79E94D5A"/>
    <w:rsid w:val="7A106FE1"/>
    <w:rsid w:val="7A2111EE"/>
    <w:rsid w:val="7A29339B"/>
    <w:rsid w:val="7A2C3355"/>
    <w:rsid w:val="7A6868D3"/>
    <w:rsid w:val="7A8552D9"/>
    <w:rsid w:val="7AA775CF"/>
    <w:rsid w:val="7ABB0CFB"/>
    <w:rsid w:val="7ABC4A73"/>
    <w:rsid w:val="7AC026A2"/>
    <w:rsid w:val="7AD305E1"/>
    <w:rsid w:val="7B191EC6"/>
    <w:rsid w:val="7B24244C"/>
    <w:rsid w:val="7BA75723"/>
    <w:rsid w:val="7BA94FF8"/>
    <w:rsid w:val="7BD02097"/>
    <w:rsid w:val="7BD91124"/>
    <w:rsid w:val="7C167B78"/>
    <w:rsid w:val="7C1953BA"/>
    <w:rsid w:val="7C1B4DE3"/>
    <w:rsid w:val="7C3B2C04"/>
    <w:rsid w:val="7C6151AF"/>
    <w:rsid w:val="7C6554D5"/>
    <w:rsid w:val="7C740168"/>
    <w:rsid w:val="7C765821"/>
    <w:rsid w:val="7CBB76D8"/>
    <w:rsid w:val="7CE309DD"/>
    <w:rsid w:val="7D0B6E9E"/>
    <w:rsid w:val="7D1110A6"/>
    <w:rsid w:val="7D63227A"/>
    <w:rsid w:val="7D8212B0"/>
    <w:rsid w:val="7D884A57"/>
    <w:rsid w:val="7DAA2A29"/>
    <w:rsid w:val="7DC40443"/>
    <w:rsid w:val="7DE40569"/>
    <w:rsid w:val="7DF80CC1"/>
    <w:rsid w:val="7DFD4780"/>
    <w:rsid w:val="7E105802"/>
    <w:rsid w:val="7E1612D5"/>
    <w:rsid w:val="7E2766A8"/>
    <w:rsid w:val="7E490E8C"/>
    <w:rsid w:val="7E5D031B"/>
    <w:rsid w:val="7E747B3F"/>
    <w:rsid w:val="7E8B48A1"/>
    <w:rsid w:val="7EB05F55"/>
    <w:rsid w:val="7ECF3FA0"/>
    <w:rsid w:val="7ECF6CCC"/>
    <w:rsid w:val="7F712AF3"/>
    <w:rsid w:val="7FB421BD"/>
    <w:rsid w:val="7FD40F23"/>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9"/>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autoRedefine/>
    <w:qFormat/>
    <w:uiPriority w:val="9"/>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Times New Roman" w:hAnsi="Times New Roman" w:eastAsia="宋体" w:cs="Times New Roman"/>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customStyle="1" w:styleId="50">
    <w:name w:val="引用1"/>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rPr>
  </w:style>
  <w:style w:type="character" w:customStyle="1" w:styleId="52">
    <w:name w:val="标题 字符"/>
    <w:link w:val="27"/>
    <w:autoRedefine/>
    <w:qFormat/>
    <w:uiPriority w:val="0"/>
    <w:rPr>
      <w:rFonts w:ascii="Arial" w:hAnsi="Arial" w:eastAsia="宋体" w:cs="Arial"/>
      <w:b/>
      <w:bCs/>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link w:val="247"/>
    <w:autoRedefine/>
    <w:qFormat/>
    <w:uiPriority w:val="0"/>
    <w:pPr>
      <w:widowControl w:val="0"/>
      <w:numPr>
        <w:ilvl w:val="3"/>
        <w:numId w:val="2"/>
      </w:numPr>
      <w:spacing w:before="120" w:beforeLines="50" w:after="12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rFonts w:ascii="Times New Roman" w:hAnsi="Times New Roman" w:eastAsia="宋体" w:cs="Times New Roman"/>
      <w:szCs w:val="20"/>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link w:val="248"/>
    <w:autoRedefine/>
    <w:qFormat/>
    <w:uiPriority w:val="0"/>
    <w:pPr>
      <w:spacing w:line="460" w:lineRule="exact"/>
    </w:pPr>
  </w:style>
  <w:style w:type="paragraph" w:customStyle="1" w:styleId="95">
    <w:name w:val="标准文件_目录标题"/>
    <w:basedOn w:val="1"/>
    <w:autoRedefine/>
    <w:qFormat/>
    <w:uiPriority w:val="0"/>
    <w:pPr>
      <w:spacing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ind w:left="0" w:firstLine="200"/>
    </w:pPr>
  </w:style>
  <w:style w:type="paragraph" w:customStyle="1" w:styleId="98">
    <w:name w:val="标准文件_三级条标题"/>
    <w:basedOn w:val="69"/>
    <w:next w:val="60"/>
    <w:link w:val="25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link w:val="258"/>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240" w:beforeLines="100" w:after="24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link w:val="251"/>
    <w:autoRedefine/>
    <w:qFormat/>
    <w:uiPriority w:val="0"/>
    <w:pPr>
      <w:numPr>
        <w:ilvl w:val="2"/>
      </w:numPr>
      <w:spacing w:before="120" w:beforeLines="50" w:after="0" w:afterLines="0"/>
      <w:jc w:val="left"/>
      <w:outlineLvl w:val="1"/>
    </w:pPr>
  </w:style>
  <w:style w:type="paragraph" w:customStyle="1" w:styleId="110">
    <w:name w:val="标准文件_一致程度"/>
    <w:basedOn w:val="1"/>
    <w:link w:val="252"/>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link w:val="253"/>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Lines="0"/>
      <w:outlineLvl w:val="9"/>
    </w:pPr>
    <w:rPr>
      <w:rFonts w:ascii="宋体" w:eastAsia="宋体"/>
    </w:rPr>
  </w:style>
  <w:style w:type="paragraph" w:customStyle="1" w:styleId="167">
    <w:name w:val="标准文件_五级无标题"/>
    <w:basedOn w:val="107"/>
    <w:autoRedefine/>
    <w:qFormat/>
    <w:uiPriority w:val="0"/>
    <w:pPr>
      <w:spacing w:beforeLines="0" w:afterLines="0"/>
      <w:outlineLvl w:val="9"/>
    </w:pPr>
    <w:rPr>
      <w:rFonts w:ascii="宋体" w:eastAsia="宋体"/>
    </w:rPr>
  </w:style>
  <w:style w:type="paragraph" w:customStyle="1" w:styleId="168">
    <w:name w:val="标准文件_三级无标题"/>
    <w:basedOn w:val="98"/>
    <w:autoRedefine/>
    <w:qFormat/>
    <w:uiPriority w:val="0"/>
    <w:pPr>
      <w:spacing w:beforeLines="0" w:afterLines="0"/>
      <w:outlineLvl w:val="9"/>
    </w:pPr>
    <w:rPr>
      <w:rFonts w:ascii="宋体" w:eastAsia="宋体"/>
    </w:rPr>
  </w:style>
  <w:style w:type="paragraph" w:customStyle="1" w:styleId="169">
    <w:name w:val="标准文件_二级无标题"/>
    <w:basedOn w:val="69"/>
    <w:link w:val="283"/>
    <w:autoRedefine/>
    <w:qFormat/>
    <w:uiPriority w:val="0"/>
    <w:pPr>
      <w:widowControl/>
      <w:numPr>
        <w:ilvl w:val="0"/>
        <w:numId w:val="0"/>
      </w:numPr>
      <w:suppressLineNumbers/>
      <w:spacing w:beforeLines="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sz w:val="18"/>
    </w:rPr>
  </w:style>
  <w:style w:type="paragraph" w:customStyle="1" w:styleId="183">
    <w:name w:val="标准文件_注："/>
    <w:next w:val="60"/>
    <w:link w:val="280"/>
    <w:autoRedefine/>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hAnsi="Times New Roman"/>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left="1271" w:hanging="420" w:firstLineChars="0"/>
    </w:pPr>
  </w:style>
  <w:style w:type="paragraph" w:customStyle="1" w:styleId="192">
    <w:name w:val="标准文件_三级项2"/>
    <w:basedOn w:val="60"/>
    <w:autoRedefine/>
    <w:qFormat/>
    <w:uiPriority w:val="0"/>
    <w:pPr>
      <w:numPr>
        <w:ilvl w:val="0"/>
        <w:numId w:val="29"/>
      </w:numPr>
      <w:spacing w:line="300" w:lineRule="exact"/>
      <w:ind w:left="1276" w:hanging="425" w:firstLineChars="0"/>
    </w:pPr>
    <w:rPr>
      <w:rFonts w:ascii="Times New Roman"/>
    </w:rPr>
  </w:style>
  <w:style w:type="paragraph" w:customStyle="1" w:styleId="193">
    <w:name w:val="标准文件_一级项2"/>
    <w:basedOn w:val="60"/>
    <w:autoRedefine/>
    <w:qFormat/>
    <w:uiPriority w:val="0"/>
    <w:pPr>
      <w:numPr>
        <w:ilvl w:val="0"/>
        <w:numId w:val="30"/>
      </w:numPr>
      <w:spacing w:line="300" w:lineRule="exact"/>
      <w:ind w:left="1271" w:hanging="420"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60"/>
    <w:next w:val="60"/>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60"/>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Lines="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1"/>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2"/>
      </w:numPr>
      <w:spacing w:before="240" w:after="60" w:line="377" w:lineRule="auto"/>
      <w:ind w:left="924" w:hanging="357"/>
    </w:pPr>
    <w:rPr>
      <w:rFonts w:ascii="仿宋_GB2312" w:hAnsi="仿宋" w:eastAsia="仿宋_GB2312"/>
    </w:rPr>
  </w:style>
  <w:style w:type="character" w:customStyle="1" w:styleId="246">
    <w:name w:val="标准文件_标准名称标题 Char"/>
    <w:link w:val="64"/>
    <w:autoRedefine/>
    <w:qFormat/>
    <w:uiPriority w:val="0"/>
    <w:rPr>
      <w:rFonts w:ascii="黑体" w:eastAsia="黑体"/>
      <w:kern w:val="0"/>
      <w:sz w:val="32"/>
    </w:rPr>
  </w:style>
  <w:style w:type="character" w:customStyle="1" w:styleId="247">
    <w:name w:val="标准文件_二级条标题 Char"/>
    <w:link w:val="69"/>
    <w:autoRedefine/>
    <w:qFormat/>
    <w:uiPriority w:val="0"/>
    <w:rPr>
      <w:rFonts w:ascii="黑体" w:eastAsia="黑体"/>
      <w:sz w:val="21"/>
    </w:rPr>
  </w:style>
  <w:style w:type="character" w:customStyle="1" w:styleId="248">
    <w:name w:val="标准文件_目次、标准名称标题 Char"/>
    <w:link w:val="94"/>
    <w:autoRedefine/>
    <w:qFormat/>
    <w:uiPriority w:val="0"/>
  </w:style>
  <w:style w:type="character" w:customStyle="1" w:styleId="249">
    <w:name w:val="标准文件_前言、引言标题 Char"/>
    <w:link w:val="93"/>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8"/>
    <w:autoRedefine/>
    <w:qFormat/>
    <w:uiPriority w:val="0"/>
  </w:style>
  <w:style w:type="character" w:customStyle="1" w:styleId="251">
    <w:name w:val="标准文件_一级条标题 Char"/>
    <w:link w:val="109"/>
    <w:autoRedefine/>
    <w:qFormat/>
    <w:uiPriority w:val="0"/>
    <w:rPr>
      <w:rFonts w:ascii="黑体" w:eastAsia="黑体"/>
      <w:sz w:val="21"/>
    </w:rPr>
  </w:style>
  <w:style w:type="character" w:customStyle="1" w:styleId="252">
    <w:name w:val="标准文件_一致程度 Char"/>
    <w:link w:val="110"/>
    <w:autoRedefine/>
    <w:qFormat/>
    <w:uiPriority w:val="0"/>
    <w:rPr>
      <w:sz w:val="28"/>
    </w:rPr>
  </w:style>
  <w:style w:type="character" w:customStyle="1" w:styleId="253">
    <w:name w:val="标准文件_英文图表脚注 Char"/>
    <w:link w:val="112"/>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7"/>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5"/>
    <w:autoRedefine/>
    <w:qFormat/>
    <w:uiPriority w:val="0"/>
    <w:rPr>
      <w:rFonts w:ascii="宋体" w:hAnsi="宋体"/>
      <w:sz w:val="18"/>
    </w:rPr>
  </w:style>
  <w:style w:type="character" w:customStyle="1" w:styleId="259">
    <w:name w:val="标准文件_条文脚注 Char"/>
    <w:link w:val="104"/>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2"/>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正文表标题"/>
    <w:next w:val="264"/>
    <w:qFormat/>
    <w:uiPriority w:val="0"/>
    <w:pPr>
      <w:numPr>
        <w:ilvl w:val="1"/>
        <w:numId w:val="33"/>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264">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5">
    <w:name w:val="注："/>
    <w:next w:val="1"/>
    <w:qFormat/>
    <w:uiPriority w:val="0"/>
    <w:pPr>
      <w:widowControl w:val="0"/>
      <w:numPr>
        <w:ilvl w:val="0"/>
        <w:numId w:val="34"/>
      </w:numPr>
      <w:autoSpaceDE w:val="0"/>
      <w:autoSpaceDN w:val="0"/>
      <w:jc w:val="both"/>
    </w:pPr>
    <w:rPr>
      <w:rFonts w:ascii="宋体" w:hAnsi="Times New Roman" w:eastAsia="宋体" w:cs="Times New Roman"/>
      <w:sz w:val="18"/>
      <w:szCs w:val="18"/>
      <w:lang w:val="en-US" w:eastAsia="zh-CN" w:bidi="ar-SA"/>
    </w:rPr>
  </w:style>
  <w:style w:type="paragraph" w:customStyle="1" w:styleId="266">
    <w:name w:val="一级条标题"/>
    <w:next w:val="264"/>
    <w:qFormat/>
    <w:uiPriority w:val="0"/>
    <w:pPr>
      <w:numPr>
        <w:ilvl w:val="1"/>
        <w:numId w:val="35"/>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7">
    <w:name w:val="二级条标题"/>
    <w:basedOn w:val="266"/>
    <w:next w:val="264"/>
    <w:qFormat/>
    <w:uiPriority w:val="0"/>
    <w:pPr>
      <w:numPr>
        <w:ilvl w:val="2"/>
      </w:numPr>
      <w:spacing w:before="50" w:after="50"/>
      <w:outlineLvl w:val="3"/>
    </w:pPr>
  </w:style>
  <w:style w:type="paragraph" w:customStyle="1" w:styleId="268">
    <w:name w:val="字母编号列项（一级）"/>
    <w:qFormat/>
    <w:uiPriority w:val="0"/>
    <w:pPr>
      <w:numPr>
        <w:ilvl w:val="0"/>
        <w:numId w:val="36"/>
      </w:numPr>
      <w:jc w:val="both"/>
    </w:pPr>
    <w:rPr>
      <w:rFonts w:ascii="宋体" w:hAnsi="Times New Roman" w:eastAsia="宋体" w:cs="Times New Roman"/>
      <w:sz w:val="21"/>
      <w:lang w:val="en-US" w:eastAsia="zh-CN" w:bidi="ar-SA"/>
    </w:rPr>
  </w:style>
  <w:style w:type="paragraph" w:customStyle="1" w:styleId="269">
    <w:name w:val="附录标识"/>
    <w:basedOn w:val="1"/>
    <w:next w:val="1"/>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270">
    <w:name w:val="附录章标题"/>
    <w:next w:val="264"/>
    <w:qFormat/>
    <w:uiPriority w:val="0"/>
    <w:p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1">
    <w:name w:val="附录图标题"/>
    <w:basedOn w:val="1"/>
    <w:next w:val="1"/>
    <w:qFormat/>
    <w:uiPriority w:val="0"/>
    <w:pPr>
      <w:numPr>
        <w:ilvl w:val="1"/>
        <w:numId w:val="37"/>
      </w:numPr>
      <w:spacing w:before="50" w:beforeLines="50" w:after="50" w:afterLines="50"/>
      <w:jc w:val="center"/>
    </w:pPr>
    <w:rPr>
      <w:rFonts w:ascii="黑体" w:eastAsia="黑体"/>
    </w:rPr>
  </w:style>
  <w:style w:type="paragraph" w:customStyle="1" w:styleId="272">
    <w:name w:val="数字编号列项（二级）"/>
    <w:qFormat/>
    <w:uiPriority w:val="0"/>
    <w:pPr>
      <w:numPr>
        <w:ilvl w:val="1"/>
        <w:numId w:val="36"/>
      </w:numPr>
      <w:jc w:val="both"/>
    </w:pPr>
    <w:rPr>
      <w:rFonts w:ascii="宋体" w:hAnsi="Times New Roman" w:eastAsia="宋体" w:cs="Times New Roman"/>
      <w:sz w:val="21"/>
      <w:lang w:val="en-US" w:eastAsia="zh-CN" w:bidi="ar-SA"/>
    </w:rPr>
  </w:style>
  <w:style w:type="character" w:customStyle="1" w:styleId="273">
    <w:name w:val="fontstyle01"/>
    <w:qFormat/>
    <w:uiPriority w:val="0"/>
    <w:rPr>
      <w:rFonts w:hint="eastAsia" w:ascii="黑体" w:hAnsi="黑体" w:eastAsia="黑体"/>
      <w:color w:val="000000"/>
      <w:sz w:val="46"/>
      <w:szCs w:val="46"/>
    </w:rPr>
  </w:style>
  <w:style w:type="paragraph" w:customStyle="1" w:styleId="274">
    <w:name w:val="章标题-无条题"/>
    <w:qFormat/>
    <w:uiPriority w:val="0"/>
    <w:pPr>
      <w:widowControl w:val="0"/>
      <w:wordWrap w:val="0"/>
      <w:autoSpaceDE w:val="0"/>
      <w:autoSpaceDN w:val="0"/>
    </w:pPr>
    <w:rPr>
      <w:rFonts w:ascii="宋体" w:hAnsi="宋体" w:eastAsia="宋体" w:cs="Times New Roman"/>
      <w:lang w:val="en-US" w:eastAsia="zh-CN" w:bidi="ar-SA"/>
    </w:rPr>
  </w:style>
  <w:style w:type="paragraph" w:customStyle="1" w:styleId="275">
    <w:name w:val="段落"/>
    <w:qFormat/>
    <w:uiPriority w:val="0"/>
    <w:pPr>
      <w:widowControl w:val="0"/>
      <w:autoSpaceDE w:val="0"/>
      <w:autoSpaceDN w:val="0"/>
      <w:ind w:firstLine="420" w:firstLineChars="200"/>
    </w:pPr>
    <w:rPr>
      <w:rFonts w:ascii="宋体" w:hAnsi="Times New Roman" w:eastAsia="宋体" w:cs="Times New Roman"/>
      <w:sz w:val="21"/>
      <w:lang w:val="en-US" w:eastAsia="zh-CN" w:bidi="ar-SA"/>
    </w:rPr>
  </w:style>
  <w:style w:type="paragraph" w:customStyle="1" w:styleId="276">
    <w:name w:val="表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277">
    <w:name w:val="章节条款"/>
    <w:qFormat/>
    <w:uiPriority w:val="0"/>
    <w:pPr>
      <w:widowControl w:val="0"/>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278">
    <w:name w:val="一级章标题"/>
    <w:qFormat/>
    <w:uiPriority w:val="0"/>
    <w:pPr>
      <w:widowControl w:val="0"/>
      <w:wordWrap w:val="0"/>
      <w:autoSpaceDE w:val="0"/>
      <w:autoSpaceDN w:val="0"/>
      <w:snapToGrid w:val="0"/>
      <w:spacing w:before="312" w:beforeLines="100" w:after="312" w:afterLines="100"/>
      <w:jc w:val="both"/>
    </w:pPr>
    <w:rPr>
      <w:rFonts w:ascii="黑体" w:hAnsi="黑体" w:eastAsia="黑体" w:cs="Times New Roman"/>
      <w:sz w:val="21"/>
      <w:lang w:val="en-US" w:eastAsia="zh-CN" w:bidi="ar-SA"/>
    </w:rPr>
  </w:style>
  <w:style w:type="paragraph" w:customStyle="1" w:styleId="279">
    <w:name w:val="修订1"/>
    <w:hidden/>
    <w:unhideWhenUsed/>
    <w:qFormat/>
    <w:uiPriority w:val="99"/>
    <w:rPr>
      <w:rFonts w:ascii="Calibri" w:hAnsi="Calibri" w:eastAsia="宋体" w:cs="Times New Roman"/>
      <w:kern w:val="2"/>
      <w:sz w:val="21"/>
      <w:szCs w:val="21"/>
      <w:lang w:val="en-US" w:eastAsia="zh-CN" w:bidi="ar-SA"/>
    </w:rPr>
  </w:style>
  <w:style w:type="character" w:customStyle="1" w:styleId="280">
    <w:name w:val="标准文件_注： Char"/>
    <w:link w:val="183"/>
    <w:qFormat/>
    <w:uiPriority w:val="0"/>
    <w:rPr>
      <w:rFonts w:ascii="宋体" w:hAnsi="Times New Roman" w:eastAsia="宋体" w:cs="Times New Roman"/>
      <w:sz w:val="18"/>
      <w:szCs w:val="18"/>
      <w:lang w:val="en-US" w:eastAsia="zh-CN" w:bidi="ar-SA"/>
    </w:rPr>
  </w:style>
  <w:style w:type="paragraph" w:customStyle="1" w:styleId="281">
    <w:name w:val="修订2"/>
    <w:hidden/>
    <w:unhideWhenUsed/>
    <w:qFormat/>
    <w:uiPriority w:val="99"/>
    <w:rPr>
      <w:rFonts w:ascii="Calibri" w:hAnsi="Calibri" w:eastAsia="宋体" w:cs="Times New Roman"/>
      <w:kern w:val="2"/>
      <w:sz w:val="21"/>
      <w:szCs w:val="21"/>
      <w:lang w:val="en-US" w:eastAsia="zh-CN" w:bidi="ar-SA"/>
    </w:rPr>
  </w:style>
  <w:style w:type="paragraph" w:customStyle="1" w:styleId="282">
    <w:name w:val="修订3"/>
    <w:hidden/>
    <w:unhideWhenUsed/>
    <w:qFormat/>
    <w:uiPriority w:val="99"/>
    <w:rPr>
      <w:rFonts w:ascii="Calibri" w:hAnsi="Calibri" w:eastAsia="宋体" w:cs="Times New Roman"/>
      <w:kern w:val="2"/>
      <w:sz w:val="21"/>
      <w:szCs w:val="21"/>
      <w:lang w:val="en-US" w:eastAsia="zh-CN" w:bidi="ar-SA"/>
    </w:rPr>
  </w:style>
  <w:style w:type="character" w:customStyle="1" w:styleId="283">
    <w:name w:val="标准文件_二级无标题 Char"/>
    <w:link w:val="169"/>
    <w:qFormat/>
    <w:uiPriority w:val="0"/>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pn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24815AB7">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3C47BC20">
          <w:pPr>
            <w:pStyle w:val="6"/>
          </w:pPr>
          <w:r>
            <w:rPr>
              <w:rStyle w:val="4"/>
              <w:rFonts w:hint="eastAsia"/>
            </w:rPr>
            <w:t>选择一项。</w:t>
          </w:r>
        </w:p>
      </w:docPartBody>
    </w:docPart>
    <w:docPart>
      <w:docPartPr>
        <w:name w:val="{17f91292-1dc5-46d1-8705-c70758c29d7b}"/>
        <w:style w:val=""/>
        <w:category>
          <w:name w:val="常规"/>
          <w:gallery w:val="placeholder"/>
        </w:category>
        <w:types>
          <w:type w:val="bbPlcHdr"/>
        </w:types>
        <w:behaviors>
          <w:behavior w:val="content"/>
        </w:behaviors>
        <w:description w:val=""/>
        <w:guid w:val="{17f91292-1dc5-46d1-8705-c70758c29d7b}"/>
      </w:docPartPr>
      <w:docPartBody>
        <w:p w14:paraId="30B8CE91">
          <w:pPr>
            <w:pStyle w:val="8"/>
            <w:rPr>
              <w:rFonts w:hint="eastAsia"/>
            </w:rPr>
          </w:pPr>
          <w:r>
            <w:rPr>
              <w:rStyle w:val="7"/>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B2816"/>
    <w:rsid w:val="000D0DF4"/>
    <w:rsid w:val="000F721E"/>
    <w:rsid w:val="00122383"/>
    <w:rsid w:val="00124EF0"/>
    <w:rsid w:val="001613CD"/>
    <w:rsid w:val="001678BC"/>
    <w:rsid w:val="0017532E"/>
    <w:rsid w:val="00181D60"/>
    <w:rsid w:val="001B4854"/>
    <w:rsid w:val="001C703A"/>
    <w:rsid w:val="00224E4C"/>
    <w:rsid w:val="00233E0B"/>
    <w:rsid w:val="00245410"/>
    <w:rsid w:val="00247E02"/>
    <w:rsid w:val="00250CE1"/>
    <w:rsid w:val="00252617"/>
    <w:rsid w:val="00292364"/>
    <w:rsid w:val="002A34EB"/>
    <w:rsid w:val="002A42F2"/>
    <w:rsid w:val="002A5A0E"/>
    <w:rsid w:val="002B203B"/>
    <w:rsid w:val="002E79D5"/>
    <w:rsid w:val="00335557"/>
    <w:rsid w:val="00344A6E"/>
    <w:rsid w:val="003568E3"/>
    <w:rsid w:val="003609A4"/>
    <w:rsid w:val="003A430A"/>
    <w:rsid w:val="003B0594"/>
    <w:rsid w:val="00405BE1"/>
    <w:rsid w:val="004262C1"/>
    <w:rsid w:val="004709A1"/>
    <w:rsid w:val="0048438C"/>
    <w:rsid w:val="00486075"/>
    <w:rsid w:val="004C7C9D"/>
    <w:rsid w:val="00506EFF"/>
    <w:rsid w:val="00533DC4"/>
    <w:rsid w:val="00552166"/>
    <w:rsid w:val="005662EB"/>
    <w:rsid w:val="00583AAB"/>
    <w:rsid w:val="00593537"/>
    <w:rsid w:val="006074EA"/>
    <w:rsid w:val="00615B61"/>
    <w:rsid w:val="00642880"/>
    <w:rsid w:val="006468C2"/>
    <w:rsid w:val="006642AD"/>
    <w:rsid w:val="00666D88"/>
    <w:rsid w:val="00672F74"/>
    <w:rsid w:val="00685923"/>
    <w:rsid w:val="006E430E"/>
    <w:rsid w:val="00764574"/>
    <w:rsid w:val="007C3E32"/>
    <w:rsid w:val="007D2C4A"/>
    <w:rsid w:val="00813842"/>
    <w:rsid w:val="008256CB"/>
    <w:rsid w:val="00832824"/>
    <w:rsid w:val="008729C1"/>
    <w:rsid w:val="00883250"/>
    <w:rsid w:val="0091351B"/>
    <w:rsid w:val="00916263"/>
    <w:rsid w:val="009862F8"/>
    <w:rsid w:val="00997226"/>
    <w:rsid w:val="009C0370"/>
    <w:rsid w:val="009D49B1"/>
    <w:rsid w:val="009E760A"/>
    <w:rsid w:val="00A16A80"/>
    <w:rsid w:val="00A209FE"/>
    <w:rsid w:val="00A67B89"/>
    <w:rsid w:val="00A854CF"/>
    <w:rsid w:val="00B05704"/>
    <w:rsid w:val="00B22FC1"/>
    <w:rsid w:val="00BA077C"/>
    <w:rsid w:val="00BA51CF"/>
    <w:rsid w:val="00BC3695"/>
    <w:rsid w:val="00C0640D"/>
    <w:rsid w:val="00C736D0"/>
    <w:rsid w:val="00C96FD9"/>
    <w:rsid w:val="00CA724C"/>
    <w:rsid w:val="00CD2C45"/>
    <w:rsid w:val="00CD5B24"/>
    <w:rsid w:val="00CE18DD"/>
    <w:rsid w:val="00CE472C"/>
    <w:rsid w:val="00D22C93"/>
    <w:rsid w:val="00D434AD"/>
    <w:rsid w:val="00D57D22"/>
    <w:rsid w:val="00D76227"/>
    <w:rsid w:val="00D84024"/>
    <w:rsid w:val="00D9103D"/>
    <w:rsid w:val="00D97AA5"/>
    <w:rsid w:val="00DF7A33"/>
    <w:rsid w:val="00E12032"/>
    <w:rsid w:val="00E6509C"/>
    <w:rsid w:val="00E87155"/>
    <w:rsid w:val="00EC57C0"/>
    <w:rsid w:val="00ED399F"/>
    <w:rsid w:val="00F204AA"/>
    <w:rsid w:val="00F56F1C"/>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 w:type="paragraph" w:customStyle="1" w:styleId="8">
    <w:name w:val="6E14AFCA18E14F94A68CABAD0F53387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F08AE0-F168-47C8-9096-A9FA920BEC0D}">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15</Pages>
  <Words>5179</Words>
  <Characters>6302</Characters>
  <Lines>28</Lines>
  <Paragraphs>8</Paragraphs>
  <TotalTime>12</TotalTime>
  <ScaleCrop>false</ScaleCrop>
  <LinksUpToDate>false</LinksUpToDate>
  <CharactersWithSpaces>6595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2025-06-05T02:20:00Z</dcterms:created>
  <dc:creator>ZHH</dc:creator>
  <dc:description>&lt;config cover="true" show_menu="true" version="1.0.0" doctype="SDKXY"&gt;_x000d_
&lt;/config&gt;</dc:description>
  <cp:lastModifiedBy>Administrator</cp:lastModifiedBy>
  <cp:lastPrinted>2023-10-19T05:03:00Z</cp:lastPrinted>
  <dcterms:modified xsi:type="dcterms:W3CDTF">2026-08-05T06:46:54Z</dcterms:modified>
  <dc:title>团体标准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2052-12.1.0.28022</vt:lpwstr>
  </property>
  <property fmtid="{D5CDD505-2E9C-101B-9397-08002B2CF9AE}" pid="15" name="ICV">
    <vt:lpwstr>66C64DCA24684C02A6246A7FE7E7E604_13</vt:lpwstr>
  </property>
  <property fmtid="{D5CDD505-2E9C-101B-9397-08002B2CF9AE}" pid="16" name="KSOTemplateDocerSaveRecord">
    <vt:lpwstr>eyJoZGlkIjoiOWQ4ZGY3ZTZlYTg3MDY1ZDA4ZTQ3Y2RhYWYyZThkZDUiLCJ1c2VySWQiOiIzMjQ1OTgwNzkifQ==</vt:lpwstr>
  </property>
</Properties>
</file>