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default" w:ascii="黑体" w:hAnsi="黑体" w:eastAsia="黑体" w:cs="Times New Roman"/>
                <w:kern w:val="2"/>
                <w:sz w:val="21"/>
                <w:szCs w:val="21"/>
                <w:lang w:val="en-US" w:eastAsia="zh-CN" w:bidi="ar-SA"/>
              </w:rPr>
              <w:fldChar w:fldCharType="begin">
                <w:ffData>
                  <w:name w:val="ICS"/>
                  <w:enabled/>
                  <w:calcOnExit w:val="0"/>
                  <w:textInput>
                    <w:default w:val="11.020"/>
                  </w:textInput>
                </w:ffData>
              </w:fldChar>
            </w:r>
            <w:r>
              <w:rPr>
                <w:rFonts w:hint="default" w:ascii="黑体" w:hAnsi="黑体" w:eastAsia="黑体" w:cs="Times New Roman"/>
                <w:kern w:val="2"/>
                <w:sz w:val="21"/>
                <w:szCs w:val="21"/>
                <w:lang w:val="en-US" w:eastAsia="zh-CN" w:bidi="ar-SA"/>
              </w:rPr>
              <w:instrText xml:space="preserve">FORMTEXT</w:instrText>
            </w:r>
            <w:r>
              <w:rPr>
                <w:rFonts w:hint="default" w:ascii="黑体" w:hAnsi="黑体" w:eastAsia="黑体" w:cs="Times New Roman"/>
                <w:kern w:val="2"/>
                <w:sz w:val="21"/>
                <w:szCs w:val="21"/>
                <w:lang w:val="en-US" w:eastAsia="zh-CN" w:bidi="ar-SA"/>
              </w:rPr>
              <w:fldChar w:fldCharType="separate"/>
            </w:r>
            <w:r>
              <w:rPr>
                <w:rFonts w:hint="default" w:ascii="黑体" w:hAnsi="黑体" w:eastAsia="黑体" w:cs="Times New Roman"/>
                <w:kern w:val="2"/>
                <w:sz w:val="21"/>
                <w:szCs w:val="21"/>
                <w:lang w:val="en-US" w:eastAsia="zh-CN" w:bidi="ar-SA"/>
              </w:rPr>
              <w:t>11.020</w:t>
            </w:r>
            <w:r>
              <w:rPr>
                <w:rFonts w:hint="default"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default" w:ascii="黑体" w:hAnsi="黑体" w:eastAsia="黑体" w:cs="Times New Roman"/>
                <w:kern w:val="2"/>
                <w:sz w:val="21"/>
                <w:szCs w:val="21"/>
                <w:lang w:val="en-US" w:eastAsia="zh-CN" w:bidi="ar-SA"/>
              </w:rPr>
              <w:fldChar w:fldCharType="begin">
                <w:ffData>
                  <w:name w:val="CSDN"/>
                  <w:enabled/>
                  <w:calcOnExit w:val="0"/>
                  <w:textInput>
                    <w:default w:val="C 05"/>
                  </w:textInput>
                </w:ffData>
              </w:fldChar>
            </w:r>
            <w:r>
              <w:rPr>
                <w:rFonts w:hint="default" w:ascii="黑体" w:hAnsi="黑体" w:eastAsia="黑体" w:cs="Times New Roman"/>
                <w:kern w:val="2"/>
                <w:sz w:val="21"/>
                <w:szCs w:val="21"/>
                <w:lang w:val="en-US" w:eastAsia="zh-CN" w:bidi="ar-SA"/>
              </w:rPr>
              <w:instrText xml:space="preserve">FORMTEXT</w:instrText>
            </w:r>
            <w:r>
              <w:rPr>
                <w:rFonts w:hint="default" w:ascii="黑体" w:hAnsi="黑体" w:eastAsia="黑体" w:cs="Times New Roman"/>
                <w:kern w:val="2"/>
                <w:sz w:val="21"/>
                <w:szCs w:val="21"/>
                <w:lang w:val="en-US" w:eastAsia="zh-CN" w:bidi="ar-SA"/>
              </w:rPr>
              <w:fldChar w:fldCharType="separate"/>
            </w:r>
            <w:r>
              <w:rPr>
                <w:rFonts w:hint="default" w:ascii="黑体" w:hAnsi="黑体" w:eastAsia="黑体" w:cs="Times New Roman"/>
                <w:kern w:val="2"/>
                <w:sz w:val="21"/>
                <w:szCs w:val="21"/>
                <w:lang w:val="en-US" w:eastAsia="zh-CN" w:bidi="ar-SA"/>
              </w:rPr>
              <w:t>C 05</w:t>
            </w:r>
            <w:r>
              <w:rPr>
                <w:rFonts w:hint="default"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default" w:ascii="黑体" w:hAnsi="Times New Roman" w:eastAsia="黑体" w:cs="Times New Roman"/>
          <w:bCs/>
          <w:sz w:val="28"/>
          <w:szCs w:val="28"/>
          <w:lang w:val="en-US" w:eastAsia="zh-CN" w:bidi="ar-SA"/>
        </w:rPr>
        <w:t>     </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不同体质人群用中药贴膏剂安全技术规范"/>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不同体质人群用中药贴膏剂安全技术规范</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Safety technical specification for traditional Chinese medicine plasters used by people with different constitutions"/>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Safety technical specification for traditional Chinese medicine plasters used by people with different constitutions</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48612844"/>
      <w:bookmarkStart w:id="21" w:name="_Toc150158739"/>
      <w:bookmarkStart w:id="22" w:name="_Toc150158766"/>
      <w:r>
        <w:rPr>
          <w:rFonts w:hint="eastAsia"/>
          <w:spacing w:val="320"/>
        </w:rPr>
        <w:t>目次</w:t>
      </w:r>
    </w:p>
    <w:p w14:paraId="28313E85">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_Toc28153 </w:instrText>
      </w:r>
      <w:r>
        <w:fldChar w:fldCharType="separate"/>
      </w:r>
      <w:r>
        <w:rPr>
          <w:rFonts w:hint="eastAsia"/>
          <w:spacing w:val="320"/>
        </w:rPr>
        <w:t>前言</w:t>
      </w:r>
      <w:r>
        <w:tab/>
      </w:r>
      <w:r>
        <w:fldChar w:fldCharType="begin"/>
      </w:r>
      <w:r>
        <w:instrText xml:space="preserve"> PAGEREF _Toc28153 \h </w:instrText>
      </w:r>
      <w:r>
        <w:fldChar w:fldCharType="separate"/>
      </w:r>
      <w:r>
        <w:t>II</w:t>
      </w:r>
      <w:r>
        <w:fldChar w:fldCharType="end"/>
      </w:r>
      <w:r>
        <w:fldChar w:fldCharType="end"/>
      </w:r>
    </w:p>
    <w:p w14:paraId="5E8D4FD8">
      <w:pPr>
        <w:pStyle w:val="20"/>
        <w:tabs>
          <w:tab w:val="right" w:leader="dot" w:pos="9355"/>
        </w:tabs>
      </w:pPr>
      <w:r>
        <w:fldChar w:fldCharType="begin"/>
      </w:r>
      <w:r>
        <w:instrText xml:space="preserve"> HYPERLINK \l _Toc12570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_Toc12570 \h </w:instrText>
      </w:r>
      <w:r>
        <w:fldChar w:fldCharType="separate"/>
      </w:r>
      <w:r>
        <w:t>1</w:t>
      </w:r>
      <w:r>
        <w:fldChar w:fldCharType="end"/>
      </w:r>
      <w:r>
        <w:fldChar w:fldCharType="end"/>
      </w:r>
    </w:p>
    <w:p w14:paraId="48EFA0D9">
      <w:pPr>
        <w:pStyle w:val="20"/>
        <w:tabs>
          <w:tab w:val="right" w:leader="dot" w:pos="9355"/>
        </w:tabs>
      </w:pPr>
      <w:r>
        <w:fldChar w:fldCharType="begin"/>
      </w:r>
      <w:r>
        <w:instrText xml:space="preserve"> HYPERLINK \l _Toc8197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_Toc8197 \h </w:instrText>
      </w:r>
      <w:r>
        <w:fldChar w:fldCharType="separate"/>
      </w:r>
      <w:r>
        <w:t>1</w:t>
      </w:r>
      <w:r>
        <w:fldChar w:fldCharType="end"/>
      </w:r>
      <w:r>
        <w:fldChar w:fldCharType="end"/>
      </w:r>
    </w:p>
    <w:p w14:paraId="52A3A16C">
      <w:pPr>
        <w:pStyle w:val="20"/>
        <w:tabs>
          <w:tab w:val="right" w:leader="dot" w:pos="9355"/>
        </w:tabs>
      </w:pPr>
      <w:r>
        <w:fldChar w:fldCharType="begin"/>
      </w:r>
      <w:r>
        <w:instrText xml:space="preserve"> HYPERLINK \l _Toc32525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_Toc32525 \h </w:instrText>
      </w:r>
      <w:r>
        <w:fldChar w:fldCharType="separate"/>
      </w:r>
      <w:r>
        <w:t>1</w:t>
      </w:r>
      <w:r>
        <w:fldChar w:fldCharType="end"/>
      </w:r>
      <w:r>
        <w:fldChar w:fldCharType="end"/>
      </w:r>
    </w:p>
    <w:p w14:paraId="0117E640">
      <w:pPr>
        <w:pStyle w:val="20"/>
        <w:tabs>
          <w:tab w:val="right" w:leader="dot" w:pos="9355"/>
        </w:tabs>
      </w:pPr>
      <w:r>
        <w:fldChar w:fldCharType="begin"/>
      </w:r>
      <w:r>
        <w:instrText xml:space="preserve"> HYPERLINK \l _Toc32611 </w:instrText>
      </w:r>
      <w:r>
        <w:fldChar w:fldCharType="separate"/>
      </w:r>
      <w:r>
        <w:rPr>
          <w:rFonts w:hint="eastAsia" w:ascii="黑体" w:eastAsia="黑体"/>
          <w:i w:val="0"/>
        </w:rPr>
        <w:t xml:space="preserve">4 </w:t>
      </w:r>
      <w:r>
        <w:rPr>
          <w:rFonts w:hint="eastAsia"/>
        </w:rPr>
        <w:t>体质分类与辨识</w:t>
      </w:r>
      <w:r>
        <w:tab/>
      </w:r>
      <w:r>
        <w:fldChar w:fldCharType="begin"/>
      </w:r>
      <w:r>
        <w:instrText xml:space="preserve"> PAGEREF _Toc32611 \h </w:instrText>
      </w:r>
      <w:r>
        <w:fldChar w:fldCharType="separate"/>
      </w:r>
      <w:r>
        <w:t>2</w:t>
      </w:r>
      <w:r>
        <w:fldChar w:fldCharType="end"/>
      </w:r>
      <w:r>
        <w:fldChar w:fldCharType="end"/>
      </w:r>
    </w:p>
    <w:p w14:paraId="2AFFC423">
      <w:pPr>
        <w:pStyle w:val="25"/>
        <w:tabs>
          <w:tab w:val="right" w:leader="dot" w:pos="9355"/>
          <w:tab w:val="clear" w:pos="9344"/>
        </w:tabs>
      </w:pPr>
      <w:r>
        <w:fldChar w:fldCharType="begin"/>
      </w:r>
      <w:r>
        <w:instrText xml:space="preserve"> HYPERLINK \l _Toc11538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rPr>
        <w:t>体质分类</w:t>
      </w:r>
      <w:r>
        <w:tab/>
      </w:r>
      <w:r>
        <w:fldChar w:fldCharType="begin"/>
      </w:r>
      <w:r>
        <w:instrText xml:space="preserve"> PAGEREF _Toc11538 \h </w:instrText>
      </w:r>
      <w:r>
        <w:fldChar w:fldCharType="separate"/>
      </w:r>
      <w:r>
        <w:t>2</w:t>
      </w:r>
      <w:r>
        <w:fldChar w:fldCharType="end"/>
      </w:r>
      <w:r>
        <w:fldChar w:fldCharType="end"/>
      </w:r>
    </w:p>
    <w:p w14:paraId="2EB794A3">
      <w:pPr>
        <w:pStyle w:val="25"/>
        <w:tabs>
          <w:tab w:val="right" w:leader="dot" w:pos="9355"/>
          <w:tab w:val="clear" w:pos="9344"/>
        </w:tabs>
      </w:pPr>
      <w:r>
        <w:fldChar w:fldCharType="begin"/>
      </w:r>
      <w:r>
        <w:instrText xml:space="preserve"> HYPERLINK \l _Toc31525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int="eastAsia" w:hAnsi="Times New Roman" w:cs="Times New Roman"/>
        </w:rPr>
        <w:t>体质辨识方法</w:t>
      </w:r>
      <w:r>
        <w:tab/>
      </w:r>
      <w:r>
        <w:fldChar w:fldCharType="begin"/>
      </w:r>
      <w:r>
        <w:instrText xml:space="preserve"> PAGEREF _Toc31525 \h </w:instrText>
      </w:r>
      <w:r>
        <w:fldChar w:fldCharType="separate"/>
      </w:r>
      <w:r>
        <w:t>2</w:t>
      </w:r>
      <w:r>
        <w:fldChar w:fldCharType="end"/>
      </w:r>
      <w:r>
        <w:fldChar w:fldCharType="end"/>
      </w:r>
    </w:p>
    <w:p w14:paraId="7BF21056">
      <w:pPr>
        <w:pStyle w:val="25"/>
        <w:tabs>
          <w:tab w:val="right" w:leader="dot" w:pos="9355"/>
          <w:tab w:val="clear" w:pos="9344"/>
        </w:tabs>
      </w:pPr>
      <w:r>
        <w:fldChar w:fldCharType="begin"/>
      </w:r>
      <w:r>
        <w:instrText xml:space="preserve"> HYPERLINK \l _Toc25019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4.3 </w:t>
      </w:r>
      <w:r>
        <w:rPr>
          <w:rFonts w:hint="eastAsia"/>
        </w:rPr>
        <w:t>体质与药物属性适配原则</w:t>
      </w:r>
      <w:r>
        <w:tab/>
      </w:r>
      <w:r>
        <w:fldChar w:fldCharType="begin"/>
      </w:r>
      <w:r>
        <w:instrText xml:space="preserve"> PAGEREF _Toc25019 \h </w:instrText>
      </w:r>
      <w:r>
        <w:fldChar w:fldCharType="separate"/>
      </w:r>
      <w:r>
        <w:t>3</w:t>
      </w:r>
      <w:r>
        <w:fldChar w:fldCharType="end"/>
      </w:r>
      <w:r>
        <w:fldChar w:fldCharType="end"/>
      </w:r>
    </w:p>
    <w:p w14:paraId="7AF0814A">
      <w:pPr>
        <w:pStyle w:val="20"/>
        <w:tabs>
          <w:tab w:val="right" w:leader="dot" w:pos="9355"/>
        </w:tabs>
      </w:pPr>
      <w:r>
        <w:fldChar w:fldCharType="begin"/>
      </w:r>
      <w:r>
        <w:instrText xml:space="preserve"> HYPERLINK \l _Toc30966 </w:instrText>
      </w:r>
      <w:r>
        <w:fldChar w:fldCharType="separate"/>
      </w:r>
      <w:r>
        <w:rPr>
          <w:rFonts w:hint="eastAsia" w:ascii="黑体" w:eastAsia="黑体"/>
          <w:i w:val="0"/>
        </w:rPr>
        <w:t xml:space="preserve">5 </w:t>
      </w:r>
      <w:r>
        <w:rPr>
          <w:rFonts w:hint="eastAsia"/>
          <w:lang w:val="en-US" w:eastAsia="zh-CN"/>
        </w:rPr>
        <w:t>安全技术</w:t>
      </w:r>
      <w:r>
        <w:rPr>
          <w:rFonts w:hint="eastAsia"/>
        </w:rPr>
        <w:t>要求</w:t>
      </w:r>
      <w:r>
        <w:tab/>
      </w:r>
      <w:r>
        <w:fldChar w:fldCharType="begin"/>
      </w:r>
      <w:r>
        <w:instrText xml:space="preserve"> PAGEREF _Toc30966 \h </w:instrText>
      </w:r>
      <w:r>
        <w:fldChar w:fldCharType="separate"/>
      </w:r>
      <w:r>
        <w:t>3</w:t>
      </w:r>
      <w:r>
        <w:fldChar w:fldCharType="end"/>
      </w:r>
      <w:r>
        <w:fldChar w:fldCharType="end"/>
      </w:r>
    </w:p>
    <w:p w14:paraId="5EC6D88F">
      <w:pPr>
        <w:pStyle w:val="25"/>
        <w:tabs>
          <w:tab w:val="right" w:leader="dot" w:pos="9355"/>
          <w:tab w:val="clear" w:pos="9344"/>
        </w:tabs>
      </w:pPr>
      <w:r>
        <w:fldChar w:fldCharType="begin"/>
      </w:r>
      <w:r>
        <w:instrText xml:space="preserve"> HYPERLINK \l _Toc23035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5.1 </w:t>
      </w:r>
      <w:r>
        <w:rPr>
          <w:rFonts w:hint="eastAsia"/>
        </w:rPr>
        <w:t>原料安全</w:t>
      </w:r>
      <w:r>
        <w:tab/>
      </w:r>
      <w:r>
        <w:fldChar w:fldCharType="begin"/>
      </w:r>
      <w:r>
        <w:instrText xml:space="preserve"> PAGEREF _Toc23035 \h </w:instrText>
      </w:r>
      <w:r>
        <w:fldChar w:fldCharType="separate"/>
      </w:r>
      <w:r>
        <w:t>3</w:t>
      </w:r>
      <w:r>
        <w:fldChar w:fldCharType="end"/>
      </w:r>
      <w:r>
        <w:fldChar w:fldCharType="end"/>
      </w:r>
    </w:p>
    <w:p w14:paraId="05FFBC62">
      <w:pPr>
        <w:pStyle w:val="25"/>
        <w:tabs>
          <w:tab w:val="right" w:leader="dot" w:pos="9355"/>
          <w:tab w:val="clear" w:pos="9344"/>
        </w:tabs>
      </w:pPr>
      <w:r>
        <w:fldChar w:fldCharType="begin"/>
      </w:r>
      <w:r>
        <w:instrText xml:space="preserve"> HYPERLINK \l _Toc27580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5.2 </w:t>
      </w:r>
      <w:r>
        <w:rPr>
          <w:rFonts w:hint="eastAsia" w:hAnsi="Times New Roman" w:cs="Times New Roman"/>
        </w:rPr>
        <w:t>毒性成分及刺激性物质限量</w:t>
      </w:r>
      <w:r>
        <w:tab/>
      </w:r>
      <w:r>
        <w:fldChar w:fldCharType="begin"/>
      </w:r>
      <w:r>
        <w:instrText xml:space="preserve"> PAGEREF _Toc27580 \h </w:instrText>
      </w:r>
      <w:r>
        <w:fldChar w:fldCharType="separate"/>
      </w:r>
      <w:r>
        <w:t>3</w:t>
      </w:r>
      <w:r>
        <w:fldChar w:fldCharType="end"/>
      </w:r>
      <w:r>
        <w:fldChar w:fldCharType="end"/>
      </w:r>
    </w:p>
    <w:p w14:paraId="25B1C653">
      <w:pPr>
        <w:pStyle w:val="25"/>
        <w:tabs>
          <w:tab w:val="right" w:leader="dot" w:pos="9355"/>
          <w:tab w:val="clear" w:pos="9344"/>
        </w:tabs>
      </w:pPr>
      <w:r>
        <w:fldChar w:fldCharType="begin"/>
      </w:r>
      <w:r>
        <w:instrText xml:space="preserve"> HYPERLINK \l _Toc23867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5.3 </w:t>
      </w:r>
      <w:r>
        <w:rPr>
          <w:rFonts w:hint="eastAsia" w:hAnsi="Times New Roman" w:cs="Times New Roman"/>
        </w:rPr>
        <w:t>黏附力</w:t>
      </w:r>
      <w:r>
        <w:tab/>
      </w:r>
      <w:r>
        <w:fldChar w:fldCharType="begin"/>
      </w:r>
      <w:r>
        <w:instrText xml:space="preserve"> PAGEREF _Toc23867 \h </w:instrText>
      </w:r>
      <w:r>
        <w:fldChar w:fldCharType="separate"/>
      </w:r>
      <w:r>
        <w:t>4</w:t>
      </w:r>
      <w:r>
        <w:fldChar w:fldCharType="end"/>
      </w:r>
      <w:r>
        <w:fldChar w:fldCharType="end"/>
      </w:r>
    </w:p>
    <w:p w14:paraId="47D1D589">
      <w:pPr>
        <w:pStyle w:val="25"/>
        <w:tabs>
          <w:tab w:val="right" w:leader="dot" w:pos="9355"/>
          <w:tab w:val="clear" w:pos="9344"/>
        </w:tabs>
      </w:pPr>
      <w:r>
        <w:fldChar w:fldCharType="begin"/>
      </w:r>
      <w:r>
        <w:instrText xml:space="preserve"> HYPERLINK \l _Toc1257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default" w:hAnsi="Times New Roman" w:cs="Times New Roman"/>
          <w:lang w:val="en-US" w:eastAsia="zh-CN"/>
        </w:rPr>
        <w:t>剂量均一性</w:t>
      </w:r>
      <w:r>
        <w:tab/>
      </w:r>
      <w:r>
        <w:fldChar w:fldCharType="begin"/>
      </w:r>
      <w:r>
        <w:instrText xml:space="preserve"> PAGEREF _Toc1257 \h </w:instrText>
      </w:r>
      <w:r>
        <w:fldChar w:fldCharType="separate"/>
      </w:r>
      <w:r>
        <w:t>4</w:t>
      </w:r>
      <w:r>
        <w:fldChar w:fldCharType="end"/>
      </w:r>
      <w:r>
        <w:fldChar w:fldCharType="end"/>
      </w:r>
    </w:p>
    <w:p w14:paraId="6237AA13">
      <w:pPr>
        <w:pStyle w:val="25"/>
        <w:tabs>
          <w:tab w:val="right" w:leader="dot" w:pos="9355"/>
          <w:tab w:val="clear" w:pos="9344"/>
        </w:tabs>
      </w:pPr>
      <w:r>
        <w:fldChar w:fldCharType="begin"/>
      </w:r>
      <w:r>
        <w:instrText xml:space="preserve"> HYPERLINK \l _Toc2060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5.5 </w:t>
      </w:r>
      <w:r>
        <w:rPr>
          <w:rFonts w:hint="eastAsia" w:hAnsi="Times New Roman" w:cs="Times New Roman"/>
          <w:lang w:val="en-US" w:eastAsia="zh-CN"/>
        </w:rPr>
        <w:t>残留溶剂限值</w:t>
      </w:r>
      <w:r>
        <w:tab/>
      </w:r>
      <w:r>
        <w:fldChar w:fldCharType="begin"/>
      </w:r>
      <w:r>
        <w:instrText xml:space="preserve"> PAGEREF _Toc2060 \h </w:instrText>
      </w:r>
      <w:r>
        <w:fldChar w:fldCharType="separate"/>
      </w:r>
      <w:r>
        <w:t>4</w:t>
      </w:r>
      <w:r>
        <w:fldChar w:fldCharType="end"/>
      </w:r>
      <w:r>
        <w:fldChar w:fldCharType="end"/>
      </w:r>
    </w:p>
    <w:p w14:paraId="7DDF73D2">
      <w:pPr>
        <w:pStyle w:val="25"/>
        <w:tabs>
          <w:tab w:val="right" w:leader="dot" w:pos="9355"/>
          <w:tab w:val="clear" w:pos="9344"/>
        </w:tabs>
      </w:pPr>
      <w:r>
        <w:fldChar w:fldCharType="begin"/>
      </w:r>
      <w:r>
        <w:instrText xml:space="preserve"> HYPERLINK \l _Toc1038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5.6 </w:t>
      </w:r>
      <w:r>
        <w:rPr>
          <w:rFonts w:hint="eastAsia" w:hAnsi="Times New Roman" w:cs="Times New Roman"/>
          <w:lang w:val="en-US" w:eastAsia="zh-CN"/>
        </w:rPr>
        <w:t>微生物限值</w:t>
      </w:r>
      <w:r>
        <w:tab/>
      </w:r>
      <w:r>
        <w:fldChar w:fldCharType="begin"/>
      </w:r>
      <w:r>
        <w:instrText xml:space="preserve"> PAGEREF _Toc1038 \h </w:instrText>
      </w:r>
      <w:r>
        <w:fldChar w:fldCharType="separate"/>
      </w:r>
      <w:r>
        <w:t>4</w:t>
      </w:r>
      <w:r>
        <w:fldChar w:fldCharType="end"/>
      </w:r>
      <w:r>
        <w:fldChar w:fldCharType="end"/>
      </w:r>
    </w:p>
    <w:p w14:paraId="08477B75">
      <w:pPr>
        <w:pStyle w:val="25"/>
        <w:tabs>
          <w:tab w:val="right" w:leader="dot" w:pos="9355"/>
          <w:tab w:val="clear" w:pos="9344"/>
        </w:tabs>
      </w:pPr>
      <w:r>
        <w:fldChar w:fldCharType="begin"/>
      </w:r>
      <w:r>
        <w:instrText xml:space="preserve"> HYPERLINK \l _Toc25589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5.7 </w:t>
      </w:r>
      <w:r>
        <w:rPr>
          <w:rFonts w:hint="eastAsia" w:hAnsi="Times New Roman" w:cs="Times New Roman"/>
          <w:lang w:val="en-US" w:eastAsia="zh-CN"/>
        </w:rPr>
        <w:t>皮肤生物安全性</w:t>
      </w:r>
      <w:r>
        <w:tab/>
      </w:r>
      <w:r>
        <w:fldChar w:fldCharType="begin"/>
      </w:r>
      <w:r>
        <w:instrText xml:space="preserve"> PAGEREF _Toc25589 \h </w:instrText>
      </w:r>
      <w:r>
        <w:fldChar w:fldCharType="separate"/>
      </w:r>
      <w:r>
        <w:t>5</w:t>
      </w:r>
      <w:r>
        <w:fldChar w:fldCharType="end"/>
      </w:r>
      <w:r>
        <w:fldChar w:fldCharType="end"/>
      </w:r>
    </w:p>
    <w:p w14:paraId="5F2BA1F2">
      <w:pPr>
        <w:pStyle w:val="25"/>
        <w:tabs>
          <w:tab w:val="right" w:leader="dot" w:pos="9355"/>
          <w:tab w:val="clear" w:pos="9344"/>
        </w:tabs>
      </w:pPr>
      <w:r>
        <w:fldChar w:fldCharType="begin"/>
      </w:r>
      <w:r>
        <w:instrText xml:space="preserve"> HYPERLINK \l _Toc23527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5.8 </w:t>
      </w:r>
      <w:r>
        <w:rPr>
          <w:rFonts w:hint="eastAsia" w:hAnsi="Times New Roman" w:cs="Times New Roman"/>
          <w:lang w:val="en-US" w:eastAsia="zh-CN"/>
        </w:rPr>
        <w:t>透皮吸收安全性</w:t>
      </w:r>
      <w:r>
        <w:tab/>
      </w:r>
      <w:r>
        <w:fldChar w:fldCharType="begin"/>
      </w:r>
      <w:r>
        <w:instrText xml:space="preserve"> PAGEREF _Toc23527 \h </w:instrText>
      </w:r>
      <w:r>
        <w:fldChar w:fldCharType="separate"/>
      </w:r>
      <w:r>
        <w:t>5</w:t>
      </w:r>
      <w:r>
        <w:fldChar w:fldCharType="end"/>
      </w:r>
      <w:r>
        <w:fldChar w:fldCharType="end"/>
      </w:r>
    </w:p>
    <w:p w14:paraId="64966026">
      <w:pPr>
        <w:pStyle w:val="25"/>
        <w:tabs>
          <w:tab w:val="right" w:leader="dot" w:pos="9355"/>
          <w:tab w:val="clear" w:pos="9344"/>
        </w:tabs>
      </w:pPr>
      <w:r>
        <w:fldChar w:fldCharType="begin"/>
      </w:r>
      <w:r>
        <w:instrText xml:space="preserve"> HYPERLINK \l _Toc13007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5.9 </w:t>
      </w:r>
      <w:r>
        <w:rPr>
          <w:rFonts w:hint="eastAsia" w:hAnsi="Times New Roman" w:cs="Times New Roman"/>
          <w:lang w:val="en-US" w:eastAsia="zh-CN"/>
        </w:rPr>
        <w:t>发热温度控制</w:t>
      </w:r>
      <w:r>
        <w:tab/>
      </w:r>
      <w:r>
        <w:fldChar w:fldCharType="begin"/>
      </w:r>
      <w:r>
        <w:instrText xml:space="preserve"> PAGEREF _Toc13007 \h </w:instrText>
      </w:r>
      <w:r>
        <w:fldChar w:fldCharType="separate"/>
      </w:r>
      <w:r>
        <w:t>5</w:t>
      </w:r>
      <w:r>
        <w:fldChar w:fldCharType="end"/>
      </w:r>
      <w:r>
        <w:fldChar w:fldCharType="end"/>
      </w:r>
    </w:p>
    <w:p w14:paraId="43382313">
      <w:pPr>
        <w:pStyle w:val="20"/>
        <w:tabs>
          <w:tab w:val="right" w:leader="dot" w:pos="9355"/>
        </w:tabs>
      </w:pPr>
      <w:r>
        <w:fldChar w:fldCharType="begin"/>
      </w:r>
      <w:r>
        <w:instrText xml:space="preserve"> HYPERLINK \l _Toc8394 </w:instrText>
      </w:r>
      <w:r>
        <w:fldChar w:fldCharType="separate"/>
      </w:r>
      <w:r>
        <w:rPr>
          <w:rFonts w:hint="eastAsia" w:ascii="黑体" w:hAnsi="Times New Roman" w:eastAsia="黑体" w:cs="Times New Roman"/>
          <w:i w:val="0"/>
        </w:rPr>
        <w:t xml:space="preserve">6 </w:t>
      </w:r>
      <w:r>
        <w:rPr>
          <w:rFonts w:hint="eastAsia" w:cs="Times New Roman"/>
          <w:lang w:val="en-US" w:eastAsia="zh-CN"/>
        </w:rPr>
        <w:t>试验方法</w:t>
      </w:r>
      <w:r>
        <w:tab/>
      </w:r>
      <w:r>
        <w:fldChar w:fldCharType="begin"/>
      </w:r>
      <w:r>
        <w:instrText xml:space="preserve"> PAGEREF _Toc8394 \h </w:instrText>
      </w:r>
      <w:r>
        <w:fldChar w:fldCharType="separate"/>
      </w:r>
      <w:r>
        <w:t>5</w:t>
      </w:r>
      <w:r>
        <w:fldChar w:fldCharType="end"/>
      </w:r>
      <w:r>
        <w:fldChar w:fldCharType="end"/>
      </w:r>
    </w:p>
    <w:p w14:paraId="20867FD8">
      <w:pPr>
        <w:pStyle w:val="25"/>
        <w:tabs>
          <w:tab w:val="right" w:leader="dot" w:pos="9355"/>
          <w:tab w:val="clear" w:pos="9344"/>
        </w:tabs>
      </w:pPr>
      <w:r>
        <w:fldChar w:fldCharType="begin"/>
      </w:r>
      <w:r>
        <w:instrText xml:space="preserve"> HYPERLINK \l _Toc12785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hAnsi="Times New Roman" w:cs="Times New Roman"/>
          <w:lang w:val="en-US" w:eastAsia="zh-CN"/>
        </w:rPr>
        <w:t>重金属及有害元素测定</w:t>
      </w:r>
      <w:r>
        <w:tab/>
      </w:r>
      <w:r>
        <w:fldChar w:fldCharType="begin"/>
      </w:r>
      <w:r>
        <w:instrText xml:space="preserve"> PAGEREF _Toc12785 \h </w:instrText>
      </w:r>
      <w:r>
        <w:fldChar w:fldCharType="separate"/>
      </w:r>
      <w:r>
        <w:t>5</w:t>
      </w:r>
      <w:r>
        <w:fldChar w:fldCharType="end"/>
      </w:r>
      <w:r>
        <w:fldChar w:fldCharType="end"/>
      </w:r>
    </w:p>
    <w:p w14:paraId="32455022">
      <w:pPr>
        <w:pStyle w:val="25"/>
        <w:tabs>
          <w:tab w:val="right" w:leader="dot" w:pos="9355"/>
          <w:tab w:val="clear" w:pos="9344"/>
        </w:tabs>
      </w:pPr>
      <w:r>
        <w:fldChar w:fldCharType="begin"/>
      </w:r>
      <w:r>
        <w:instrText xml:space="preserve"> HYPERLINK \l _Toc5032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default" w:hAnsi="Times New Roman" w:cs="Times New Roman"/>
          <w:lang w:val="en-US" w:eastAsia="zh-CN"/>
        </w:rPr>
        <w:t>毒性成分及刺激性物质测定</w:t>
      </w:r>
      <w:r>
        <w:tab/>
      </w:r>
      <w:r>
        <w:fldChar w:fldCharType="begin"/>
      </w:r>
      <w:r>
        <w:instrText xml:space="preserve"> PAGEREF _Toc5032 \h </w:instrText>
      </w:r>
      <w:r>
        <w:fldChar w:fldCharType="separate"/>
      </w:r>
      <w:r>
        <w:t>5</w:t>
      </w:r>
      <w:r>
        <w:fldChar w:fldCharType="end"/>
      </w:r>
      <w:r>
        <w:fldChar w:fldCharType="end"/>
      </w:r>
    </w:p>
    <w:p w14:paraId="6DF44CCA">
      <w:pPr>
        <w:pStyle w:val="25"/>
        <w:tabs>
          <w:tab w:val="right" w:leader="dot" w:pos="9355"/>
          <w:tab w:val="clear" w:pos="9344"/>
        </w:tabs>
      </w:pPr>
      <w:r>
        <w:fldChar w:fldCharType="begin"/>
      </w:r>
      <w:r>
        <w:instrText xml:space="preserve"> HYPERLINK \l _Toc31663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default" w:hAnsi="Times New Roman" w:cs="Times New Roman"/>
          <w:lang w:val="en-US" w:eastAsia="zh-CN"/>
        </w:rPr>
        <w:t>黏附力测定</w:t>
      </w:r>
      <w:r>
        <w:tab/>
      </w:r>
      <w:r>
        <w:fldChar w:fldCharType="begin"/>
      </w:r>
      <w:r>
        <w:instrText xml:space="preserve"> PAGEREF _Toc31663 \h </w:instrText>
      </w:r>
      <w:r>
        <w:fldChar w:fldCharType="separate"/>
      </w:r>
      <w:r>
        <w:t>6</w:t>
      </w:r>
      <w:r>
        <w:fldChar w:fldCharType="end"/>
      </w:r>
      <w:r>
        <w:fldChar w:fldCharType="end"/>
      </w:r>
    </w:p>
    <w:p w14:paraId="3F1E7156">
      <w:pPr>
        <w:pStyle w:val="25"/>
        <w:tabs>
          <w:tab w:val="right" w:leader="dot" w:pos="9355"/>
          <w:tab w:val="clear" w:pos="9344"/>
        </w:tabs>
      </w:pPr>
      <w:r>
        <w:fldChar w:fldCharType="begin"/>
      </w:r>
      <w:r>
        <w:instrText xml:space="preserve"> HYPERLINK \l _Toc30209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cs="Times New Roman"/>
          <w:lang w:val="en-US" w:eastAsia="zh-CN"/>
        </w:rPr>
        <w:t>剂量均一性试验</w:t>
      </w:r>
      <w:r>
        <w:tab/>
      </w:r>
      <w:r>
        <w:fldChar w:fldCharType="begin"/>
      </w:r>
      <w:r>
        <w:instrText xml:space="preserve"> PAGEREF _Toc30209 \h </w:instrText>
      </w:r>
      <w:r>
        <w:fldChar w:fldCharType="separate"/>
      </w:r>
      <w:r>
        <w:t>6</w:t>
      </w:r>
      <w:r>
        <w:fldChar w:fldCharType="end"/>
      </w:r>
      <w:r>
        <w:fldChar w:fldCharType="end"/>
      </w:r>
    </w:p>
    <w:p w14:paraId="00AE45DD">
      <w:pPr>
        <w:pStyle w:val="25"/>
        <w:tabs>
          <w:tab w:val="right" w:leader="dot" w:pos="9355"/>
          <w:tab w:val="clear" w:pos="9344"/>
        </w:tabs>
      </w:pPr>
      <w:r>
        <w:fldChar w:fldCharType="begin"/>
      </w:r>
      <w:r>
        <w:instrText xml:space="preserve"> HYPERLINK \l _Toc8711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default" w:hAnsi="Times New Roman" w:cs="Times New Roman"/>
          <w:lang w:val="en-US" w:eastAsia="zh-CN"/>
        </w:rPr>
        <w:t>残留溶剂测定</w:t>
      </w:r>
      <w:r>
        <w:tab/>
      </w:r>
      <w:r>
        <w:fldChar w:fldCharType="begin"/>
      </w:r>
      <w:r>
        <w:instrText xml:space="preserve"> PAGEREF _Toc8711 \h </w:instrText>
      </w:r>
      <w:r>
        <w:fldChar w:fldCharType="separate"/>
      </w:r>
      <w:r>
        <w:t>6</w:t>
      </w:r>
      <w:r>
        <w:fldChar w:fldCharType="end"/>
      </w:r>
      <w:r>
        <w:fldChar w:fldCharType="end"/>
      </w:r>
    </w:p>
    <w:p w14:paraId="5F6E6C22">
      <w:pPr>
        <w:pStyle w:val="25"/>
        <w:tabs>
          <w:tab w:val="right" w:leader="dot" w:pos="9355"/>
          <w:tab w:val="clear" w:pos="9344"/>
        </w:tabs>
      </w:pPr>
      <w:r>
        <w:fldChar w:fldCharType="begin"/>
      </w:r>
      <w:r>
        <w:instrText xml:space="preserve"> HYPERLINK \l _Toc30323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6.6 </w:t>
      </w:r>
      <w:r>
        <w:rPr>
          <w:rFonts w:hint="default" w:hAnsi="Times New Roman" w:cs="Times New Roman"/>
          <w:lang w:val="en-US" w:eastAsia="zh-CN"/>
        </w:rPr>
        <w:t>微生物</w:t>
      </w:r>
      <w:r>
        <w:rPr>
          <w:rFonts w:hint="eastAsia" w:hAnsi="Times New Roman" w:cs="Times New Roman"/>
          <w:lang w:val="en-US" w:eastAsia="zh-CN"/>
        </w:rPr>
        <w:t>限值</w:t>
      </w:r>
      <w:r>
        <w:rPr>
          <w:rFonts w:hint="default" w:hAnsi="Times New Roman" w:cs="Times New Roman"/>
          <w:lang w:val="en-US" w:eastAsia="zh-CN"/>
        </w:rPr>
        <w:t>测定</w:t>
      </w:r>
      <w:r>
        <w:tab/>
      </w:r>
      <w:r>
        <w:fldChar w:fldCharType="begin"/>
      </w:r>
      <w:r>
        <w:instrText xml:space="preserve"> PAGEREF _Toc30323 \h </w:instrText>
      </w:r>
      <w:r>
        <w:fldChar w:fldCharType="separate"/>
      </w:r>
      <w:r>
        <w:t>6</w:t>
      </w:r>
      <w:r>
        <w:fldChar w:fldCharType="end"/>
      </w:r>
      <w:r>
        <w:fldChar w:fldCharType="end"/>
      </w:r>
    </w:p>
    <w:p w14:paraId="12EB3903">
      <w:pPr>
        <w:pStyle w:val="25"/>
        <w:tabs>
          <w:tab w:val="right" w:leader="dot" w:pos="9355"/>
          <w:tab w:val="clear" w:pos="9344"/>
        </w:tabs>
      </w:pPr>
      <w:r>
        <w:fldChar w:fldCharType="begin"/>
      </w:r>
      <w:r>
        <w:instrText xml:space="preserve"> HYPERLINK \l _Toc13160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6.7 </w:t>
      </w:r>
      <w:r>
        <w:rPr>
          <w:rFonts w:hint="default" w:hAnsi="Times New Roman" w:cs="Times New Roman"/>
          <w:lang w:val="en-US" w:eastAsia="zh-CN"/>
        </w:rPr>
        <w:t>皮肤</w:t>
      </w:r>
      <w:r>
        <w:rPr>
          <w:rFonts w:hint="eastAsia" w:hAnsi="Times New Roman" w:cs="Times New Roman"/>
          <w:lang w:val="en-US" w:eastAsia="zh-CN"/>
        </w:rPr>
        <w:t>生物安全性</w:t>
      </w:r>
      <w:r>
        <w:rPr>
          <w:rFonts w:hint="default" w:hAnsi="Times New Roman" w:cs="Times New Roman"/>
          <w:lang w:val="en-US" w:eastAsia="zh-CN"/>
        </w:rPr>
        <w:t>试验</w:t>
      </w:r>
      <w:r>
        <w:tab/>
      </w:r>
      <w:r>
        <w:fldChar w:fldCharType="begin"/>
      </w:r>
      <w:r>
        <w:instrText xml:space="preserve"> PAGEREF _Toc13160 \h </w:instrText>
      </w:r>
      <w:r>
        <w:fldChar w:fldCharType="separate"/>
      </w:r>
      <w:r>
        <w:t>6</w:t>
      </w:r>
      <w:r>
        <w:fldChar w:fldCharType="end"/>
      </w:r>
      <w:r>
        <w:fldChar w:fldCharType="end"/>
      </w:r>
    </w:p>
    <w:p w14:paraId="7E8B5099">
      <w:pPr>
        <w:pStyle w:val="25"/>
        <w:tabs>
          <w:tab w:val="right" w:leader="dot" w:pos="9355"/>
          <w:tab w:val="clear" w:pos="9344"/>
        </w:tabs>
      </w:pPr>
      <w:r>
        <w:fldChar w:fldCharType="begin"/>
      </w:r>
      <w:r>
        <w:instrText xml:space="preserve"> HYPERLINK \l _Toc17104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6.8 </w:t>
      </w:r>
      <w:r>
        <w:rPr>
          <w:rFonts w:hint="default" w:hAnsi="Times New Roman" w:cs="Times New Roman"/>
          <w:lang w:val="en-US" w:eastAsia="zh-CN"/>
        </w:rPr>
        <w:t>体外透皮吸收试验</w:t>
      </w:r>
      <w:r>
        <w:tab/>
      </w:r>
      <w:r>
        <w:fldChar w:fldCharType="begin"/>
      </w:r>
      <w:r>
        <w:instrText xml:space="preserve"> PAGEREF _Toc17104 \h </w:instrText>
      </w:r>
      <w:r>
        <w:fldChar w:fldCharType="separate"/>
      </w:r>
      <w:r>
        <w:t>6</w:t>
      </w:r>
      <w:r>
        <w:fldChar w:fldCharType="end"/>
      </w:r>
      <w:r>
        <w:fldChar w:fldCharType="end"/>
      </w:r>
    </w:p>
    <w:p w14:paraId="35C4A149">
      <w:pPr>
        <w:pStyle w:val="25"/>
        <w:tabs>
          <w:tab w:val="right" w:leader="dot" w:pos="9355"/>
          <w:tab w:val="clear" w:pos="9344"/>
        </w:tabs>
      </w:pPr>
      <w:r>
        <w:fldChar w:fldCharType="begin"/>
      </w:r>
      <w:r>
        <w:instrText xml:space="preserve"> HYPERLINK \l _Toc8948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6.9 </w:t>
      </w:r>
      <w:r>
        <w:rPr>
          <w:rFonts w:hint="default" w:hAnsi="Times New Roman" w:cs="Times New Roman"/>
          <w:lang w:val="en-US" w:eastAsia="zh-CN"/>
        </w:rPr>
        <w:t>发热温度测定</w:t>
      </w:r>
      <w:r>
        <w:tab/>
      </w:r>
      <w:r>
        <w:fldChar w:fldCharType="begin"/>
      </w:r>
      <w:r>
        <w:instrText xml:space="preserve"> PAGEREF _Toc8948 \h </w:instrText>
      </w:r>
      <w:r>
        <w:fldChar w:fldCharType="separate"/>
      </w:r>
      <w:r>
        <w:t>6</w:t>
      </w:r>
      <w:r>
        <w:fldChar w:fldCharType="end"/>
      </w:r>
      <w:r>
        <w:fldChar w:fldCharType="end"/>
      </w:r>
    </w:p>
    <w:p w14:paraId="2FA2565F">
      <w:pPr>
        <w:pStyle w:val="20"/>
        <w:tabs>
          <w:tab w:val="right" w:leader="dot" w:pos="9355"/>
        </w:tabs>
      </w:pPr>
      <w:r>
        <w:fldChar w:fldCharType="begin"/>
      </w:r>
      <w:r>
        <w:instrText xml:space="preserve"> HYPERLINK \l _Toc29665 </w:instrText>
      </w:r>
      <w:r>
        <w:fldChar w:fldCharType="separate"/>
      </w:r>
      <w:r>
        <w:rPr>
          <w:rFonts w:hint="eastAsia" w:ascii="黑体" w:hAnsi="Times New Roman" w:eastAsia="黑体" w:cs="Times New Roman"/>
          <w:i w:val="0"/>
          <w:lang w:val="en-US" w:eastAsia="zh-CN"/>
        </w:rPr>
        <w:t xml:space="preserve">7 </w:t>
      </w:r>
      <w:r>
        <w:rPr>
          <w:rFonts w:hint="default" w:hAnsi="Times New Roman" w:cs="Times New Roman"/>
          <w:lang w:val="en-US" w:eastAsia="zh-CN"/>
        </w:rPr>
        <w:t>安全使用规范</w:t>
      </w:r>
      <w:r>
        <w:tab/>
      </w:r>
      <w:r>
        <w:fldChar w:fldCharType="begin"/>
      </w:r>
      <w:r>
        <w:instrText xml:space="preserve"> PAGEREF _Toc29665 \h </w:instrText>
      </w:r>
      <w:r>
        <w:fldChar w:fldCharType="separate"/>
      </w:r>
      <w:r>
        <w:t>6</w:t>
      </w:r>
      <w:r>
        <w:fldChar w:fldCharType="end"/>
      </w:r>
      <w:r>
        <w:fldChar w:fldCharType="end"/>
      </w:r>
    </w:p>
    <w:p w14:paraId="74EC186C">
      <w:pPr>
        <w:pStyle w:val="20"/>
        <w:tabs>
          <w:tab w:val="right" w:leader="dot" w:pos="9355"/>
        </w:tabs>
      </w:pPr>
      <w:r>
        <w:fldChar w:fldCharType="begin"/>
      </w:r>
      <w:r>
        <w:instrText xml:space="preserve"> HYPERLINK \l _Toc6075 </w:instrText>
      </w:r>
      <w:r>
        <w:fldChar w:fldCharType="separate"/>
      </w:r>
      <w:r>
        <w:rPr>
          <w:rFonts w:hint="eastAsia" w:ascii="黑体" w:hAnsi="Times New Roman" w:eastAsia="黑体" w:cs="Times New Roman"/>
          <w:i w:val="0"/>
          <w:lang w:val="en-US" w:eastAsia="zh-CN"/>
        </w:rPr>
        <w:t xml:space="preserve">8 </w:t>
      </w:r>
      <w:r>
        <w:rPr>
          <w:rFonts w:hint="default" w:hAnsi="Times New Roman" w:cs="Times New Roman"/>
          <w:lang w:val="en-US" w:eastAsia="zh-CN"/>
        </w:rPr>
        <w:t>标签与说明书</w:t>
      </w:r>
      <w:r>
        <w:tab/>
      </w:r>
      <w:r>
        <w:fldChar w:fldCharType="begin"/>
      </w:r>
      <w:r>
        <w:instrText xml:space="preserve"> PAGEREF _Toc6075 \h </w:instrText>
      </w:r>
      <w:r>
        <w:fldChar w:fldCharType="separate"/>
      </w:r>
      <w:r>
        <w:t>9</w:t>
      </w:r>
      <w:r>
        <w:fldChar w:fldCharType="end"/>
      </w:r>
      <w:r>
        <w:fldChar w:fldCharType="end"/>
      </w:r>
    </w:p>
    <w:p w14:paraId="3369D0F8">
      <w:pPr>
        <w:pStyle w:val="20"/>
        <w:tabs>
          <w:tab w:val="right" w:leader="dot" w:pos="9355"/>
        </w:tabs>
      </w:pPr>
      <w:r>
        <w:fldChar w:fldCharType="begin"/>
      </w:r>
      <w:r>
        <w:instrText xml:space="preserve"> HYPERLINK \l _Toc26686 </w:instrText>
      </w:r>
      <w:r>
        <w:fldChar w:fldCharType="separate"/>
      </w:r>
      <w:r>
        <w:rPr>
          <w:rFonts w:hint="eastAsia"/>
        </w:rPr>
        <w:t>参</w:t>
      </w:r>
      <w:r>
        <w:rPr>
          <w:rFonts w:hint="eastAsia" w:ascii="MS Mincho" w:hAnsi="MS Mincho" w:eastAsia="MS Mincho" w:cs="MS Mincho"/>
        </w:rPr>
        <w:t> </w:t>
      </w:r>
      <w:r>
        <w:rPr>
          <w:rFonts w:hint="eastAsia"/>
        </w:rPr>
        <w:t>考</w:t>
      </w:r>
      <w:r>
        <w:rPr>
          <w:rFonts w:hint="eastAsia" w:ascii="MS Mincho" w:hAnsi="MS Mincho" w:eastAsia="MS Mincho" w:cs="MS Mincho"/>
        </w:rPr>
        <w:t> </w:t>
      </w:r>
      <w:r>
        <w:rPr>
          <w:rFonts w:hint="eastAsia"/>
        </w:rPr>
        <w:t>文</w:t>
      </w:r>
      <w:r>
        <w:rPr>
          <w:rFonts w:hint="eastAsia" w:ascii="MS Mincho" w:hAnsi="MS Mincho" w:eastAsia="MS Mincho" w:cs="MS Mincho"/>
        </w:rPr>
        <w:t> </w:t>
      </w:r>
      <w:r>
        <w:rPr>
          <w:rFonts w:hint="eastAsia"/>
        </w:rPr>
        <w:t>献</w:t>
      </w:r>
      <w:r>
        <w:tab/>
      </w:r>
      <w:r>
        <w:fldChar w:fldCharType="begin"/>
      </w:r>
      <w:r>
        <w:instrText xml:space="preserve"> PAGEREF _Toc26686 \h </w:instrText>
      </w:r>
      <w:r>
        <w:fldChar w:fldCharType="separate"/>
      </w:r>
      <w:r>
        <w:t>10</w:t>
      </w:r>
      <w:r>
        <w:fldChar w:fldCharType="end"/>
      </w:r>
      <w:r>
        <w:fldChar w:fldCharType="end"/>
      </w:r>
    </w:p>
    <w:p w14:paraId="1C8D9C6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12023"/>
      <w:bookmarkStart w:id="24" w:name="_Toc10339"/>
      <w:bookmarkStart w:id="25" w:name="_Toc1089"/>
      <w:bookmarkStart w:id="26" w:name="_Toc4119"/>
      <w:bookmarkStart w:id="27" w:name="_Toc24248"/>
      <w:bookmarkStart w:id="28" w:name="_Toc6409"/>
      <w:bookmarkStart w:id="29" w:name="_Toc22953"/>
      <w:bookmarkStart w:id="30" w:name="_Toc28153"/>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AED805B">
      <w:pPr>
        <w:pStyle w:val="60"/>
        <w:ind w:firstLine="420"/>
      </w:pPr>
      <w:r>
        <w:rPr>
          <w:rFonts w:hint="eastAsia"/>
        </w:rPr>
        <w:t>本文件由</w:t>
      </w:r>
      <w:r>
        <w:rPr>
          <w:rFonts w:hint="eastAsia"/>
          <w:lang w:val="en-US" w:eastAsia="zh-CN"/>
        </w:rPr>
        <w:t>XXXX</w:t>
      </w:r>
      <w:r>
        <w:rPr>
          <w:rFonts w:hint="eastAsia"/>
        </w:rPr>
        <w:t>提出。</w:t>
      </w:r>
    </w:p>
    <w:p w14:paraId="705FF706">
      <w:pPr>
        <w:pStyle w:val="60"/>
        <w:ind w:firstLine="420"/>
      </w:pPr>
      <w:r>
        <w:rPr>
          <w:rFonts w:hint="eastAsia"/>
        </w:rPr>
        <w:t>本文件由中国西部开发促进会归口。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31"/>
    <w:sdt>
      <w:sdtPr>
        <w:tag w:val="NEW_STAND_NAME"/>
        <w:id w:val="595910757"/>
        <w:lock w:val="sdtLocked"/>
        <w:placeholder>
          <w:docPart w:val="D33580E5DEE94A56B4AA6E6699E4C1B2"/>
        </w:placeholder>
      </w:sdtPr>
      <w:sdtEndPr>
        <w:rPr>
          <w:rFonts w:hint="eastAsia"/>
        </w:rPr>
      </w:sdtEndPr>
      <w:sdtContent>
        <w:p w14:paraId="044C92CA">
          <w:pPr>
            <w:pStyle w:val="181"/>
            <w:keepNext w:val="0"/>
            <w:keepLines w:val="0"/>
            <w:pageBreakBefore w:val="0"/>
            <w:kinsoku/>
            <w:wordWrap/>
            <w:overflowPunct/>
            <w:topLinePunct w:val="0"/>
            <w:bidi w:val="0"/>
            <w:snapToGrid/>
            <w:spacing w:before="850" w:after="680" w:line="240" w:lineRule="auto"/>
            <w:textAlignment w:val="auto"/>
          </w:pPr>
          <w:bookmarkStart w:id="32" w:name="NEW_STAND_NAME"/>
          <w:bookmarkStart w:id="33" w:name="BookMark4"/>
          <w:r>
            <w:rPr>
              <w:rFonts w:hint="eastAsia"/>
            </w:rPr>
            <w:t>不同体质人群用中药贴膏剂安全技术规范</w:t>
          </w:r>
        </w:p>
      </w:sdtContent>
    </w:sdt>
    <w:bookmarkEnd w:id="32"/>
    <w:p w14:paraId="1B252E94">
      <w:pPr>
        <w:pStyle w:val="108"/>
        <w:keepNext w:val="0"/>
        <w:keepLines w:val="0"/>
        <w:pageBreakBefore w:val="0"/>
        <w:kinsoku/>
        <w:wordWrap/>
        <w:overflowPunct/>
        <w:topLinePunct w:val="0"/>
        <w:bidi w:val="0"/>
        <w:snapToGrid/>
        <w:spacing w:line="240" w:lineRule="auto"/>
        <w:textAlignment w:val="auto"/>
      </w:pPr>
      <w:bookmarkStart w:id="34" w:name="_Toc26986771"/>
      <w:bookmarkStart w:id="35" w:name="_Toc3015"/>
      <w:bookmarkStart w:id="36" w:name="_Toc95920575"/>
      <w:bookmarkStart w:id="37" w:name="_Toc24884218"/>
      <w:bookmarkStart w:id="38" w:name="_Toc31759"/>
      <w:bookmarkStart w:id="39" w:name="_Toc8165"/>
      <w:bookmarkStart w:id="40" w:name="_Toc95723355"/>
      <w:bookmarkStart w:id="41" w:name="_Toc148612845"/>
      <w:bookmarkStart w:id="42" w:name="_Toc26648465"/>
      <w:bookmarkStart w:id="43" w:name="_Toc24884211"/>
      <w:bookmarkStart w:id="44" w:name="_Toc150158740"/>
      <w:bookmarkStart w:id="45" w:name="_Toc32303"/>
      <w:bookmarkStart w:id="46" w:name="_Toc26986530"/>
      <w:bookmarkStart w:id="47" w:name="_Toc95920558"/>
      <w:bookmarkStart w:id="48" w:name="_Toc16952"/>
      <w:bookmarkStart w:id="49" w:name="_Toc26718930"/>
      <w:bookmarkStart w:id="50" w:name="_Toc17233333"/>
      <w:bookmarkStart w:id="51" w:name="_Toc28437"/>
      <w:bookmarkStart w:id="52" w:name="_Toc17233325"/>
      <w:bookmarkStart w:id="53" w:name="_Toc31963"/>
      <w:bookmarkStart w:id="54" w:name="_Toc150158767"/>
      <w:bookmarkStart w:id="55" w:name="_Toc12570"/>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0C41A64">
      <w:pPr>
        <w:pStyle w:val="60"/>
        <w:keepNext w:val="0"/>
        <w:keepLines w:val="0"/>
        <w:pageBreakBefore w:val="0"/>
        <w:kinsoku/>
        <w:wordWrap/>
        <w:overflowPunct/>
        <w:topLinePunct w:val="0"/>
        <w:bidi w:val="0"/>
        <w:snapToGrid/>
        <w:spacing w:line="240" w:lineRule="auto"/>
        <w:ind w:firstLine="420"/>
        <w:textAlignment w:val="auto"/>
        <w:rPr>
          <w:rFonts w:hint="eastAsia"/>
        </w:rPr>
      </w:pPr>
      <w:r>
        <w:rPr>
          <w:rFonts w:hint="eastAsia"/>
        </w:rPr>
        <w:t>本文件规定了不同体质人群用中药贴膏剂的体质分类与辨识、</w:t>
      </w:r>
      <w:r>
        <w:rPr>
          <w:rFonts w:hint="eastAsia"/>
          <w:lang w:val="en-US" w:eastAsia="zh-CN"/>
        </w:rPr>
        <w:t>安全</w:t>
      </w:r>
      <w:r>
        <w:rPr>
          <w:rFonts w:hint="eastAsia"/>
        </w:rPr>
        <w:t>技术要求、试验方法、安全使用规范、</w:t>
      </w:r>
      <w:bookmarkStart w:id="176" w:name="_GoBack"/>
      <w:r>
        <w:rPr>
          <w:rFonts w:hint="eastAsia"/>
        </w:rPr>
        <w:t>标签与说明书</w:t>
      </w:r>
      <w:bookmarkEnd w:id="176"/>
      <w:r>
        <w:rPr>
          <w:rFonts w:hint="eastAsia"/>
        </w:rPr>
        <w:t>等内容。</w:t>
      </w:r>
    </w:p>
    <w:p w14:paraId="7EFB3324">
      <w:pPr>
        <w:pStyle w:val="60"/>
        <w:keepNext w:val="0"/>
        <w:keepLines w:val="0"/>
        <w:pageBreakBefore w:val="0"/>
        <w:kinsoku/>
        <w:wordWrap/>
        <w:overflowPunct/>
        <w:topLinePunct w:val="0"/>
        <w:bidi w:val="0"/>
        <w:snapToGrid/>
        <w:spacing w:line="240" w:lineRule="auto"/>
        <w:ind w:firstLine="420"/>
        <w:textAlignment w:val="auto"/>
      </w:pPr>
      <w:r>
        <w:rPr>
          <w:rFonts w:hint="eastAsia"/>
        </w:rPr>
        <w:t>本文件适用于以中药材、中药提取物或中药细粉为主要原料，经加工制成的供不同体质人群贴敷于皮肤表面的中药贴膏剂（包括橡胶膏剂、凝胶膏剂、黑膏药及热熔胶贴膏剂等）的生产、质量控制和安全使用。</w:t>
      </w:r>
    </w:p>
    <w:p w14:paraId="720FAAF1">
      <w:pPr>
        <w:pStyle w:val="108"/>
        <w:keepNext w:val="0"/>
        <w:keepLines w:val="0"/>
        <w:pageBreakBefore w:val="0"/>
        <w:kinsoku/>
        <w:wordWrap/>
        <w:overflowPunct/>
        <w:topLinePunct w:val="0"/>
        <w:bidi w:val="0"/>
        <w:snapToGrid/>
        <w:spacing w:line="240" w:lineRule="auto"/>
        <w:textAlignment w:val="auto"/>
      </w:pPr>
      <w:bookmarkStart w:id="56" w:name="_Toc221"/>
      <w:bookmarkStart w:id="57" w:name="_Toc3515"/>
      <w:bookmarkStart w:id="58" w:name="_Toc26986531"/>
      <w:bookmarkStart w:id="59" w:name="_Toc12693"/>
      <w:bookmarkStart w:id="60" w:name="_Toc24884219"/>
      <w:bookmarkStart w:id="61" w:name="_Toc17233334"/>
      <w:bookmarkStart w:id="62" w:name="_Toc95920559"/>
      <w:bookmarkStart w:id="63" w:name="_Toc150158768"/>
      <w:bookmarkStart w:id="64" w:name="_Toc23549"/>
      <w:bookmarkStart w:id="65" w:name="_Toc26648466"/>
      <w:bookmarkStart w:id="66" w:name="_Toc26718931"/>
      <w:bookmarkStart w:id="67" w:name="_Toc31578"/>
      <w:bookmarkStart w:id="68" w:name="_Toc150158741"/>
      <w:bookmarkStart w:id="69" w:name="_Toc17233326"/>
      <w:bookmarkStart w:id="70" w:name="_Toc7083"/>
      <w:bookmarkStart w:id="71" w:name="_Toc95920576"/>
      <w:bookmarkStart w:id="72" w:name="_Toc26986772"/>
      <w:bookmarkStart w:id="73" w:name="_Toc24884212"/>
      <w:bookmarkStart w:id="74" w:name="_Toc95723356"/>
      <w:bookmarkStart w:id="75" w:name="_Toc148612846"/>
      <w:bookmarkStart w:id="76" w:name="_Toc8197"/>
      <w:bookmarkStart w:id="77" w:name="_Toc10750"/>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7ED3F5F">
          <w:pPr>
            <w:pStyle w:val="60"/>
            <w:keepNext w:val="0"/>
            <w:keepLines w:val="0"/>
            <w:pageBreakBefore w:val="0"/>
            <w:kinsoku/>
            <w:wordWrap/>
            <w:overflowPunct/>
            <w:topLinePunct w:val="0"/>
            <w:bidi w:val="0"/>
            <w:snapToGrid/>
            <w:spacing w:line="240" w:lineRule="auto"/>
            <w:ind w:firstLine="420"/>
            <w:textAlignment w:val="auto"/>
            <w:rPr>
              <w:rFonts w:hint="eastAsia" w:ascii="宋体" w:hAnsi="宋体" w:eastAsia="宋体" w:cs="宋体"/>
              <w:szCs w:val="21"/>
              <w:highlight w:val="none"/>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4D662280">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GB/T 191</w:t>
      </w:r>
      <w:r>
        <w:rPr>
          <w:rFonts w:hint="eastAsia" w:ascii="宋体" w:hAnsi="宋体" w:eastAsia="宋体" w:cs="宋体"/>
          <w:szCs w:val="21"/>
          <w:highlight w:val="none"/>
          <w:lang w:val="en-US" w:eastAsia="zh-CN"/>
        </w:rPr>
        <w:t xml:space="preserve">  包装储运图形符号标志</w:t>
      </w:r>
    </w:p>
    <w:p w14:paraId="7F39C91D">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GB/T 2792</w:t>
      </w:r>
      <w:r>
        <w:rPr>
          <w:rFonts w:hint="eastAsia" w:ascii="宋体" w:hAnsi="宋体" w:eastAsia="宋体" w:cs="宋体"/>
          <w:szCs w:val="21"/>
          <w:highlight w:val="none"/>
          <w:lang w:val="en-US" w:eastAsia="zh-CN"/>
        </w:rPr>
        <w:t xml:space="preserve">  胶粘带剥离强度的试验方法</w:t>
      </w:r>
    </w:p>
    <w:p w14:paraId="3DA37045">
      <w:pPr>
        <w:pStyle w:val="60"/>
        <w:keepNext w:val="0"/>
        <w:keepLines w:val="0"/>
        <w:pageBreakBefore w:val="0"/>
        <w:kinsoku/>
        <w:wordWrap/>
        <w:overflowPunct/>
        <w:topLinePunct w:val="0"/>
        <w:bidi w:val="0"/>
        <w:snapToGrid/>
        <w:spacing w:line="240" w:lineRule="auto"/>
        <w:ind w:firstLine="42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GB </w:t>
      </w:r>
      <w:r>
        <w:rPr>
          <w:rFonts w:hint="eastAsia" w:ascii="宋体" w:hAnsi="宋体" w:eastAsia="宋体" w:cs="宋体"/>
          <w:szCs w:val="21"/>
          <w:highlight w:val="none"/>
          <w:lang w:val="en-US" w:eastAsia="zh-CN"/>
        </w:rPr>
        <w:t xml:space="preserve">15979  </w:t>
      </w:r>
      <w:r>
        <w:rPr>
          <w:rFonts w:hint="eastAsia" w:ascii="宋体" w:hAnsi="宋体" w:eastAsia="宋体" w:cs="宋体"/>
          <w:szCs w:val="21"/>
          <w:highlight w:val="none"/>
        </w:rPr>
        <w:t>一次性使用卫生用品卫生要求</w:t>
      </w:r>
    </w:p>
    <w:p w14:paraId="5942155F">
      <w:pPr>
        <w:pStyle w:val="60"/>
        <w:keepNext w:val="0"/>
        <w:keepLines w:val="0"/>
        <w:pageBreakBefore w:val="0"/>
        <w:kinsoku/>
        <w:wordWrap/>
        <w:overflowPunct/>
        <w:topLinePunct w:val="0"/>
        <w:bidi w:val="0"/>
        <w:snapToGrid/>
        <w:spacing w:line="240" w:lineRule="auto"/>
        <w:ind w:firstLine="42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GB/T </w:t>
      </w:r>
      <w:r>
        <w:rPr>
          <w:rFonts w:hint="eastAsia" w:ascii="宋体" w:hAnsi="宋体" w:eastAsia="宋体" w:cs="宋体"/>
          <w:szCs w:val="21"/>
          <w:highlight w:val="none"/>
          <w:lang w:val="en-US" w:eastAsia="zh-CN"/>
        </w:rPr>
        <w:t xml:space="preserve">16886.5  </w:t>
      </w:r>
      <w:r>
        <w:rPr>
          <w:rFonts w:hint="eastAsia" w:ascii="宋体" w:hAnsi="宋体" w:eastAsia="宋体" w:cs="宋体"/>
          <w:szCs w:val="21"/>
          <w:highlight w:val="none"/>
        </w:rPr>
        <w:t>医疗器械生物学评价　第5部分：体外细胞毒性试验</w:t>
      </w:r>
    </w:p>
    <w:p w14:paraId="28469F1E">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GB/T 16886.10</w:t>
      </w:r>
      <w:r>
        <w:rPr>
          <w:rFonts w:hint="eastAsia" w:hAnsi="宋体" w:cs="宋体"/>
          <w:szCs w:val="21"/>
          <w:highlight w:val="none"/>
          <w:lang w:val="en-US" w:eastAsia="zh-CN"/>
        </w:rPr>
        <w:t xml:space="preserve">  医疗器械生物学评价　第10部分：皮肤致敏试验</w:t>
      </w:r>
    </w:p>
    <w:p w14:paraId="3388D002">
      <w:pPr>
        <w:pStyle w:val="60"/>
        <w:keepNext w:val="0"/>
        <w:keepLines w:val="0"/>
        <w:pageBreakBefore w:val="0"/>
        <w:kinsoku/>
        <w:wordWrap/>
        <w:overflowPunct/>
        <w:topLinePunct w:val="0"/>
        <w:bidi w:val="0"/>
        <w:snapToGrid/>
        <w:spacing w:line="240" w:lineRule="auto"/>
        <w:ind w:firstLine="42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GB/T 46939</w:t>
      </w:r>
      <w:r>
        <w:rPr>
          <w:rFonts w:hint="eastAsia" w:hAnsi="宋体" w:cs="宋体"/>
          <w:szCs w:val="21"/>
          <w:highlight w:val="none"/>
          <w:lang w:val="en-US" w:eastAsia="zh-CN"/>
        </w:rPr>
        <w:t xml:space="preserve">  中医体质分类与判定</w:t>
      </w:r>
    </w:p>
    <w:p w14:paraId="33B04CE7">
      <w:pPr>
        <w:pStyle w:val="108"/>
        <w:keepNext w:val="0"/>
        <w:keepLines w:val="0"/>
        <w:pageBreakBefore w:val="0"/>
        <w:kinsoku/>
        <w:wordWrap/>
        <w:overflowPunct/>
        <w:topLinePunct w:val="0"/>
        <w:bidi w:val="0"/>
        <w:snapToGrid/>
        <w:spacing w:line="240" w:lineRule="auto"/>
        <w:textAlignment w:val="auto"/>
      </w:pPr>
      <w:bookmarkStart w:id="79" w:name="_Toc32525"/>
      <w:bookmarkStart w:id="80" w:name="_Toc1462"/>
      <w:bookmarkStart w:id="81" w:name="_Toc27619"/>
      <w:bookmarkStart w:id="82" w:name="_Toc522"/>
      <w:bookmarkStart w:id="83" w:name="_Toc20221"/>
      <w:bookmarkStart w:id="84" w:name="_Toc3185"/>
      <w:bookmarkStart w:id="85" w:name="_Toc7797"/>
      <w:bookmarkStart w:id="86" w:name="_Toc18478"/>
      <w:r>
        <w:rPr>
          <w:rFonts w:hint="eastAsia"/>
        </w:rPr>
        <w:t>术语和定义</w:t>
      </w:r>
      <w:bookmarkEnd w:id="79"/>
      <w:bookmarkEnd w:id="80"/>
      <w:bookmarkEnd w:id="81"/>
      <w:bookmarkEnd w:id="82"/>
      <w:bookmarkEnd w:id="83"/>
      <w:bookmarkEnd w:id="84"/>
      <w:bookmarkEnd w:id="85"/>
      <w:bookmarkEnd w:id="86"/>
    </w:p>
    <w:p w14:paraId="156DE3C3">
      <w:pPr>
        <w:pStyle w:val="60"/>
        <w:keepNext w:val="0"/>
        <w:keepLines w:val="0"/>
        <w:pageBreakBefore w:val="0"/>
        <w:kinsoku/>
        <w:wordWrap/>
        <w:overflowPunct/>
        <w:topLinePunct w:val="0"/>
        <w:bidi w:val="0"/>
        <w:snapToGrid/>
        <w:spacing w:line="240" w:lineRule="auto"/>
        <w:textAlignment w:val="auto"/>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sz w:val="21"/>
              <w:highlight w:val="none"/>
              <w:lang w:val="en-US" w:eastAsia="zh-CN" w:bidi="ar-SA"/>
            </w:rPr>
            <w:t>下列术语和定义适用于本文件。</w:t>
          </w:r>
        </w:sdtContent>
      </w:sdt>
      <w:bookmarkStart w:id="87" w:name="_Toc12732"/>
      <w:bookmarkEnd w:id="87"/>
      <w:bookmarkStart w:id="88" w:name="_Toc22396"/>
      <w:bookmarkEnd w:id="88"/>
      <w:bookmarkStart w:id="89" w:name="_Toc27383"/>
      <w:bookmarkEnd w:id="89"/>
      <w:bookmarkStart w:id="90" w:name="_Toc30596"/>
      <w:bookmarkEnd w:id="90"/>
      <w:bookmarkStart w:id="91" w:name="_Toc12163"/>
      <w:bookmarkEnd w:id="91"/>
      <w:bookmarkStart w:id="92" w:name="_Toc23256"/>
      <w:bookmarkEnd w:id="92"/>
      <w:bookmarkStart w:id="93" w:name="_Toc11463"/>
      <w:bookmarkEnd w:id="93"/>
      <w:bookmarkStart w:id="94" w:name="_Toc28571"/>
      <w:bookmarkEnd w:id="94"/>
      <w:bookmarkStart w:id="95" w:name="_Toc9732"/>
      <w:bookmarkEnd w:id="95"/>
      <w:bookmarkStart w:id="96" w:name="_Toc14446"/>
      <w:bookmarkEnd w:id="96"/>
    </w:p>
    <w:p w14:paraId="45E3AC7F">
      <w:pPr>
        <w:pStyle w:val="109"/>
        <w:keepNext w:val="0"/>
        <w:keepLines w:val="0"/>
        <w:pageBreakBefore w:val="0"/>
        <w:kinsoku/>
        <w:wordWrap/>
        <w:overflowPunct/>
        <w:topLinePunct w:val="0"/>
        <w:bidi w:val="0"/>
        <w:snapToGrid/>
        <w:spacing w:after="120" w:afterLines="50" w:line="240" w:lineRule="auto"/>
        <w:ind w:left="0"/>
        <w:jc w:val="both"/>
        <w:textAlignment w:val="auto"/>
        <w:rPr>
          <w:rFonts w:hint="eastAsia"/>
        </w:rPr>
      </w:pPr>
      <w:bookmarkStart w:id="97" w:name="_Toc8578"/>
      <w:bookmarkEnd w:id="97"/>
      <w:bookmarkStart w:id="98" w:name="_Toc8333"/>
      <w:bookmarkEnd w:id="98"/>
      <w:bookmarkStart w:id="99" w:name="_Toc986"/>
      <w:bookmarkEnd w:id="99"/>
      <w:bookmarkStart w:id="100" w:name="_Toc28150"/>
      <w:bookmarkEnd w:id="100"/>
      <w:bookmarkStart w:id="101" w:name="_Toc32297"/>
      <w:bookmarkEnd w:id="101"/>
      <w:bookmarkStart w:id="102" w:name="_Toc24048"/>
    </w:p>
    <w:p w14:paraId="25693C64">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eastAsia" w:eastAsia="黑体"/>
          <w:lang w:val="en-US" w:eastAsia="zh-CN"/>
        </w:rPr>
      </w:pPr>
      <w:bookmarkStart w:id="103" w:name="_Toc22812"/>
      <w:bookmarkStart w:id="104" w:name="_Toc31347"/>
      <w:r>
        <w:rPr>
          <w:rFonts w:hint="eastAsia" w:eastAsia="黑体"/>
          <w:lang w:val="en-US" w:eastAsia="zh-CN"/>
        </w:rPr>
        <w:t>中药贴膏剂 traditional Chinese medicine plaster</w:t>
      </w:r>
      <w:bookmarkEnd w:id="103"/>
      <w:bookmarkEnd w:id="104"/>
    </w:p>
    <w:p w14:paraId="6C35FAFE">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将中药材、中药提取物或中药细粉与适宜基质（如橡胶、热熔胶、亲水凝胶、植物油与红丹炼制的膏药基质等）混合，均匀涂布于背衬材料（如无纺布、弹力布、纸、皮革等）上，覆以盖衬，供贴敷于皮肤表面的外用制剂。</w:t>
      </w:r>
    </w:p>
    <w:p w14:paraId="0F0658C8">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05" w:name="_Toc26626"/>
      <w:bookmarkEnd w:id="105"/>
      <w:bookmarkStart w:id="106" w:name="_Toc16167"/>
      <w:bookmarkEnd w:id="106"/>
      <w:bookmarkStart w:id="107" w:name="_Toc767"/>
      <w:bookmarkEnd w:id="107"/>
    </w:p>
    <w:p w14:paraId="5D9D6905">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08" w:name="_Toc28420"/>
      <w:bookmarkStart w:id="109" w:name="_Toc29261"/>
      <w:r>
        <w:rPr>
          <w:rFonts w:hint="default" w:hAnsi="Times New Roman" w:eastAsia="黑体" w:cs="Times New Roman"/>
          <w:lang w:val="en-US" w:eastAsia="zh-CN"/>
        </w:rPr>
        <w:t>体质 constitution</w:t>
      </w:r>
      <w:bookmarkEnd w:id="108"/>
      <w:bookmarkEnd w:id="109"/>
    </w:p>
    <w:p w14:paraId="0E9613E2">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人体生命过程中，在先天禀赋和后天获得的基础上所形成的形态结构、生理功能和心理状态方面综合的、相对稳定的固有特质。</w:t>
      </w:r>
    </w:p>
    <w:p w14:paraId="4FEE1AC9">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10" w:name="_Toc28705"/>
      <w:bookmarkEnd w:id="110"/>
      <w:bookmarkStart w:id="111" w:name="_Toc26237"/>
      <w:bookmarkEnd w:id="111"/>
      <w:bookmarkStart w:id="112" w:name="_Toc10566"/>
      <w:bookmarkEnd w:id="112"/>
    </w:p>
    <w:p w14:paraId="16BAA3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13" w:name="_Toc22169"/>
      <w:bookmarkStart w:id="114" w:name="_Toc27861"/>
      <w:r>
        <w:rPr>
          <w:rFonts w:hint="default" w:hAnsi="Times New Roman" w:eastAsia="黑体" w:cs="Times New Roman"/>
          <w:lang w:val="en-US" w:eastAsia="zh-CN"/>
        </w:rPr>
        <w:t>体质辨识 constitution identification</w:t>
      </w:r>
      <w:bookmarkEnd w:id="113"/>
      <w:bookmarkEnd w:id="114"/>
    </w:p>
    <w:p w14:paraId="20D1A2D6">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依据GB/T 46939</w:t>
      </w:r>
      <w:r>
        <w:rPr>
          <w:rFonts w:hint="eastAsia"/>
          <w:lang w:val="en-US" w:eastAsia="zh-CN"/>
        </w:rPr>
        <w:t>的</w:t>
      </w:r>
      <w:r>
        <w:rPr>
          <w:rFonts w:hint="default"/>
          <w:lang w:val="en-US" w:eastAsia="zh-CN"/>
        </w:rPr>
        <w:t>规定，通过问卷评分对个体体质类型进行判定的过程。</w:t>
      </w:r>
    </w:p>
    <w:p w14:paraId="564C04D1">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15" w:name="_Toc20986"/>
      <w:bookmarkEnd w:id="115"/>
      <w:bookmarkStart w:id="116" w:name="_Toc30089"/>
      <w:bookmarkEnd w:id="116"/>
      <w:bookmarkStart w:id="117" w:name="_Toc26066"/>
      <w:bookmarkEnd w:id="117"/>
    </w:p>
    <w:p w14:paraId="70A5D08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18" w:name="_Toc20205"/>
      <w:bookmarkStart w:id="119" w:name="_Toc31461"/>
      <w:r>
        <w:rPr>
          <w:rFonts w:hint="default" w:hAnsi="Times New Roman" w:eastAsia="黑体" w:cs="Times New Roman"/>
          <w:lang w:val="en-US" w:eastAsia="zh-CN"/>
        </w:rPr>
        <w:t>初黏力 tack</w:t>
      </w:r>
      <w:bookmarkEnd w:id="118"/>
      <w:bookmarkEnd w:id="119"/>
    </w:p>
    <w:p w14:paraId="585C3AF7">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贴膏剂膏面与皮肤在轻微压力接触瞬间所表现的黏附能力，以钢球号数表示。</w:t>
      </w:r>
    </w:p>
    <w:p w14:paraId="3188A6C9">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20" w:name="_Toc22654"/>
      <w:bookmarkEnd w:id="120"/>
      <w:bookmarkStart w:id="121" w:name="_Toc29783"/>
      <w:bookmarkEnd w:id="121"/>
    </w:p>
    <w:p w14:paraId="1ADA7CE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22" w:name="_Toc4480"/>
      <w:bookmarkStart w:id="123" w:name="_Toc29602"/>
      <w:r>
        <w:rPr>
          <w:rFonts w:hint="default" w:hAnsi="Times New Roman" w:eastAsia="黑体" w:cs="Times New Roman"/>
          <w:lang w:val="en-US" w:eastAsia="zh-CN"/>
        </w:rPr>
        <w:t>持黏力 holding power</w:t>
      </w:r>
      <w:bookmarkEnd w:id="122"/>
      <w:bookmarkEnd w:id="123"/>
    </w:p>
    <w:p w14:paraId="6DCE6D54">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贴膏剂粘贴后，在规定剪切力作用下抵抗位移的能力，以位移值（mm）或脱落时间（min）表示。</w:t>
      </w:r>
    </w:p>
    <w:p w14:paraId="5EA1A89A">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24" w:name="_Toc23114"/>
      <w:bookmarkEnd w:id="124"/>
      <w:bookmarkStart w:id="125" w:name="_Toc8330"/>
      <w:bookmarkEnd w:id="125"/>
    </w:p>
    <w:p w14:paraId="0D6F094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26" w:name="_Toc17006"/>
      <w:bookmarkStart w:id="127" w:name="_Toc21417"/>
      <w:r>
        <w:rPr>
          <w:rFonts w:hint="default" w:hAnsi="Times New Roman" w:eastAsia="黑体" w:cs="Times New Roman"/>
          <w:lang w:val="en-US" w:eastAsia="zh-CN"/>
        </w:rPr>
        <w:t>剥离强度 peel strength</w:t>
      </w:r>
      <w:bookmarkEnd w:id="126"/>
      <w:bookmarkEnd w:id="127"/>
    </w:p>
    <w:p w14:paraId="70A6C754">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在规定条件下，将贴膏剂从被粘物表面剥离所需的力，以N/25mm表示。</w:t>
      </w:r>
    </w:p>
    <w:p w14:paraId="60BA445F">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28" w:name="_Toc6302"/>
      <w:bookmarkEnd w:id="128"/>
      <w:bookmarkStart w:id="129" w:name="_Toc11844"/>
      <w:bookmarkEnd w:id="129"/>
    </w:p>
    <w:p w14:paraId="7B70B9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30" w:name="_Toc361"/>
      <w:bookmarkStart w:id="131" w:name="_Toc17531"/>
      <w:r>
        <w:rPr>
          <w:rFonts w:hint="default" w:hAnsi="Times New Roman" w:eastAsia="黑体" w:cs="Times New Roman"/>
          <w:lang w:val="en-US" w:eastAsia="zh-CN"/>
        </w:rPr>
        <w:t>透皮吸收 transdermal absorption</w:t>
      </w:r>
      <w:bookmarkEnd w:id="130"/>
      <w:bookmarkEnd w:id="131"/>
    </w:p>
    <w:p w14:paraId="33497C5F">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药物经皮肤角质层进入真皮层和皮下组织，进而进入体循环的过程。</w:t>
      </w:r>
    </w:p>
    <w:p w14:paraId="3588B628">
      <w:pPr>
        <w:pStyle w:val="108"/>
        <w:keepNext w:val="0"/>
        <w:keepLines w:val="0"/>
        <w:pageBreakBefore w:val="0"/>
        <w:kinsoku/>
        <w:wordWrap/>
        <w:overflowPunct/>
        <w:topLinePunct w:val="0"/>
        <w:bidi w:val="0"/>
        <w:snapToGrid/>
        <w:spacing w:line="240" w:lineRule="auto"/>
        <w:textAlignment w:val="auto"/>
      </w:pPr>
      <w:bookmarkStart w:id="132" w:name="_Toc32611"/>
      <w:r>
        <w:rPr>
          <w:rFonts w:hint="eastAsia"/>
        </w:rPr>
        <w:t>体质分类与辨识</w:t>
      </w:r>
      <w:bookmarkEnd w:id="132"/>
    </w:p>
    <w:bookmarkEnd w:id="78"/>
    <w:bookmarkEnd w:id="102"/>
    <w:p w14:paraId="46CE3BE7">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pPr>
      <w:bookmarkStart w:id="133" w:name="_Toc11538"/>
      <w:r>
        <w:rPr>
          <w:rFonts w:hint="eastAsia"/>
        </w:rPr>
        <w:t>体质分类</w:t>
      </w:r>
      <w:bookmarkEnd w:id="133"/>
    </w:p>
    <w:p w14:paraId="52F9BD01">
      <w:pPr>
        <w:pStyle w:val="60"/>
        <w:keepNext w:val="0"/>
        <w:keepLines w:val="0"/>
        <w:pageBreakBefore w:val="0"/>
        <w:kinsoku/>
        <w:wordWrap/>
        <w:overflowPunct/>
        <w:topLinePunct w:val="0"/>
        <w:bidi w:val="0"/>
        <w:snapToGrid/>
        <w:spacing w:line="240" w:lineRule="auto"/>
        <w:textAlignment w:val="auto"/>
        <w:rPr>
          <w:rFonts w:hint="eastAsia"/>
        </w:rPr>
      </w:pPr>
      <w:r>
        <w:rPr>
          <w:rFonts w:hint="eastAsia"/>
        </w:rPr>
        <w:t>按照GB/T 4693</w:t>
      </w:r>
      <w:r>
        <w:rPr>
          <w:rFonts w:hint="eastAsia"/>
          <w:lang w:val="en-US" w:eastAsia="zh-CN"/>
        </w:rPr>
        <w:t>9</w:t>
      </w:r>
      <w:r>
        <w:rPr>
          <w:rFonts w:hint="eastAsia"/>
        </w:rPr>
        <w:t>的规定，中医体质分为九种基本类型，各类型的主要特征及贴膏剂使用风险等级见表1。</w:t>
      </w:r>
    </w:p>
    <w:p w14:paraId="7765F64E">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eastAsia"/>
        </w:rPr>
      </w:pPr>
      <w:r>
        <w:rPr>
          <w:rFonts w:hint="eastAsia"/>
        </w:rPr>
        <w:t>九种体质主要特征及贴膏剂使用风险等级</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2333"/>
        <w:gridCol w:w="5411"/>
        <w:gridCol w:w="1015"/>
      </w:tblGrid>
      <w:tr w14:paraId="7A86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620C4F3A">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体质类型</w:t>
            </w:r>
          </w:p>
        </w:tc>
        <w:tc>
          <w:tcPr>
            <w:tcW w:w="1248" w:type="pct"/>
            <w:vAlign w:val="center"/>
          </w:tcPr>
          <w:p w14:paraId="0BCC968B">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总体特征</w:t>
            </w:r>
          </w:p>
        </w:tc>
        <w:tc>
          <w:tcPr>
            <w:tcW w:w="2895" w:type="pct"/>
            <w:vAlign w:val="center"/>
          </w:tcPr>
          <w:p w14:paraId="4CF99861">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常见表现</w:t>
            </w:r>
          </w:p>
        </w:tc>
        <w:tc>
          <w:tcPr>
            <w:tcW w:w="543" w:type="pct"/>
            <w:vAlign w:val="center"/>
          </w:tcPr>
          <w:p w14:paraId="42BA1A93">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贴膏剂使用风险等级</w:t>
            </w:r>
          </w:p>
        </w:tc>
      </w:tr>
      <w:tr w14:paraId="5990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73F13594">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平和质</w:t>
            </w:r>
          </w:p>
        </w:tc>
        <w:tc>
          <w:tcPr>
            <w:tcW w:w="1248" w:type="pct"/>
            <w:vAlign w:val="center"/>
          </w:tcPr>
          <w:p w14:paraId="565C7F4A">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阴阳气血调和，体态适中，面色红润，精力充沛</w:t>
            </w:r>
          </w:p>
        </w:tc>
        <w:tc>
          <w:tcPr>
            <w:tcW w:w="2895" w:type="pct"/>
            <w:vAlign w:val="center"/>
          </w:tcPr>
          <w:p w14:paraId="6D549B02">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面色、肤色润泽，头发稠密有光泽，目光有神，鼻色明润，嗅觉通利，唇色红润，不易疲劳，精力充沛，耐受寒热，睡眠良好，胃纳佳，二便正常，舌色淡红，苔薄白，脉和缓有力</w:t>
            </w:r>
          </w:p>
        </w:tc>
        <w:tc>
          <w:tcPr>
            <w:tcW w:w="543" w:type="pct"/>
            <w:vAlign w:val="center"/>
          </w:tcPr>
          <w:p w14:paraId="4FF59B37">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低</w:t>
            </w:r>
          </w:p>
        </w:tc>
      </w:tr>
      <w:tr w14:paraId="49AE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722BF5E9">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气虚质</w:t>
            </w:r>
          </w:p>
        </w:tc>
        <w:tc>
          <w:tcPr>
            <w:tcW w:w="1248" w:type="pct"/>
            <w:vAlign w:val="center"/>
          </w:tcPr>
          <w:p w14:paraId="0B31FEB1">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元气不足，以疲乏、气短、自汗等气虚表现为主要特征</w:t>
            </w:r>
          </w:p>
        </w:tc>
        <w:tc>
          <w:tcPr>
            <w:tcW w:w="2895" w:type="pct"/>
            <w:vAlign w:val="center"/>
          </w:tcPr>
          <w:p w14:paraId="226C1B08">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平素语音低弱，气短懒言，容易疲乏，精神不振，易出汗，舌淡红，舌边有齿痕，脉弱</w:t>
            </w:r>
          </w:p>
        </w:tc>
        <w:tc>
          <w:tcPr>
            <w:tcW w:w="543" w:type="pct"/>
            <w:vAlign w:val="center"/>
          </w:tcPr>
          <w:p w14:paraId="0FE0AEF0">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w:t>
            </w:r>
          </w:p>
        </w:tc>
      </w:tr>
      <w:tr w14:paraId="6D94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0F63F4F3">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阳虚质</w:t>
            </w:r>
          </w:p>
        </w:tc>
        <w:tc>
          <w:tcPr>
            <w:tcW w:w="1248" w:type="pct"/>
            <w:vAlign w:val="center"/>
          </w:tcPr>
          <w:p w14:paraId="441A203C">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阳气不足，以畏寒怕冷、手足不温等虚寒表现为主要特征</w:t>
            </w:r>
          </w:p>
        </w:tc>
        <w:tc>
          <w:tcPr>
            <w:tcW w:w="2895" w:type="pct"/>
            <w:vAlign w:val="center"/>
          </w:tcPr>
          <w:p w14:paraId="4B6F9DE1">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平素畏冷，手足不温，喜热饮食，精神不振，舌淡胖嫩，脉沉迟</w:t>
            </w:r>
          </w:p>
        </w:tc>
        <w:tc>
          <w:tcPr>
            <w:tcW w:w="543" w:type="pct"/>
            <w:vAlign w:val="center"/>
          </w:tcPr>
          <w:p w14:paraId="64377945">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w:t>
            </w:r>
          </w:p>
        </w:tc>
      </w:tr>
      <w:tr w14:paraId="7421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147B6C1E">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阴虚质</w:t>
            </w:r>
          </w:p>
        </w:tc>
        <w:tc>
          <w:tcPr>
            <w:tcW w:w="1248" w:type="pct"/>
            <w:vAlign w:val="center"/>
          </w:tcPr>
          <w:p w14:paraId="0D973EC9">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阴液亏少，以口燥咽干、手足心热等虚热表现为主要特征</w:t>
            </w:r>
          </w:p>
        </w:tc>
        <w:tc>
          <w:tcPr>
            <w:tcW w:w="2895" w:type="pct"/>
            <w:vAlign w:val="center"/>
          </w:tcPr>
          <w:p w14:paraId="23933DD7">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手足心热，口燥咽干，鼻微干，喜冷饮，大便干燥，舌红少津，脉细数</w:t>
            </w:r>
          </w:p>
        </w:tc>
        <w:tc>
          <w:tcPr>
            <w:tcW w:w="543" w:type="pct"/>
            <w:vAlign w:val="center"/>
          </w:tcPr>
          <w:p w14:paraId="24BEF0A3">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高（温热类药物）</w:t>
            </w:r>
          </w:p>
        </w:tc>
      </w:tr>
      <w:tr w14:paraId="3370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45E45879">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痰湿质</w:t>
            </w:r>
          </w:p>
        </w:tc>
        <w:tc>
          <w:tcPr>
            <w:tcW w:w="1248" w:type="pct"/>
            <w:vAlign w:val="center"/>
          </w:tcPr>
          <w:p w14:paraId="0D95879F">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痰湿凝聚，以形体肥胖、腹部肥满、口黏苔腻等痰湿表现为主要特征</w:t>
            </w:r>
          </w:p>
        </w:tc>
        <w:tc>
          <w:tcPr>
            <w:tcW w:w="2895" w:type="pct"/>
            <w:vAlign w:val="center"/>
          </w:tcPr>
          <w:p w14:paraId="5E5D109C">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面部皮肤油脂较多，多汗且黏，胸闷，痰多，口黏腻或甜，喜食肥甘甜黏，苔腻，脉滑</w:t>
            </w:r>
          </w:p>
        </w:tc>
        <w:tc>
          <w:tcPr>
            <w:tcW w:w="543" w:type="pct"/>
            <w:vAlign w:val="center"/>
          </w:tcPr>
          <w:p w14:paraId="1A7B622D">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w:t>
            </w:r>
          </w:p>
        </w:tc>
      </w:tr>
      <w:tr w14:paraId="7A4D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6BC148FB">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湿热质</w:t>
            </w:r>
          </w:p>
        </w:tc>
        <w:tc>
          <w:tcPr>
            <w:tcW w:w="1248" w:type="pct"/>
            <w:vAlign w:val="center"/>
          </w:tcPr>
          <w:p w14:paraId="7652E3DA">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湿热内蕴，以面垢油光、口苦、苔黄腻等湿热表现为主要特征</w:t>
            </w:r>
          </w:p>
        </w:tc>
        <w:tc>
          <w:tcPr>
            <w:tcW w:w="2895" w:type="pct"/>
            <w:vAlign w:val="center"/>
          </w:tcPr>
          <w:p w14:paraId="0EFD8624">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面垢油光，易生痤疮，口苦口干，身重困倦，大便黏滞不畅或燥结，小便短黄，男性易阴囊潮湿，女性易带下增多，舌质偏红，苔黄腻，脉滑数</w:t>
            </w:r>
          </w:p>
        </w:tc>
        <w:tc>
          <w:tcPr>
            <w:tcW w:w="543" w:type="pct"/>
            <w:vAlign w:val="center"/>
          </w:tcPr>
          <w:p w14:paraId="04403002">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高（温热类药物）</w:t>
            </w:r>
          </w:p>
        </w:tc>
      </w:tr>
      <w:tr w14:paraId="68ED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6FF1CF33">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血瘀质</w:t>
            </w:r>
          </w:p>
        </w:tc>
        <w:tc>
          <w:tcPr>
            <w:tcW w:w="1248" w:type="pct"/>
            <w:vAlign w:val="center"/>
          </w:tcPr>
          <w:p w14:paraId="23A3E80D">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血行不畅，以肤色晦黯、舌质紫黯等血瘀表现为主要特征</w:t>
            </w:r>
          </w:p>
        </w:tc>
        <w:tc>
          <w:tcPr>
            <w:tcW w:w="2895" w:type="pct"/>
            <w:vAlign w:val="center"/>
          </w:tcPr>
          <w:p w14:paraId="3CBB1432">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肤色晦黯，色素沉着，容易出现瘀斑，口唇黯淡，舌黯或有瘀点，舌下络脉紫黯或增粗，脉涩</w:t>
            </w:r>
          </w:p>
        </w:tc>
        <w:tc>
          <w:tcPr>
            <w:tcW w:w="543" w:type="pct"/>
            <w:vAlign w:val="center"/>
          </w:tcPr>
          <w:p w14:paraId="5EF07A2C">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w:t>
            </w:r>
          </w:p>
        </w:tc>
      </w:tr>
      <w:tr w14:paraId="64B0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01ACB47F">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气郁质</w:t>
            </w:r>
          </w:p>
        </w:tc>
        <w:tc>
          <w:tcPr>
            <w:tcW w:w="1248" w:type="pct"/>
            <w:vAlign w:val="center"/>
          </w:tcPr>
          <w:p w14:paraId="387B70F9">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长期情志不畅，以神情抑郁、忧虑脆弱等气郁表现为主要特征</w:t>
            </w:r>
          </w:p>
        </w:tc>
        <w:tc>
          <w:tcPr>
            <w:tcW w:w="2895" w:type="pct"/>
            <w:vAlign w:val="center"/>
          </w:tcPr>
          <w:p w14:paraId="2A0FABAB">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神情抑郁，情感脆弱，烦闷不乐，舌淡红，苔薄白，脉弦</w:t>
            </w:r>
          </w:p>
        </w:tc>
        <w:tc>
          <w:tcPr>
            <w:tcW w:w="543" w:type="pct"/>
            <w:vAlign w:val="center"/>
          </w:tcPr>
          <w:p w14:paraId="0BF3BBEF">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中</w:t>
            </w:r>
          </w:p>
        </w:tc>
      </w:tr>
      <w:tr w14:paraId="01CA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vAlign w:val="center"/>
          </w:tcPr>
          <w:p w14:paraId="42CCB590">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特禀质</w:t>
            </w:r>
          </w:p>
        </w:tc>
        <w:tc>
          <w:tcPr>
            <w:tcW w:w="1248" w:type="pct"/>
            <w:vAlign w:val="center"/>
          </w:tcPr>
          <w:p w14:paraId="3E1D7052">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先天失常，以生理缺陷、过敏反应等为主要特征</w:t>
            </w:r>
          </w:p>
        </w:tc>
        <w:tc>
          <w:tcPr>
            <w:tcW w:w="2895" w:type="pct"/>
            <w:vAlign w:val="center"/>
          </w:tcPr>
          <w:p w14:paraId="5A00109A">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过敏体质者常见哮喘、风团、咽痒、鼻塞、喷嚏等；患遗传性疾病者有垂直遗传、先天性、家族性特征；患胎传性疾病者具有母体影响胎儿个体生长发育及相关疾病特征</w:t>
            </w:r>
          </w:p>
        </w:tc>
        <w:tc>
          <w:tcPr>
            <w:tcW w:w="543" w:type="pct"/>
            <w:vAlign w:val="center"/>
          </w:tcPr>
          <w:p w14:paraId="46DCBE36">
            <w:pPr>
              <w:pStyle w:val="60"/>
              <w:keepNext w:val="0"/>
              <w:keepLines w:val="0"/>
              <w:pageBreakBefore w:val="0"/>
              <w:widowControl/>
              <w:kinsoku/>
              <w:wordWrap/>
              <w:overflowPunct/>
              <w:topLinePunct w:val="0"/>
              <w:autoSpaceDE w:val="0"/>
              <w:autoSpaceDN w:val="0"/>
              <w:bidi w:val="0"/>
              <w:adjustRightInd/>
              <w:snapToGrid/>
              <w:spacing w:line="240" w:lineRule="auto"/>
              <w:ind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高</w:t>
            </w:r>
          </w:p>
        </w:tc>
      </w:tr>
    </w:tbl>
    <w:p w14:paraId="6A1772AB">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rPr>
      </w:pPr>
      <w:bookmarkStart w:id="134" w:name="_Toc31525"/>
      <w:r>
        <w:rPr>
          <w:rFonts w:hint="eastAsia" w:hAnsi="Times New Roman" w:cs="Times New Roman"/>
        </w:rPr>
        <w:t>体质辨识方法</w:t>
      </w:r>
      <w:bookmarkEnd w:id="134"/>
    </w:p>
    <w:p w14:paraId="4D359B3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体质辨识应按照GB/T 46939附录A规定的《中医体质分类与判定表》进行，该表包含60个条目，每个条目按5级评分（1分～5分）。</w:t>
      </w:r>
    </w:p>
    <w:p w14:paraId="19A29B4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Times New Roman" w:eastAsia="宋体" w:cs="Times New Roman"/>
          <w:sz w:val="21"/>
          <w:lang w:val="en-US" w:eastAsia="zh-CN" w:bidi="ar-SA"/>
        </w:rPr>
      </w:pPr>
      <w:r>
        <w:rPr>
          <w:rFonts w:hint="default" w:ascii="宋体" w:hAnsi="Times New Roman" w:eastAsia="宋体" w:cs="Times New Roman"/>
          <w:sz w:val="21"/>
          <w:lang w:val="en-US" w:eastAsia="zh-CN" w:bidi="ar-SA"/>
        </w:rPr>
        <w:t>各体质类型的原始分为对应条目得分之和，转化分按公式（1）计算：</w:t>
      </w:r>
    </w:p>
    <w:p w14:paraId="716E7A3E">
      <w:pPr>
        <w:pStyle w:val="60"/>
        <w:keepNext w:val="0"/>
        <w:keepLines w:val="0"/>
        <w:pageBreakBefore w:val="0"/>
        <w:kinsoku/>
        <w:wordWrap/>
        <w:overflowPunct/>
        <w:topLinePunct w:val="0"/>
        <w:bidi w:val="0"/>
        <w:snapToGrid/>
        <w:spacing w:line="240" w:lineRule="auto"/>
        <w:ind w:left="0" w:leftChars="0" w:firstLine="0" w:firstLineChars="0"/>
        <w:textAlignment w:val="auto"/>
        <w:rPr>
          <w:rFonts w:hint="default"/>
          <w:lang w:val="en-US" w:eastAsia="zh-CN"/>
        </w:rPr>
      </w:pPr>
      <m:oMathPara>
        <m:oMath>
          <m:eqArr>
            <m:eqArrPr>
              <m:maxDist m:val="1"/>
              <m:ctrlPr>
                <w:rPr>
                  <w:rFonts w:hint="default" w:ascii="Cambria Math" w:hAnsi="Cambria Math" w:cs="Times New Roman"/>
                  <w:i w:val="0"/>
                  <w:iCs/>
                  <w:sz w:val="21"/>
                  <w:lang w:val="en-US" w:eastAsia="zh-CN" w:bidi="ar-SA"/>
                </w:rPr>
              </m:ctrlPr>
            </m:eqArrPr>
            <m:e>
              <m:r>
                <m:rPr>
                  <m:sty m:val="p"/>
                </m:rPr>
                <w:rPr>
                  <w:rFonts w:hint="eastAsia" w:ascii="Cambria Math" w:hAnsi="Cambria Math" w:cs="Times New Roman"/>
                  <w:sz w:val="21"/>
                  <w:lang w:val="en-US" w:eastAsia="zh-CN" w:bidi="ar-SA"/>
                </w:rPr>
                <m:t>转化分</m:t>
              </m:r>
              <m:r>
                <m:rPr>
                  <m:sty m:val="p"/>
                </m:rPr>
                <w:rPr>
                  <w:rFonts w:hint="default" w:ascii="Cambria Math" w:hAnsi="Cambria Math" w:cs="Times New Roman"/>
                  <w:sz w:val="21"/>
                  <w:lang w:val="en-US" w:eastAsia="zh-CN" w:bidi="ar-SA"/>
                </w:rPr>
                <m:t>=</m:t>
              </m:r>
              <m:f>
                <m:fPr>
                  <m:ctrlPr>
                    <w:rPr>
                      <w:rFonts w:hint="default" w:ascii="Cambria Math" w:hAnsi="Cambria Math" w:cs="Times New Roman"/>
                      <w:i w:val="0"/>
                      <w:iCs/>
                      <w:sz w:val="21"/>
                      <w:lang w:val="en-US" w:eastAsia="zh-CN" w:bidi="ar-SA"/>
                    </w:rPr>
                  </m:ctrlPr>
                </m:fPr>
                <m:num>
                  <m:r>
                    <m:rPr>
                      <m:sty m:val="p"/>
                    </m:rPr>
                    <w:rPr>
                      <w:rFonts w:hint="eastAsia" w:ascii="Cambria Math" w:hAnsi="Cambria Math" w:cs="Times New Roman"/>
                      <w:sz w:val="21"/>
                      <w:lang w:val="en-US" w:eastAsia="zh-CN" w:bidi="ar-SA"/>
                    </w:rPr>
                    <m:t>原始分</m:t>
                  </m:r>
                  <m:r>
                    <m:rPr>
                      <m:sty m:val="p"/>
                    </m:rPr>
                    <w:rPr>
                      <w:rFonts w:hint="default" w:ascii="Cambria Math" w:hAnsi="Cambria Math" w:cs="Times New Roman"/>
                      <w:sz w:val="21"/>
                      <w:lang w:val="en-US" w:eastAsia="zh-CN" w:bidi="ar-SA"/>
                    </w:rPr>
                    <m:t>−</m:t>
                  </m:r>
                  <m:r>
                    <m:rPr>
                      <m:sty m:val="p"/>
                    </m:rPr>
                    <w:rPr>
                      <w:rFonts w:hint="eastAsia" w:ascii="Cambria Math" w:hAnsi="Cambria Math" w:cs="Times New Roman"/>
                      <w:sz w:val="21"/>
                      <w:lang w:val="en-US" w:eastAsia="zh-CN" w:bidi="ar-SA"/>
                    </w:rPr>
                    <m:t>条目数</m:t>
                  </m:r>
                  <m:ctrlPr>
                    <w:rPr>
                      <w:rFonts w:hint="default" w:ascii="Cambria Math" w:hAnsi="Cambria Math" w:cs="Times New Roman"/>
                      <w:i w:val="0"/>
                      <w:iCs/>
                      <w:sz w:val="21"/>
                      <w:lang w:val="en-US" w:eastAsia="zh-CN" w:bidi="ar-SA"/>
                    </w:rPr>
                  </m:ctrlPr>
                </m:num>
                <m:den>
                  <m:r>
                    <m:rPr>
                      <m:sty m:val="p"/>
                    </m:rPr>
                    <w:rPr>
                      <w:rFonts w:hint="eastAsia" w:ascii="Cambria Math" w:hAnsi="Cambria Math" w:cs="Times New Roman"/>
                      <w:sz w:val="21"/>
                      <w:lang w:val="en-US" w:eastAsia="zh-CN" w:bidi="ar-SA"/>
                    </w:rPr>
                    <m:t>条目数</m:t>
                  </m:r>
                  <m:r>
                    <m:rPr>
                      <m:sty m:val="p"/>
                    </m:rPr>
                    <w:rPr>
                      <w:rFonts w:ascii="Cambria Math" w:hAnsi="Cambria Math" w:cs="Times New Roman"/>
                      <w:sz w:val="21"/>
                      <w:lang w:val="en-US" w:bidi="ar-SA"/>
                    </w:rPr>
                    <m:t>×</m:t>
                  </m:r>
                  <m:r>
                    <m:rPr>
                      <m:sty m:val="p"/>
                    </m:rPr>
                    <w:rPr>
                      <w:rFonts w:hint="default" w:ascii="Cambria Math" w:hAnsi="Cambria Math" w:cs="Times New Roman"/>
                      <w:sz w:val="21"/>
                      <w:lang w:val="en-US" w:eastAsia="zh-CN" w:bidi="ar-SA"/>
                    </w:rPr>
                    <m:t>4</m:t>
                  </m:r>
                  <m:ctrlPr>
                    <w:rPr>
                      <w:rFonts w:hint="default" w:ascii="Cambria Math" w:hAnsi="Cambria Math" w:cs="Times New Roman"/>
                      <w:i w:val="0"/>
                      <w:iCs/>
                      <w:sz w:val="21"/>
                      <w:lang w:val="en-US" w:eastAsia="zh-CN" w:bidi="ar-SA"/>
                    </w:rPr>
                  </m:ctrlPr>
                </m:den>
              </m:f>
              <m:r>
                <m:rPr>
                  <m:sty m:val="p"/>
                </m:rPr>
                <w:rPr>
                  <w:rFonts w:hint="default" w:ascii="Cambria Math" w:hAnsi="Cambria Math" w:cs="Cambria Math"/>
                  <w:sz w:val="21"/>
                  <w:lang w:val="en-US" w:eastAsia="zh-CN" w:bidi="ar-SA"/>
                </w:rPr>
                <m:t>×</m:t>
              </m:r>
              <m:r>
                <m:rPr>
                  <m:sty m:val="p"/>
                </m:rPr>
                <w:rPr>
                  <w:rFonts w:hint="default" w:ascii="Cambria Math" w:hAnsi="Cambria Math" w:cs="Times New Roman"/>
                  <w:sz w:val="21"/>
                  <w:lang w:val="en-US" w:eastAsia="zh-CN" w:bidi="ar-SA"/>
                </w:rPr>
                <m:t>100#</m:t>
              </m:r>
              <m:r>
                <m:rPr>
                  <m:sty m:val="p"/>
                </m:rPr>
                <w:rPr>
                  <w:rFonts w:hint="eastAsia" w:ascii="Cambria Math" w:hAnsi="Cambria Math" w:cs="Times New Roman"/>
                  <w:sz w:val="21"/>
                  <w:lang w:val="en-US" w:eastAsia="zh-CN" w:bidi="ar-SA"/>
                </w:rPr>
                <m:t>······················</m:t>
              </m:r>
              <m:r>
                <m:rPr>
                  <m:sty m:val="p"/>
                </m:rPr>
                <w:rPr>
                  <w:rFonts w:hint="default" w:ascii="Cambria Math" w:hAnsi="Cambria Math" w:cs="Times New Roman"/>
                  <w:sz w:val="21"/>
                  <w:lang w:val="en-US" w:eastAsia="zh-CN" w:bidi="ar-SA"/>
                </w:rPr>
                <m:t>(1</m:t>
              </m:r>
              <m:ctrlPr>
                <w:rPr>
                  <w:rFonts w:hint="default" w:ascii="Cambria Math" w:hAnsi="Cambria Math" w:cs="Times New Roman"/>
                  <w:i w:val="0"/>
                  <w:iCs/>
                  <w:sz w:val="21"/>
                  <w:lang w:val="en-US" w:eastAsia="zh-CN" w:bidi="ar-SA"/>
                </w:rPr>
              </m:ctrlPr>
            </m:e>
          </m:eqArr>
          <m:r>
            <m:rPr>
              <m:sty m:val="p"/>
            </m:rPr>
            <w:rPr>
              <w:rFonts w:hint="default" w:ascii="Cambria Math" w:hAnsi="Cambria Math" w:cs="Times New Roman"/>
              <w:sz w:val="21"/>
              <w:lang w:val="en-US" w:eastAsia="zh-CN" w:bidi="ar-SA"/>
            </w:rPr>
            <m:t>)</m:t>
          </m:r>
        </m:oMath>
      </m:oMathPara>
    </w:p>
    <w:p w14:paraId="748E202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判定标准：平和质转化分不低于60分且其他8种偏颇体质转化分均小于30分时，判定为“是”平和质；平和质转化分不低于60分且其他8种偏颇体质转化分均小于40分时，判定为“基本是”平和质；否则为偏颇体质。偏颇体质转化分不低于40分为“是”，30～39分为“倾向是”，小于30分为“否”。</w:t>
      </w:r>
    </w:p>
    <w:p w14:paraId="146BA93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中药贴膏剂生产企业应在产品说明书中附体质辨识简表（不少于9个核心条目），指导消费者进行初步体质自评；对自评结果为特禀质或兼夹两种以上偏颇体质者，建议在中医师指导下使用。</w:t>
      </w:r>
    </w:p>
    <w:p w14:paraId="3DBF6D91">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rPr>
      </w:pPr>
      <w:bookmarkStart w:id="135" w:name="_Toc25019"/>
      <w:r>
        <w:rPr>
          <w:rFonts w:hint="eastAsia"/>
        </w:rPr>
        <w:t>体质与药物属性适配原则</w:t>
      </w:r>
      <w:bookmarkEnd w:id="135"/>
    </w:p>
    <w:p w14:paraId="628CCDD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温热性药物（如附子、干姜、肉桂、吴茱萸、白芥子、细辛等）制成的贴膏剂，阴虚质、湿热质人群应慎用，单次贴敷时间不宜超过2h。</w:t>
      </w:r>
    </w:p>
    <w:p w14:paraId="0A08857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寒凉性药物（如大黄、黄连、黄柏、冰片、薄荷脑等）制成的贴膏剂，阳虚质、气虚质人群应慎用，单次贴敷时间不宜超过3h。</w:t>
      </w:r>
    </w:p>
    <w:p w14:paraId="1D8558C7">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含芳香走窜、活血化瘀成分（如麝香、红花、乳香、没药等）的贴膏剂，孕妇及月经量过多者禁用。</w:t>
      </w:r>
    </w:p>
    <w:p w14:paraId="4B9A406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rPr>
      </w:pPr>
      <w:r>
        <w:rPr>
          <w:rFonts w:hint="eastAsia" w:ascii="宋体" w:hAnsi="Times New Roman" w:eastAsia="宋体" w:cs="Times New Roman"/>
          <w:sz w:val="21"/>
          <w:lang w:val="en-US" w:eastAsia="zh-CN" w:bidi="ar-SA"/>
        </w:rPr>
        <w:t>含刺激性药物（如白芥子、细辛、斑蝥、生天南星等）的贴膏剂，特禀质、婴幼儿及皮肤敏感者禁用或在医师指导下使用。</w:t>
      </w:r>
    </w:p>
    <w:p w14:paraId="59E165B9">
      <w:pPr>
        <w:pStyle w:val="108"/>
        <w:keepNext w:val="0"/>
        <w:keepLines w:val="0"/>
        <w:pageBreakBefore w:val="0"/>
        <w:kinsoku/>
        <w:wordWrap/>
        <w:overflowPunct/>
        <w:topLinePunct w:val="0"/>
        <w:bidi w:val="0"/>
        <w:snapToGrid/>
        <w:spacing w:line="240" w:lineRule="auto"/>
        <w:ind w:left="0" w:leftChars="0" w:firstLine="0" w:firstLineChars="0"/>
        <w:textAlignment w:val="auto"/>
      </w:pPr>
      <w:bookmarkStart w:id="136" w:name="_Toc30966"/>
      <w:r>
        <w:rPr>
          <w:rFonts w:hint="eastAsia"/>
          <w:lang w:val="en-US" w:eastAsia="zh-CN"/>
        </w:rPr>
        <w:t>安全技术</w:t>
      </w:r>
      <w:r>
        <w:rPr>
          <w:rFonts w:hint="eastAsia"/>
        </w:rPr>
        <w:t>要求</w:t>
      </w:r>
      <w:bookmarkEnd w:id="136"/>
    </w:p>
    <w:p w14:paraId="4B7AFDD5">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pPr>
      <w:bookmarkStart w:id="137" w:name="_Toc23035"/>
      <w:r>
        <w:rPr>
          <w:rFonts w:hint="eastAsia"/>
        </w:rPr>
        <w:t>原料安全</w:t>
      </w:r>
      <w:bookmarkEnd w:id="137"/>
    </w:p>
    <w:bookmarkEnd w:id="33"/>
    <w:p w14:paraId="0D323E6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中药材应符合《中华人民共和国药典（2025年版）》一部相应品种项下的规定。</w:t>
      </w:r>
    </w:p>
    <w:p w14:paraId="2443910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中药提取物及成品中重金属及有害元素限量应符合表2的规定。</w:t>
      </w:r>
    </w:p>
    <w:p w14:paraId="3D98CD12">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eastAsia" w:hAnsi="Times New Roman" w:cs="Times New Roman"/>
        </w:rPr>
      </w:pPr>
      <w:r>
        <w:rPr>
          <w:rFonts w:hint="eastAsia" w:hAnsi="Times New Roman" w:cs="Times New Roman"/>
        </w:rPr>
        <w:t>中药提取物及成品中重金属及有害元素限量</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7"/>
        <w:gridCol w:w="5576"/>
      </w:tblGrid>
      <w:tr w14:paraId="4AFB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16" w:type="pct"/>
            <w:vAlign w:val="center"/>
          </w:tcPr>
          <w:p w14:paraId="1E2FC325">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项目</w:t>
            </w:r>
          </w:p>
        </w:tc>
        <w:tc>
          <w:tcPr>
            <w:tcW w:w="2983" w:type="pct"/>
            <w:vAlign w:val="center"/>
          </w:tcPr>
          <w:p w14:paraId="2453AF84">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限量（mg/kg）</w:t>
            </w:r>
          </w:p>
        </w:tc>
      </w:tr>
      <w:tr w14:paraId="234E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16" w:type="pct"/>
            <w:vAlign w:val="center"/>
          </w:tcPr>
          <w:p w14:paraId="3E4C5A9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铅（Pb）</w:t>
            </w:r>
          </w:p>
        </w:tc>
        <w:tc>
          <w:tcPr>
            <w:tcW w:w="2983" w:type="pct"/>
            <w:vAlign w:val="center"/>
          </w:tcPr>
          <w:p w14:paraId="6AAC8016">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≤5.0</w:t>
            </w:r>
          </w:p>
        </w:tc>
      </w:tr>
      <w:tr w14:paraId="6A7B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16" w:type="pct"/>
            <w:vAlign w:val="center"/>
          </w:tcPr>
          <w:p w14:paraId="2C9C179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镉（Cd）</w:t>
            </w:r>
          </w:p>
        </w:tc>
        <w:tc>
          <w:tcPr>
            <w:tcW w:w="2983" w:type="pct"/>
            <w:vAlign w:val="center"/>
          </w:tcPr>
          <w:p w14:paraId="150C17C6">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≤1.0</w:t>
            </w:r>
          </w:p>
        </w:tc>
      </w:tr>
      <w:tr w14:paraId="5E28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16" w:type="pct"/>
            <w:vAlign w:val="center"/>
          </w:tcPr>
          <w:p w14:paraId="343C1FB1">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砷（As）</w:t>
            </w:r>
          </w:p>
        </w:tc>
        <w:tc>
          <w:tcPr>
            <w:tcW w:w="2983" w:type="pct"/>
            <w:vAlign w:val="center"/>
          </w:tcPr>
          <w:p w14:paraId="4231ED3E">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≤2.0</w:t>
            </w:r>
          </w:p>
        </w:tc>
      </w:tr>
      <w:tr w14:paraId="10D0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16" w:type="pct"/>
            <w:vAlign w:val="center"/>
          </w:tcPr>
          <w:p w14:paraId="121BC0B5">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汞（Hg）</w:t>
            </w:r>
          </w:p>
        </w:tc>
        <w:tc>
          <w:tcPr>
            <w:tcW w:w="2983" w:type="pct"/>
            <w:vAlign w:val="center"/>
          </w:tcPr>
          <w:p w14:paraId="39E4360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≤0.2</w:t>
            </w:r>
          </w:p>
        </w:tc>
      </w:tr>
      <w:tr w14:paraId="294E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16" w:type="pct"/>
            <w:vAlign w:val="center"/>
          </w:tcPr>
          <w:p w14:paraId="4D58CC0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铜（Cu）</w:t>
            </w:r>
          </w:p>
        </w:tc>
        <w:tc>
          <w:tcPr>
            <w:tcW w:w="2983" w:type="pct"/>
            <w:vAlign w:val="center"/>
          </w:tcPr>
          <w:p w14:paraId="1176C07B">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Times New Roman" w:eastAsia="宋体" w:cs="Times New Roman"/>
                <w:sz w:val="18"/>
                <w:szCs w:val="18"/>
                <w:lang w:val="en-US" w:eastAsia="zh-CN" w:bidi="ar-SA"/>
              </w:rPr>
              <w:t>≤20.0</w:t>
            </w:r>
          </w:p>
        </w:tc>
      </w:tr>
      <w:tr w14:paraId="26EE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2"/>
            <w:vAlign w:val="center"/>
          </w:tcPr>
          <w:p w14:paraId="488D5825">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360" w:firstLineChars="200"/>
              <w:jc w:val="both"/>
              <w:textAlignment w:val="auto"/>
              <w:rPr>
                <w:rFonts w:hint="eastAsia" w:ascii="宋体" w:hAnsi="Times New Roman" w:eastAsia="宋体" w:cs="Times New Roman"/>
                <w:sz w:val="18"/>
                <w:szCs w:val="18"/>
                <w:lang w:val="en-US" w:eastAsia="zh-CN" w:bidi="ar-SA"/>
              </w:rPr>
            </w:pPr>
            <w:r>
              <w:rPr>
                <w:rFonts w:hint="eastAsia" w:ascii="黑体" w:hAnsi="黑体" w:eastAsia="黑体" w:cs="黑体"/>
                <w:sz w:val="18"/>
                <w:szCs w:val="18"/>
                <w:lang w:val="en-US" w:eastAsia="zh-CN" w:bidi="ar-SA"/>
              </w:rPr>
              <w:t>注：</w:t>
            </w:r>
            <w:r>
              <w:rPr>
                <w:rFonts w:hint="eastAsia" w:ascii="宋体" w:hAnsi="Times New Roman" w:eastAsia="宋体" w:cs="Times New Roman"/>
                <w:sz w:val="18"/>
                <w:szCs w:val="18"/>
                <w:lang w:val="en-US" w:eastAsia="zh-CN" w:bidi="ar-SA"/>
              </w:rPr>
              <w:t>黑膏药因基质含红丹（Pb</w:t>
            </w:r>
            <w:r>
              <w:rPr>
                <w:rFonts w:hint="eastAsia" w:ascii="宋体" w:hAnsi="Times New Roman" w:eastAsia="宋体" w:cs="Times New Roman"/>
                <w:sz w:val="18"/>
                <w:szCs w:val="18"/>
                <w:vertAlign w:val="subscript"/>
                <w:lang w:val="en-US" w:eastAsia="zh-CN" w:bidi="ar-SA"/>
              </w:rPr>
              <w:t>3</w:t>
            </w:r>
            <w:r>
              <w:rPr>
                <w:rFonts w:hint="eastAsia" w:ascii="宋体" w:hAnsi="Times New Roman" w:eastAsia="宋体" w:cs="Times New Roman"/>
                <w:sz w:val="18"/>
                <w:szCs w:val="18"/>
                <w:lang w:val="en-US" w:eastAsia="zh-CN" w:bidi="ar-SA"/>
              </w:rPr>
              <w:t>O</w:t>
            </w:r>
            <w:r>
              <w:rPr>
                <w:rFonts w:hint="eastAsia" w:ascii="宋体" w:hAnsi="Times New Roman" w:eastAsia="宋体" w:cs="Times New Roman"/>
                <w:sz w:val="18"/>
                <w:szCs w:val="18"/>
                <w:vertAlign w:val="subscript"/>
                <w:lang w:val="en-US" w:eastAsia="zh-CN" w:bidi="ar-SA"/>
              </w:rPr>
              <w:t>4</w:t>
            </w:r>
            <w:r>
              <w:rPr>
                <w:rFonts w:hint="eastAsia" w:ascii="宋体" w:hAnsi="Times New Roman" w:eastAsia="宋体" w:cs="Times New Roman"/>
                <w:sz w:val="18"/>
                <w:szCs w:val="18"/>
                <w:lang w:val="en-US" w:eastAsia="zh-CN" w:bidi="ar-SA"/>
              </w:rPr>
              <w:t>），铅项目可不做常规检测，但应控制红丹投料量并在说明书中注明含铅成分。</w:t>
            </w:r>
          </w:p>
        </w:tc>
      </w:tr>
    </w:tbl>
    <w:p w14:paraId="5CD5981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基质材料（橡胶、热熔胶、亲水凝胶基质、植物油、红丹等）应符合药用要求或国家相关标准。红丹中四氧化三铅（Pb</w:t>
      </w:r>
      <w:r>
        <w:rPr>
          <w:rFonts w:hint="eastAsia" w:ascii="宋体" w:hAnsi="Times New Roman" w:eastAsia="宋体" w:cs="Times New Roman"/>
          <w:sz w:val="21"/>
          <w:vertAlign w:val="subscript"/>
          <w:lang w:val="en-US" w:eastAsia="zh-CN" w:bidi="ar-SA"/>
        </w:rPr>
        <w:t>3</w:t>
      </w:r>
      <w:r>
        <w:rPr>
          <w:rFonts w:hint="eastAsia" w:ascii="宋体" w:hAnsi="Times New Roman" w:eastAsia="宋体" w:cs="Times New Roman"/>
          <w:sz w:val="21"/>
          <w:lang w:val="en-US" w:eastAsia="zh-CN" w:bidi="ar-SA"/>
        </w:rPr>
        <w:t>O</w:t>
      </w:r>
      <w:r>
        <w:rPr>
          <w:rFonts w:hint="eastAsia" w:ascii="宋体" w:hAnsi="Times New Roman" w:eastAsia="宋体" w:cs="Times New Roman"/>
          <w:sz w:val="21"/>
          <w:vertAlign w:val="subscript"/>
          <w:lang w:val="en-US" w:eastAsia="zh-CN" w:bidi="ar-SA"/>
        </w:rPr>
        <w:t>4</w:t>
      </w:r>
      <w:r>
        <w:rPr>
          <w:rFonts w:hint="eastAsia" w:ascii="宋体" w:hAnsi="Times New Roman" w:eastAsia="宋体" w:cs="Times New Roman"/>
          <w:sz w:val="21"/>
          <w:lang w:val="en-US" w:eastAsia="zh-CN" w:bidi="ar-SA"/>
        </w:rPr>
        <w:t>）含量不应少于95.0%。</w:t>
      </w:r>
    </w:p>
    <w:p w14:paraId="50D235D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背衬材料（无纺布、弹力布、纸等）应符合GB 15979的卫生要求。</w:t>
      </w:r>
    </w:p>
    <w:p w14:paraId="29CB52B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禁止使用含马兜铃酸类成分的药材，包括但不限于关木通、广防己、青木香、马兜铃、天仙藤、寻骨风等。</w:t>
      </w:r>
    </w:p>
    <w:p w14:paraId="4A20478D">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hAnsi="Times New Roman" w:cs="Times New Roman"/>
        </w:rPr>
      </w:pPr>
      <w:bookmarkStart w:id="138" w:name="_Toc27580"/>
      <w:r>
        <w:rPr>
          <w:rFonts w:hint="eastAsia" w:hAnsi="Times New Roman" w:cs="Times New Roman"/>
        </w:rPr>
        <w:t>毒性成分及刺激性物质限量</w:t>
      </w:r>
      <w:bookmarkEnd w:id="138"/>
    </w:p>
    <w:p w14:paraId="201280FE">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含毒性药材的贴膏剂，其毒性成分含量应符合表3的规定。</w:t>
      </w:r>
    </w:p>
    <w:p w14:paraId="573ED1C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含皮肤刺激性成分（如白芥子苷、细辛脂素、斑蝥素、乌头碱类等）的贴膏剂，应将其含量控制在表3规定的安全限值以内。</w:t>
      </w:r>
    </w:p>
    <w:p w14:paraId="2B6D55F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处方中两种及以上毒性药材配伍时，应进行联合毒性评估，确保总毒性暴露量不超过安全阈值。</w:t>
      </w:r>
    </w:p>
    <w:p w14:paraId="34B67CA0">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eastAsia" w:hAnsi="Times New Roman" w:cs="Times New Roman"/>
        </w:rPr>
      </w:pPr>
      <w:r>
        <w:rPr>
          <w:rFonts w:hint="eastAsia" w:hAnsi="Times New Roman" w:cs="Times New Roman"/>
        </w:rPr>
        <w:t>毒性成分及刺激性物质限量</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9"/>
        <w:gridCol w:w="2740"/>
        <w:gridCol w:w="2964"/>
      </w:tblGrid>
      <w:tr w14:paraId="2703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47" w:type="pct"/>
            <w:vAlign w:val="center"/>
          </w:tcPr>
          <w:p w14:paraId="57EEF281">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成分名称</w:t>
            </w:r>
          </w:p>
        </w:tc>
        <w:tc>
          <w:tcPr>
            <w:tcW w:w="1466" w:type="pct"/>
            <w:vAlign w:val="center"/>
          </w:tcPr>
          <w:p w14:paraId="0688E792">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来源药材</w:t>
            </w:r>
          </w:p>
        </w:tc>
        <w:tc>
          <w:tcPr>
            <w:tcW w:w="1586" w:type="pct"/>
            <w:vAlign w:val="center"/>
          </w:tcPr>
          <w:p w14:paraId="2970E210">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限量（mg/kg，以成品计）</w:t>
            </w:r>
          </w:p>
        </w:tc>
      </w:tr>
      <w:tr w14:paraId="5B30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47" w:type="pct"/>
            <w:vAlign w:val="center"/>
          </w:tcPr>
          <w:p w14:paraId="0873F5FA">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乌头碱（含次乌头碱、新乌头碱）</w:t>
            </w:r>
          </w:p>
        </w:tc>
        <w:tc>
          <w:tcPr>
            <w:tcW w:w="1466" w:type="pct"/>
            <w:vAlign w:val="center"/>
          </w:tcPr>
          <w:p w14:paraId="0AC4B6C7">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制川乌、制草乌、制附子</w:t>
            </w:r>
          </w:p>
        </w:tc>
        <w:tc>
          <w:tcPr>
            <w:tcW w:w="1586" w:type="pct"/>
            <w:vAlign w:val="center"/>
          </w:tcPr>
          <w:p w14:paraId="005C20FD">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≤0.15</w:t>
            </w:r>
          </w:p>
        </w:tc>
      </w:tr>
      <w:tr w14:paraId="2A02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47" w:type="pct"/>
            <w:vAlign w:val="center"/>
          </w:tcPr>
          <w:p w14:paraId="461023B4">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斑蝥素</w:t>
            </w:r>
          </w:p>
        </w:tc>
        <w:tc>
          <w:tcPr>
            <w:tcW w:w="1466" w:type="pct"/>
            <w:vAlign w:val="center"/>
          </w:tcPr>
          <w:p w14:paraId="2EEA4145">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斑蝥</w:t>
            </w:r>
          </w:p>
        </w:tc>
        <w:tc>
          <w:tcPr>
            <w:tcW w:w="1586" w:type="pct"/>
            <w:vAlign w:val="center"/>
          </w:tcPr>
          <w:p w14:paraId="615CDCC4">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≤0.05</w:t>
            </w:r>
          </w:p>
        </w:tc>
      </w:tr>
      <w:tr w14:paraId="5641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47" w:type="pct"/>
            <w:vAlign w:val="center"/>
          </w:tcPr>
          <w:p w14:paraId="1F19E585">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士的宁</w:t>
            </w:r>
          </w:p>
        </w:tc>
        <w:tc>
          <w:tcPr>
            <w:tcW w:w="1466" w:type="pct"/>
            <w:vAlign w:val="center"/>
          </w:tcPr>
          <w:p w14:paraId="63F7A658">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马钱子（制）</w:t>
            </w:r>
          </w:p>
        </w:tc>
        <w:tc>
          <w:tcPr>
            <w:tcW w:w="1586" w:type="pct"/>
            <w:vAlign w:val="center"/>
          </w:tcPr>
          <w:p w14:paraId="469FB5EE">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≤2.0</w:t>
            </w:r>
          </w:p>
        </w:tc>
      </w:tr>
      <w:tr w14:paraId="6323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47" w:type="pct"/>
            <w:vAlign w:val="center"/>
          </w:tcPr>
          <w:p w14:paraId="7484BE8B">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白芥子苷（以芥子碱计）</w:t>
            </w:r>
          </w:p>
        </w:tc>
        <w:tc>
          <w:tcPr>
            <w:tcW w:w="1466" w:type="pct"/>
            <w:vAlign w:val="center"/>
          </w:tcPr>
          <w:p w14:paraId="6826F735">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白芥子</w:t>
            </w:r>
          </w:p>
        </w:tc>
        <w:tc>
          <w:tcPr>
            <w:tcW w:w="1586" w:type="pct"/>
            <w:vAlign w:val="center"/>
          </w:tcPr>
          <w:p w14:paraId="6C502C9B">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≤500</w:t>
            </w:r>
          </w:p>
        </w:tc>
      </w:tr>
      <w:tr w14:paraId="498E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47" w:type="pct"/>
            <w:vAlign w:val="center"/>
          </w:tcPr>
          <w:p w14:paraId="18051BA7">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细辛脂素</w:t>
            </w:r>
          </w:p>
        </w:tc>
        <w:tc>
          <w:tcPr>
            <w:tcW w:w="1466" w:type="pct"/>
            <w:vAlign w:val="center"/>
          </w:tcPr>
          <w:p w14:paraId="6455E7B3">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细辛</w:t>
            </w:r>
          </w:p>
        </w:tc>
        <w:tc>
          <w:tcPr>
            <w:tcW w:w="1586" w:type="pct"/>
            <w:vAlign w:val="center"/>
          </w:tcPr>
          <w:p w14:paraId="34AE5942">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≤200</w:t>
            </w:r>
          </w:p>
        </w:tc>
      </w:tr>
      <w:tr w14:paraId="5B66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47" w:type="pct"/>
            <w:vAlign w:val="center"/>
          </w:tcPr>
          <w:p w14:paraId="578975E4">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马兜铃酸A</w:t>
            </w:r>
          </w:p>
        </w:tc>
        <w:tc>
          <w:tcPr>
            <w:tcW w:w="1466" w:type="pct"/>
            <w:vAlign w:val="center"/>
          </w:tcPr>
          <w:p w14:paraId="44ACEC91">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w:t>
            </w:r>
          </w:p>
        </w:tc>
        <w:tc>
          <w:tcPr>
            <w:tcW w:w="1586" w:type="pct"/>
            <w:vAlign w:val="center"/>
          </w:tcPr>
          <w:p w14:paraId="12CDE55F">
            <w:pPr>
              <w:pStyle w:val="178"/>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sz w:val="18"/>
                <w:szCs w:val="18"/>
              </w:rPr>
            </w:pPr>
            <w:r>
              <w:rPr>
                <w:rFonts w:hint="eastAsia"/>
                <w:sz w:val="18"/>
                <w:szCs w:val="18"/>
              </w:rPr>
              <w:t>不得检出（检出限≤0.01）</w:t>
            </w:r>
          </w:p>
        </w:tc>
      </w:tr>
    </w:tbl>
    <w:p w14:paraId="0E29EB22">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hAnsi="Times New Roman" w:cs="Times New Roman"/>
        </w:rPr>
      </w:pPr>
      <w:bookmarkStart w:id="139" w:name="_Toc23867"/>
      <w:r>
        <w:rPr>
          <w:rFonts w:hint="eastAsia" w:hAnsi="Times New Roman" w:cs="Times New Roman"/>
        </w:rPr>
        <w:t>黏附力</w:t>
      </w:r>
      <w:bookmarkEnd w:id="139"/>
    </w:p>
    <w:p w14:paraId="43A029B4">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初黏力</w:t>
      </w:r>
    </w:p>
    <w:p w14:paraId="3D858CBB">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rPr>
      </w:pPr>
      <w:r>
        <w:rPr>
          <w:rFonts w:hint="eastAsia"/>
        </w:rPr>
        <w:t>橡胶膏剂应能黏住</w:t>
      </w:r>
      <w:r>
        <w:rPr>
          <w:rFonts w:hint="eastAsia"/>
          <w:lang w:val="en-US" w:eastAsia="zh-CN"/>
        </w:rPr>
        <w:t>不小于</w:t>
      </w:r>
      <w:r>
        <w:rPr>
          <w:rFonts w:hint="eastAsia"/>
        </w:rPr>
        <w:t>14号钢球，凝胶膏剂应能黏住</w:t>
      </w:r>
      <w:r>
        <w:rPr>
          <w:rFonts w:hint="eastAsia"/>
          <w:lang w:val="en-US" w:eastAsia="zh-CN"/>
        </w:rPr>
        <w:t>不小于</w:t>
      </w:r>
      <w:r>
        <w:rPr>
          <w:rFonts w:hint="eastAsia"/>
        </w:rPr>
        <w:t>8号钢球。</w:t>
      </w:r>
    </w:p>
    <w:p w14:paraId="58213B2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持黏力</w:t>
      </w:r>
    </w:p>
    <w:p w14:paraId="2F0B6908">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rPr>
      </w:pPr>
      <w:r>
        <w:rPr>
          <w:rFonts w:hint="eastAsia"/>
        </w:rPr>
        <w:t>取供试品固定于试验板表面，沿供试品长度方向加载200g砝码，30min后测量位移值，平均位移值不</w:t>
      </w:r>
      <w:r>
        <w:rPr>
          <w:rFonts w:hint="eastAsia"/>
          <w:lang w:val="en-US" w:eastAsia="zh-CN"/>
        </w:rPr>
        <w:t>应</w:t>
      </w:r>
      <w:r>
        <w:rPr>
          <w:rFonts w:hint="eastAsia"/>
        </w:rPr>
        <w:t>大于2.5mm。</w:t>
      </w:r>
    </w:p>
    <w:p w14:paraId="56753AE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剥离强度</w:t>
      </w:r>
    </w:p>
    <w:p w14:paraId="0D5E3956">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rPr>
      </w:pPr>
      <w:r>
        <w:rPr>
          <w:rFonts w:hint="eastAsia"/>
        </w:rPr>
        <w:t>橡胶膏剂剥离强度应为3.0N/25mm</w:t>
      </w:r>
      <w:r>
        <w:rPr>
          <w:rFonts w:hint="eastAsia"/>
          <w:lang w:val="en-US" w:eastAsia="zh-CN"/>
        </w:rPr>
        <w:t>～</w:t>
      </w:r>
      <w:r>
        <w:rPr>
          <w:rFonts w:hint="eastAsia"/>
        </w:rPr>
        <w:t>10.0N/25mm，凝胶膏剂剥离强度应为1.0N/25mm～5.0N/25mm。</w:t>
      </w:r>
    </w:p>
    <w:p w14:paraId="71315C65">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40" w:name="_Toc1257"/>
      <w:r>
        <w:rPr>
          <w:rFonts w:hint="default" w:hAnsi="Times New Roman" w:cs="Times New Roman"/>
          <w:lang w:val="en-US" w:eastAsia="zh-CN"/>
        </w:rPr>
        <w:t>剂量均一性</w:t>
      </w:r>
      <w:bookmarkEnd w:id="140"/>
    </w:p>
    <w:p w14:paraId="46D00067">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重量差异</w:t>
      </w:r>
    </w:p>
    <w:p w14:paraId="061DD9A2">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default"/>
          <w:lang w:val="en-US" w:eastAsia="zh-CN"/>
        </w:rPr>
      </w:pPr>
      <w:r>
        <w:rPr>
          <w:rFonts w:hint="default"/>
          <w:lang w:val="en-US" w:eastAsia="zh-CN"/>
        </w:rPr>
        <w:t>取供试品20片，每片重量与标示重量相比较，超出重量差异限度的</w:t>
      </w:r>
      <w:r>
        <w:rPr>
          <w:rFonts w:hint="eastAsia"/>
          <w:lang w:val="en-US" w:eastAsia="zh-CN"/>
        </w:rPr>
        <w:t>应</w:t>
      </w:r>
      <w:r>
        <w:rPr>
          <w:rFonts w:hint="default"/>
          <w:lang w:val="en-US" w:eastAsia="zh-CN"/>
        </w:rPr>
        <w:t>不多于2片，并不应有1片超出限度1倍。重量差异限度应符合表4的规定。</w:t>
      </w:r>
    </w:p>
    <w:p w14:paraId="5545A7E4">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default" w:hAnsi="Times New Roman" w:cs="Times New Roman"/>
          <w:lang w:val="en-US" w:eastAsia="zh-CN"/>
        </w:rPr>
      </w:pPr>
      <w:r>
        <w:rPr>
          <w:rFonts w:hint="default" w:hAnsi="Times New Roman" w:cs="Times New Roman"/>
          <w:lang w:val="en-US" w:eastAsia="zh-CN"/>
        </w:rPr>
        <w:t>贴膏剂重量差异限度</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5"/>
        <w:gridCol w:w="4368"/>
      </w:tblGrid>
      <w:tr w14:paraId="7EC4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pct"/>
            <w:vAlign w:val="center"/>
          </w:tcPr>
          <w:p w14:paraId="1A1B5B62">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标示重量</w:t>
            </w:r>
          </w:p>
        </w:tc>
        <w:tc>
          <w:tcPr>
            <w:tcW w:w="2337" w:type="pct"/>
            <w:vAlign w:val="center"/>
          </w:tcPr>
          <w:p w14:paraId="72D05BCA">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重量差异限度</w:t>
            </w:r>
          </w:p>
        </w:tc>
      </w:tr>
      <w:tr w14:paraId="427E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pct"/>
            <w:vAlign w:val="center"/>
          </w:tcPr>
          <w:p w14:paraId="18108429">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0.5g以下至0.5g</w:t>
            </w:r>
          </w:p>
        </w:tc>
        <w:tc>
          <w:tcPr>
            <w:tcW w:w="2337" w:type="pct"/>
            <w:vAlign w:val="center"/>
          </w:tcPr>
          <w:p w14:paraId="09F39CF6">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±7%</w:t>
            </w:r>
          </w:p>
        </w:tc>
      </w:tr>
      <w:tr w14:paraId="282D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pct"/>
            <w:vAlign w:val="center"/>
          </w:tcPr>
          <w:p w14:paraId="2378C906">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0.5g以上至5g</w:t>
            </w:r>
          </w:p>
        </w:tc>
        <w:tc>
          <w:tcPr>
            <w:tcW w:w="2337" w:type="pct"/>
            <w:vAlign w:val="center"/>
          </w:tcPr>
          <w:p w14:paraId="42150D9C">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±6%</w:t>
            </w:r>
          </w:p>
        </w:tc>
      </w:tr>
      <w:tr w14:paraId="2C4A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2" w:type="pct"/>
            <w:vAlign w:val="center"/>
          </w:tcPr>
          <w:p w14:paraId="02BF0BC9">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5g以上</w:t>
            </w:r>
          </w:p>
        </w:tc>
        <w:tc>
          <w:tcPr>
            <w:tcW w:w="2337" w:type="pct"/>
            <w:vAlign w:val="center"/>
          </w:tcPr>
          <w:p w14:paraId="54A3C1FD">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±5%</w:t>
            </w:r>
          </w:p>
        </w:tc>
      </w:tr>
    </w:tbl>
    <w:p w14:paraId="57DBDCF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含量均匀度</w:t>
      </w:r>
    </w:p>
    <w:p w14:paraId="67516638">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主药标示量大于2mg、且主药含量低于单贴质量25%的贴膏剂，应符合A+1.80S≤15.0。</w:t>
      </w:r>
    </w:p>
    <w:p w14:paraId="20BFCC29">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hAnsi="Times New Roman" w:cs="Times New Roman"/>
          <w:lang w:val="en-US" w:eastAsia="zh-CN"/>
        </w:rPr>
      </w:pPr>
      <w:bookmarkStart w:id="141" w:name="_Toc2060"/>
      <w:r>
        <w:rPr>
          <w:rFonts w:hint="eastAsia" w:hAnsi="Times New Roman" w:cs="Times New Roman"/>
          <w:lang w:val="en-US" w:eastAsia="zh-CN"/>
        </w:rPr>
        <w:t>残留溶剂限值</w:t>
      </w:r>
      <w:bookmarkEnd w:id="141"/>
    </w:p>
    <w:p w14:paraId="56F85994">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残留溶剂限值应符合表5的规定。</w:t>
      </w:r>
    </w:p>
    <w:p w14:paraId="084D1D01">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default" w:hAnsi="Times New Roman" w:cs="Times New Roman"/>
          <w:lang w:val="en-US" w:eastAsia="zh-CN"/>
        </w:rPr>
      </w:pPr>
      <w:r>
        <w:rPr>
          <w:rFonts w:hint="default" w:hAnsi="Times New Roman" w:cs="Times New Roman"/>
          <w:lang w:val="en-US" w:eastAsia="zh-CN"/>
        </w:rPr>
        <w:t>残留溶剂限值</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9"/>
        <w:gridCol w:w="2398"/>
        <w:gridCol w:w="5084"/>
      </w:tblGrid>
      <w:tr w14:paraId="24E0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198B7E8B">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项目</w:t>
            </w:r>
          </w:p>
        </w:tc>
        <w:tc>
          <w:tcPr>
            <w:tcW w:w="1283" w:type="pct"/>
            <w:vAlign w:val="center"/>
          </w:tcPr>
          <w:p w14:paraId="305EFC1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限值（ppm）</w:t>
            </w:r>
          </w:p>
        </w:tc>
        <w:tc>
          <w:tcPr>
            <w:tcW w:w="2720" w:type="pct"/>
            <w:vAlign w:val="center"/>
          </w:tcPr>
          <w:p w14:paraId="24F820F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每日允许暴露量PDE（mg/天）</w:t>
            </w:r>
          </w:p>
        </w:tc>
      </w:tr>
      <w:tr w14:paraId="60B4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0D5F25D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苯</w:t>
            </w:r>
          </w:p>
        </w:tc>
        <w:tc>
          <w:tcPr>
            <w:tcW w:w="1283" w:type="pct"/>
            <w:vAlign w:val="center"/>
          </w:tcPr>
          <w:p w14:paraId="58ACEEE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≤2</w:t>
            </w:r>
          </w:p>
        </w:tc>
        <w:tc>
          <w:tcPr>
            <w:tcW w:w="2720" w:type="pct"/>
            <w:vAlign w:val="center"/>
          </w:tcPr>
          <w:p w14:paraId="4A1A2E0A">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0.02</w:t>
            </w:r>
          </w:p>
        </w:tc>
      </w:tr>
      <w:tr w14:paraId="03FD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3CAB6E74">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三氯甲烷</w:t>
            </w:r>
          </w:p>
        </w:tc>
        <w:tc>
          <w:tcPr>
            <w:tcW w:w="1283" w:type="pct"/>
            <w:vAlign w:val="center"/>
          </w:tcPr>
          <w:p w14:paraId="1432A8BA">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≤60</w:t>
            </w:r>
          </w:p>
        </w:tc>
        <w:tc>
          <w:tcPr>
            <w:tcW w:w="2720" w:type="pct"/>
            <w:vAlign w:val="center"/>
          </w:tcPr>
          <w:p w14:paraId="12CE0DD0">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0.6</w:t>
            </w:r>
          </w:p>
        </w:tc>
      </w:tr>
      <w:tr w14:paraId="5C04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4C15C0D4">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二氯甲烷</w:t>
            </w:r>
          </w:p>
        </w:tc>
        <w:tc>
          <w:tcPr>
            <w:tcW w:w="1283" w:type="pct"/>
            <w:vAlign w:val="center"/>
          </w:tcPr>
          <w:p w14:paraId="6A5076A0">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≤600</w:t>
            </w:r>
          </w:p>
        </w:tc>
        <w:tc>
          <w:tcPr>
            <w:tcW w:w="2720" w:type="pct"/>
            <w:vAlign w:val="center"/>
          </w:tcPr>
          <w:p w14:paraId="72BA525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6.0</w:t>
            </w:r>
          </w:p>
        </w:tc>
      </w:tr>
      <w:tr w14:paraId="3B0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4E99DB35">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甲醇</w:t>
            </w:r>
          </w:p>
        </w:tc>
        <w:tc>
          <w:tcPr>
            <w:tcW w:w="1283" w:type="pct"/>
            <w:vAlign w:val="center"/>
          </w:tcPr>
          <w:p w14:paraId="00FF0B4A">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≤3000</w:t>
            </w:r>
          </w:p>
        </w:tc>
        <w:tc>
          <w:tcPr>
            <w:tcW w:w="2720" w:type="pct"/>
            <w:vAlign w:val="center"/>
          </w:tcPr>
          <w:p w14:paraId="2BEFE5A2">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30.0</w:t>
            </w:r>
          </w:p>
        </w:tc>
      </w:tr>
      <w:tr w14:paraId="7813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3B76A3CE">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乙醇</w:t>
            </w:r>
          </w:p>
        </w:tc>
        <w:tc>
          <w:tcPr>
            <w:tcW w:w="1283" w:type="pct"/>
            <w:vAlign w:val="center"/>
          </w:tcPr>
          <w:p w14:paraId="65079623">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≤5000</w:t>
            </w:r>
          </w:p>
        </w:tc>
        <w:tc>
          <w:tcPr>
            <w:tcW w:w="2720" w:type="pct"/>
            <w:vAlign w:val="center"/>
          </w:tcPr>
          <w:p w14:paraId="71D79BD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w:t>
            </w:r>
          </w:p>
        </w:tc>
      </w:tr>
      <w:tr w14:paraId="3FC3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2C8CFC4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丙酮</w:t>
            </w:r>
          </w:p>
        </w:tc>
        <w:tc>
          <w:tcPr>
            <w:tcW w:w="1283" w:type="pct"/>
            <w:vAlign w:val="center"/>
          </w:tcPr>
          <w:p w14:paraId="691B3F2B">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≤5000</w:t>
            </w:r>
          </w:p>
        </w:tc>
        <w:tc>
          <w:tcPr>
            <w:tcW w:w="2720" w:type="pct"/>
            <w:vAlign w:val="center"/>
          </w:tcPr>
          <w:p w14:paraId="50890711">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w:t>
            </w:r>
          </w:p>
        </w:tc>
      </w:tr>
      <w:tr w14:paraId="0F26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2EFB4707">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乙酸乙酯</w:t>
            </w:r>
          </w:p>
        </w:tc>
        <w:tc>
          <w:tcPr>
            <w:tcW w:w="1283" w:type="pct"/>
            <w:vAlign w:val="center"/>
          </w:tcPr>
          <w:p w14:paraId="7AB4510A">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≤5000</w:t>
            </w:r>
          </w:p>
        </w:tc>
        <w:tc>
          <w:tcPr>
            <w:tcW w:w="2720" w:type="pct"/>
            <w:vAlign w:val="center"/>
          </w:tcPr>
          <w:p w14:paraId="52CD8872">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w:t>
            </w:r>
          </w:p>
        </w:tc>
      </w:tr>
      <w:tr w14:paraId="7130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5" w:type="pct"/>
            <w:vAlign w:val="center"/>
          </w:tcPr>
          <w:p w14:paraId="177F0185">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异丙醇</w:t>
            </w:r>
          </w:p>
        </w:tc>
        <w:tc>
          <w:tcPr>
            <w:tcW w:w="1283" w:type="pct"/>
            <w:vAlign w:val="center"/>
          </w:tcPr>
          <w:p w14:paraId="690AF7E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≤5000</w:t>
            </w:r>
          </w:p>
        </w:tc>
        <w:tc>
          <w:tcPr>
            <w:tcW w:w="2720" w:type="pct"/>
            <w:vAlign w:val="center"/>
          </w:tcPr>
          <w:p w14:paraId="4533CB95">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ascii="宋体" w:hAnsi="宋体" w:eastAsia="宋体" w:cs="宋体"/>
                <w:sz w:val="18"/>
                <w:szCs w:val="18"/>
                <w:lang w:val="en-US" w:eastAsia="zh-CN"/>
              </w:rPr>
              <w:t>≥50.0</w:t>
            </w:r>
          </w:p>
        </w:tc>
      </w:tr>
    </w:tbl>
    <w:p w14:paraId="04AE6C22">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hAnsi="Times New Roman" w:cs="Times New Roman"/>
          <w:lang w:val="en-US" w:eastAsia="zh-CN"/>
        </w:rPr>
      </w:pPr>
      <w:bookmarkStart w:id="142" w:name="_Toc1038"/>
      <w:r>
        <w:rPr>
          <w:rFonts w:hint="eastAsia" w:hAnsi="Times New Roman" w:cs="Times New Roman"/>
          <w:lang w:val="en-US" w:eastAsia="zh-CN"/>
        </w:rPr>
        <w:t>微生物限值</w:t>
      </w:r>
      <w:bookmarkEnd w:id="142"/>
    </w:p>
    <w:p w14:paraId="65CA1857">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微生物限值应符合表6的规定。</w:t>
      </w:r>
    </w:p>
    <w:p w14:paraId="18949C56">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eastAsia" w:hAnsi="Times New Roman" w:cs="Times New Roman"/>
          <w:lang w:val="en-US" w:eastAsia="zh-CN"/>
        </w:rPr>
      </w:pPr>
      <w:r>
        <w:rPr>
          <w:rFonts w:hint="eastAsia" w:hAnsi="Times New Roman" w:cs="Times New Roman"/>
          <w:lang w:val="en-US" w:eastAsia="zh-CN"/>
        </w:rPr>
        <w:t>微生物限值</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15"/>
        <w:gridCol w:w="3628"/>
      </w:tblGrid>
      <w:tr w14:paraId="1C0B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8" w:type="pct"/>
            <w:vAlign w:val="center"/>
          </w:tcPr>
          <w:p w14:paraId="51221C02">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项目</w:t>
            </w:r>
          </w:p>
        </w:tc>
        <w:tc>
          <w:tcPr>
            <w:tcW w:w="1941" w:type="pct"/>
            <w:vAlign w:val="center"/>
          </w:tcPr>
          <w:p w14:paraId="07CAEC6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指标</w:t>
            </w:r>
          </w:p>
        </w:tc>
      </w:tr>
      <w:tr w14:paraId="1CF8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8" w:type="pct"/>
            <w:vAlign w:val="center"/>
          </w:tcPr>
          <w:p w14:paraId="77D1520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需氧菌总数（CFU/g）</w:t>
            </w:r>
          </w:p>
        </w:tc>
        <w:tc>
          <w:tcPr>
            <w:tcW w:w="1941" w:type="pct"/>
            <w:vAlign w:val="center"/>
          </w:tcPr>
          <w:p w14:paraId="3CFBC42E">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≤100</w:t>
            </w:r>
          </w:p>
        </w:tc>
      </w:tr>
      <w:tr w14:paraId="031F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8" w:type="pct"/>
            <w:vAlign w:val="center"/>
          </w:tcPr>
          <w:p w14:paraId="47FEF55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霉菌和酵母菌总数（CFU/g）</w:t>
            </w:r>
          </w:p>
        </w:tc>
        <w:tc>
          <w:tcPr>
            <w:tcW w:w="1941" w:type="pct"/>
            <w:vAlign w:val="center"/>
          </w:tcPr>
          <w:p w14:paraId="213DBEDB">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≤10</w:t>
            </w:r>
          </w:p>
        </w:tc>
      </w:tr>
      <w:tr w14:paraId="54BE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8" w:type="pct"/>
            <w:vAlign w:val="center"/>
          </w:tcPr>
          <w:p w14:paraId="6290F8D9">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金黄色葡萄球菌</w:t>
            </w:r>
          </w:p>
        </w:tc>
        <w:tc>
          <w:tcPr>
            <w:tcW w:w="1941" w:type="pct"/>
            <w:vAlign w:val="center"/>
          </w:tcPr>
          <w:p w14:paraId="3F96172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不得检出（/1g）</w:t>
            </w:r>
          </w:p>
        </w:tc>
      </w:tr>
      <w:tr w14:paraId="204E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8" w:type="pct"/>
            <w:vAlign w:val="center"/>
          </w:tcPr>
          <w:p w14:paraId="51C6690B">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铜绿假单胞菌</w:t>
            </w:r>
          </w:p>
        </w:tc>
        <w:tc>
          <w:tcPr>
            <w:tcW w:w="1941" w:type="pct"/>
            <w:vAlign w:val="center"/>
          </w:tcPr>
          <w:p w14:paraId="2B1733C9">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不得检出（/1g）</w:t>
            </w:r>
          </w:p>
        </w:tc>
      </w:tr>
      <w:tr w14:paraId="1A4E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8" w:type="pct"/>
            <w:vAlign w:val="center"/>
          </w:tcPr>
          <w:p w14:paraId="4162262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大肠埃希菌</w:t>
            </w:r>
          </w:p>
        </w:tc>
        <w:tc>
          <w:tcPr>
            <w:tcW w:w="1941" w:type="pct"/>
            <w:vAlign w:val="center"/>
          </w:tcPr>
          <w:p w14:paraId="09E07E10">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不得检出（/1g）</w:t>
            </w:r>
          </w:p>
        </w:tc>
      </w:tr>
    </w:tbl>
    <w:p w14:paraId="3324EBA5">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hAnsi="Times New Roman" w:cs="Times New Roman"/>
          <w:lang w:val="en-US" w:eastAsia="zh-CN"/>
        </w:rPr>
      </w:pPr>
      <w:bookmarkStart w:id="143" w:name="_Toc25589"/>
      <w:r>
        <w:rPr>
          <w:rFonts w:hint="eastAsia" w:hAnsi="Times New Roman" w:cs="Times New Roman"/>
          <w:lang w:val="en-US" w:eastAsia="zh-CN"/>
        </w:rPr>
        <w:t>皮肤生物安全性</w:t>
      </w:r>
      <w:bookmarkEnd w:id="143"/>
    </w:p>
    <w:p w14:paraId="5DABF64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皮肤刺激性</w:t>
      </w:r>
    </w:p>
    <w:p w14:paraId="126575CA">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单次及多次皮肤刺激试验的原发性刺激指数应不大于0.5（极轻微刺激）。</w:t>
      </w:r>
    </w:p>
    <w:p w14:paraId="0A7FD91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皮肤致敏性</w:t>
      </w:r>
    </w:p>
    <w:p w14:paraId="47E7F99B">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致敏率应不大于10%（弱致敏）。</w:t>
      </w:r>
    </w:p>
    <w:p w14:paraId="5AC1064E">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细胞毒性</w:t>
      </w:r>
    </w:p>
    <w:p w14:paraId="4C4C65EB">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细胞毒性反应分级应不大于1级（轻度细胞毒性，细胞存活率≥70%）。</w:t>
      </w:r>
    </w:p>
    <w:p w14:paraId="25CE157F">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hAnsi="Times New Roman" w:cs="Times New Roman"/>
          <w:lang w:val="en-US" w:eastAsia="zh-CN"/>
        </w:rPr>
      </w:pPr>
      <w:bookmarkStart w:id="144" w:name="_Toc23527"/>
      <w:r>
        <w:rPr>
          <w:rFonts w:hint="eastAsia" w:hAnsi="Times New Roman" w:cs="Times New Roman"/>
          <w:lang w:val="en-US" w:eastAsia="zh-CN"/>
        </w:rPr>
        <w:t>透皮吸收安全性</w:t>
      </w:r>
      <w:bookmarkEnd w:id="144"/>
    </w:p>
    <w:p w14:paraId="163851E7">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含毒性成分的贴膏剂，其24h累积透过量按最大贴敷面积折算后，不应超过该成分每日安全摄入量（PDE值）的1/3。</w:t>
      </w:r>
    </w:p>
    <w:p w14:paraId="1BE4447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宋体" w:eastAsia="宋体" w:cs="宋体"/>
          <w:lang w:val="en-US" w:eastAsia="zh-CN"/>
        </w:rPr>
      </w:pPr>
      <w:r>
        <w:rPr>
          <w:rFonts w:hint="eastAsia" w:ascii="宋体" w:hAnsi="宋体" w:eastAsia="宋体" w:cs="宋体"/>
          <w:sz w:val="21"/>
          <w:lang w:val="en-US" w:eastAsia="zh-CN" w:bidi="ar-SA"/>
        </w:rPr>
        <w:t>儿童用贴膏剂的24h累积透过率应不超过成人用同品种的70%，并按儿童体重（kg）折算安全剂量。</w:t>
      </w:r>
    </w:p>
    <w:p w14:paraId="55CA522D">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5" w:name="_Toc13007"/>
      <w:r>
        <w:rPr>
          <w:rFonts w:hint="eastAsia" w:hAnsi="Times New Roman" w:cs="Times New Roman"/>
          <w:lang w:val="en-US" w:eastAsia="zh-CN"/>
        </w:rPr>
        <w:t>发热温度控制</w:t>
      </w:r>
      <w:bookmarkEnd w:id="145"/>
    </w:p>
    <w:p w14:paraId="437936F7">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含铁粉、活性炭、蛭石、食盐等自发热材料的中药贴膏剂，其贴敷面温度应符合表7的规定。</w:t>
      </w:r>
    </w:p>
    <w:p w14:paraId="1F887E9C">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eastAsia" w:hAnsi="Times New Roman" w:cs="Times New Roman"/>
          <w:lang w:val="en-US" w:eastAsia="zh-CN"/>
        </w:rPr>
      </w:pPr>
      <w:r>
        <w:rPr>
          <w:rFonts w:hint="eastAsia" w:hAnsi="Times New Roman" w:cs="Times New Roman"/>
          <w:lang w:val="en-US" w:eastAsia="zh-CN"/>
        </w:rPr>
        <w:t>自发热型贴膏剂温度安全限值</w:t>
      </w:r>
    </w:p>
    <w:tbl>
      <w:tblPr>
        <w:tblStyle w:val="3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4"/>
        <w:gridCol w:w="2839"/>
      </w:tblGrid>
      <w:tr w14:paraId="02DC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80" w:type="pct"/>
            <w:vAlign w:val="center"/>
          </w:tcPr>
          <w:p w14:paraId="56B7050A">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项目</w:t>
            </w:r>
          </w:p>
        </w:tc>
        <w:tc>
          <w:tcPr>
            <w:tcW w:w="1519" w:type="pct"/>
            <w:vAlign w:val="center"/>
          </w:tcPr>
          <w:p w14:paraId="0E28F814">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限值</w:t>
            </w:r>
          </w:p>
        </w:tc>
      </w:tr>
      <w:tr w14:paraId="07AB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80" w:type="pct"/>
            <w:vAlign w:val="center"/>
          </w:tcPr>
          <w:p w14:paraId="5EEE8F97">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最高温度</w:t>
            </w:r>
          </w:p>
        </w:tc>
        <w:tc>
          <w:tcPr>
            <w:tcW w:w="1519" w:type="pct"/>
            <w:vAlign w:val="center"/>
          </w:tcPr>
          <w:p w14:paraId="5C1E45E7">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≤55℃</w:t>
            </w:r>
          </w:p>
        </w:tc>
      </w:tr>
      <w:tr w14:paraId="0030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80" w:type="pct"/>
            <w:vAlign w:val="center"/>
          </w:tcPr>
          <w:p w14:paraId="0184C321">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平均温度（40℃以上时段）</w:t>
            </w:r>
          </w:p>
        </w:tc>
        <w:tc>
          <w:tcPr>
            <w:tcW w:w="1519" w:type="pct"/>
            <w:vAlign w:val="center"/>
          </w:tcPr>
          <w:p w14:paraId="55F12285">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40℃～50℃</w:t>
            </w:r>
          </w:p>
        </w:tc>
      </w:tr>
      <w:tr w14:paraId="757C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80" w:type="pct"/>
            <w:vAlign w:val="center"/>
          </w:tcPr>
          <w:p w14:paraId="1367305D">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≥45℃持续时间</w:t>
            </w:r>
          </w:p>
        </w:tc>
        <w:tc>
          <w:tcPr>
            <w:tcW w:w="1519" w:type="pct"/>
            <w:vAlign w:val="center"/>
          </w:tcPr>
          <w:p w14:paraId="4848AC66">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≤4h</w:t>
            </w:r>
          </w:p>
        </w:tc>
      </w:tr>
      <w:tr w14:paraId="0D02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80" w:type="pct"/>
            <w:vAlign w:val="center"/>
          </w:tcPr>
          <w:p w14:paraId="4B43AAD7">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≥50℃持续时间</w:t>
            </w:r>
          </w:p>
        </w:tc>
        <w:tc>
          <w:tcPr>
            <w:tcW w:w="1519" w:type="pct"/>
            <w:vAlign w:val="center"/>
          </w:tcPr>
          <w:p w14:paraId="4C038E3A">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≤1h</w:t>
            </w:r>
          </w:p>
        </w:tc>
      </w:tr>
      <w:tr w14:paraId="703C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80" w:type="pct"/>
            <w:vAlign w:val="center"/>
          </w:tcPr>
          <w:p w14:paraId="789CFF88">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升温速率（激活后30min内）</w:t>
            </w:r>
          </w:p>
        </w:tc>
        <w:tc>
          <w:tcPr>
            <w:tcW w:w="1519" w:type="pct"/>
            <w:vAlign w:val="center"/>
          </w:tcPr>
          <w:p w14:paraId="04FCEC49">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≤2℃/min</w:t>
            </w:r>
          </w:p>
        </w:tc>
      </w:tr>
      <w:tr w14:paraId="124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80" w:type="pct"/>
            <w:vAlign w:val="center"/>
          </w:tcPr>
          <w:p w14:paraId="1C14A868">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温度均匀性（同贴各点温差）</w:t>
            </w:r>
          </w:p>
        </w:tc>
        <w:tc>
          <w:tcPr>
            <w:tcW w:w="1519" w:type="pct"/>
            <w:vAlign w:val="center"/>
          </w:tcPr>
          <w:p w14:paraId="1F1C7034">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center"/>
              <w:textAlignment w:val="auto"/>
              <w:rPr>
                <w:sz w:val="18"/>
                <w:szCs w:val="18"/>
              </w:rPr>
            </w:pPr>
            <w:r>
              <w:rPr>
                <w:rFonts w:hint="eastAsia"/>
                <w:sz w:val="18"/>
                <w:szCs w:val="18"/>
                <w:lang w:val="en-US" w:eastAsia="zh-CN"/>
              </w:rPr>
              <w:t>≤5℃</w:t>
            </w:r>
          </w:p>
        </w:tc>
      </w:tr>
    </w:tbl>
    <w:p w14:paraId="5CC33D47">
      <w:pPr>
        <w:pStyle w:val="108"/>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hAnsi="Times New Roman" w:cs="Times New Roman"/>
        </w:rPr>
      </w:pPr>
      <w:bookmarkStart w:id="146" w:name="_Toc8394"/>
      <w:r>
        <w:rPr>
          <w:rFonts w:hint="eastAsia" w:cs="Times New Roman"/>
          <w:lang w:val="en-US" w:eastAsia="zh-CN"/>
        </w:rPr>
        <w:t>试验方法</w:t>
      </w:r>
      <w:bookmarkEnd w:id="146"/>
    </w:p>
    <w:p w14:paraId="323D885E">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hAnsi="Times New Roman" w:cs="Times New Roman"/>
          <w:lang w:val="en-US" w:eastAsia="zh-CN"/>
        </w:rPr>
      </w:pPr>
      <w:bookmarkStart w:id="147" w:name="_Toc12785"/>
      <w:r>
        <w:rPr>
          <w:rFonts w:hint="eastAsia" w:hAnsi="Times New Roman" w:cs="Times New Roman"/>
          <w:lang w:val="en-US" w:eastAsia="zh-CN"/>
        </w:rPr>
        <w:t>重金属及有害元素测定</w:t>
      </w:r>
      <w:bookmarkEnd w:id="147"/>
    </w:p>
    <w:p w14:paraId="133C703A">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按照《中华人民共和国药典（2025年版）》四部通则2321重金属及有害元素测定法执行，采用电感耦合等离子体质谱法（ICP-MS）或原子吸收分光光度法，分别测定成品中铅（Pb）、镉（Cd）、砷（As）、汞（Hg）、铜（Cu）的含量。</w:t>
      </w:r>
    </w:p>
    <w:p w14:paraId="7618DC44">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48" w:name="_Toc5032"/>
      <w:r>
        <w:rPr>
          <w:rFonts w:hint="default" w:hAnsi="Times New Roman" w:cs="Times New Roman"/>
          <w:lang w:val="en-US" w:eastAsia="zh-CN"/>
        </w:rPr>
        <w:t>毒性成分及刺激性物质测定</w:t>
      </w:r>
      <w:bookmarkEnd w:id="148"/>
    </w:p>
    <w:p w14:paraId="596167F4">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eastAsia"/>
          <w:lang w:val="en-US" w:eastAsia="zh-CN"/>
        </w:rPr>
        <w:t>按照</w:t>
      </w:r>
      <w:r>
        <w:rPr>
          <w:rFonts w:hint="default"/>
          <w:lang w:val="en-US" w:eastAsia="zh-CN"/>
        </w:rPr>
        <w:t>《中华人民共和国药典（2025年版）》四部通则0512高效液相色谱法、0514气相色谱法对应测定各类毒性及刺激性成分含量。</w:t>
      </w:r>
    </w:p>
    <w:p w14:paraId="63BE59B8">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49" w:name="_Toc31663"/>
      <w:r>
        <w:rPr>
          <w:rFonts w:hint="default" w:hAnsi="Times New Roman" w:cs="Times New Roman"/>
          <w:lang w:val="en-US" w:eastAsia="zh-CN"/>
        </w:rPr>
        <w:t>黏附力测定</w:t>
      </w:r>
      <w:bookmarkEnd w:id="149"/>
    </w:p>
    <w:p w14:paraId="331FE97D">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初黏力测定</w:t>
      </w:r>
    </w:p>
    <w:p w14:paraId="390B6BD2">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按照《中华人民共和国药典（2025年版）》四部通则0952贴剂黏附力测定法斜面滚球法执行。</w:t>
      </w:r>
    </w:p>
    <w:p w14:paraId="239B5B4D">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持黏力测定</w:t>
      </w:r>
    </w:p>
    <w:p w14:paraId="07C49853">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采用恒重砝码悬挂试验法，取成品贴膏剂，平整固定于标准试验板表面，保证粘贴面贴合无气泡、无褶皱。沿试样长度方向悬挂200g标准砝码，常温标准环境下持续放置30min，测量试样滑移位移值。平行测试3组试样</w:t>
      </w:r>
      <w:r>
        <w:rPr>
          <w:rFonts w:hint="eastAsia"/>
          <w:lang w:val="en-US" w:eastAsia="zh-CN"/>
        </w:rPr>
        <w:t>，取平均值作为测试结果</w:t>
      </w:r>
      <w:r>
        <w:rPr>
          <w:rFonts w:hint="default"/>
          <w:lang w:val="en-US" w:eastAsia="zh-CN"/>
        </w:rPr>
        <w:t>。</w:t>
      </w:r>
    </w:p>
    <w:p w14:paraId="25FFBEFC">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剥离强度测定</w:t>
      </w:r>
    </w:p>
    <w:p w14:paraId="145D5FCC">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按照GB/T 2792</w:t>
      </w:r>
      <w:r>
        <w:rPr>
          <w:rFonts w:hint="eastAsia"/>
          <w:lang w:val="en-US" w:eastAsia="zh-CN"/>
        </w:rPr>
        <w:t>的规定</w:t>
      </w:r>
      <w:r>
        <w:rPr>
          <w:rFonts w:hint="default"/>
          <w:lang w:val="en-US" w:eastAsia="zh-CN"/>
        </w:rPr>
        <w:t>执行</w:t>
      </w:r>
      <w:r>
        <w:rPr>
          <w:rFonts w:hint="eastAsia"/>
          <w:lang w:val="en-US" w:eastAsia="zh-CN"/>
        </w:rPr>
        <w:t>。</w:t>
      </w:r>
    </w:p>
    <w:p w14:paraId="0110188E">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50" w:name="_Toc30209"/>
      <w:r>
        <w:rPr>
          <w:rFonts w:hint="eastAsia" w:cs="Times New Roman"/>
          <w:lang w:val="en-US" w:eastAsia="zh-CN"/>
        </w:rPr>
        <w:t>剂量均一性试验</w:t>
      </w:r>
      <w:bookmarkEnd w:id="150"/>
    </w:p>
    <w:p w14:paraId="6D536E62">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随机取供试品20片，去除外包装及离型层，采用万分之一分析天平分别精密称重，记录每片实际重量，与产品标示重量对比，统计重量差异。</w:t>
      </w:r>
    </w:p>
    <w:p w14:paraId="618B536E">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51" w:name="_Toc8711"/>
      <w:r>
        <w:rPr>
          <w:rFonts w:hint="default" w:hAnsi="Times New Roman" w:cs="Times New Roman"/>
          <w:lang w:val="en-US" w:eastAsia="zh-CN"/>
        </w:rPr>
        <w:t>残留溶剂测定</w:t>
      </w:r>
      <w:bookmarkEnd w:id="151"/>
    </w:p>
    <w:p w14:paraId="28896B92">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按照《中华人民共和国药典（2025年版）》四部通则0941含量均匀度检查法执行。针对主药标示量大于2mg、且主药含量低于单贴质量25%的贴膏剂，取样测定单贴主药含量，计算均值A</w:t>
      </w:r>
      <w:r>
        <w:rPr>
          <w:rFonts w:hint="eastAsia"/>
          <w:lang w:val="en-US" w:eastAsia="zh-CN"/>
        </w:rPr>
        <w:t>及</w:t>
      </w:r>
      <w:r>
        <w:rPr>
          <w:rFonts w:hint="default"/>
          <w:lang w:val="en-US" w:eastAsia="zh-CN"/>
        </w:rPr>
        <w:t>标准差S</w:t>
      </w:r>
      <w:r>
        <w:rPr>
          <w:rFonts w:hint="eastAsia"/>
          <w:lang w:val="en-US" w:eastAsia="zh-CN"/>
        </w:rPr>
        <w:t>，应符合5.4.2的规定。</w:t>
      </w:r>
    </w:p>
    <w:p w14:paraId="680750B6">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52" w:name="_Toc30323"/>
      <w:r>
        <w:rPr>
          <w:rFonts w:hint="default" w:hAnsi="Times New Roman" w:cs="Times New Roman"/>
          <w:lang w:val="en-US" w:eastAsia="zh-CN"/>
        </w:rPr>
        <w:t>微生物</w:t>
      </w:r>
      <w:r>
        <w:rPr>
          <w:rFonts w:hint="eastAsia" w:hAnsi="Times New Roman" w:cs="Times New Roman"/>
          <w:lang w:val="en-US" w:eastAsia="zh-CN"/>
        </w:rPr>
        <w:t>限值</w:t>
      </w:r>
      <w:r>
        <w:rPr>
          <w:rFonts w:hint="default" w:hAnsi="Times New Roman" w:cs="Times New Roman"/>
          <w:lang w:val="en-US" w:eastAsia="zh-CN"/>
        </w:rPr>
        <w:t>测定</w:t>
      </w:r>
      <w:bookmarkEnd w:id="152"/>
    </w:p>
    <w:p w14:paraId="6053A7E0">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按照《中华人民共和国药典（2025年版）》四部通则1105、1106、1107非无菌药品微生物计数及控制菌检查法执行。分别测定需氧菌总数、霉菌和酵母菌总数，同时检查金黄色葡萄球菌、铜绿假单胞菌、大肠埃希菌。</w:t>
      </w:r>
    </w:p>
    <w:p w14:paraId="4CCD7803">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53" w:name="_Toc13160"/>
      <w:r>
        <w:rPr>
          <w:rFonts w:hint="default" w:hAnsi="Times New Roman" w:cs="Times New Roman"/>
          <w:lang w:val="en-US" w:eastAsia="zh-CN"/>
        </w:rPr>
        <w:t>皮肤</w:t>
      </w:r>
      <w:r>
        <w:rPr>
          <w:rFonts w:hint="eastAsia" w:hAnsi="Times New Roman" w:cs="Times New Roman"/>
          <w:lang w:val="en-US" w:eastAsia="zh-CN"/>
        </w:rPr>
        <w:t>生物安全性</w:t>
      </w:r>
      <w:r>
        <w:rPr>
          <w:rFonts w:hint="default" w:hAnsi="Times New Roman" w:cs="Times New Roman"/>
          <w:lang w:val="en-US" w:eastAsia="zh-CN"/>
        </w:rPr>
        <w:t>试验</w:t>
      </w:r>
      <w:bookmarkEnd w:id="153"/>
    </w:p>
    <w:p w14:paraId="6D699AB4">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皮肤刺激性</w:t>
      </w:r>
    </w:p>
    <w:p w14:paraId="7F192F2A">
      <w:pPr>
        <w:pStyle w:val="60"/>
        <w:keepNext w:val="0"/>
        <w:keepLines w:val="0"/>
        <w:pageBreakBefore w:val="0"/>
        <w:kinsoku/>
        <w:wordWrap/>
        <w:overflowPunct/>
        <w:topLinePunct w:val="0"/>
        <w:bidi w:val="0"/>
        <w:snapToGrid/>
        <w:spacing w:line="240" w:lineRule="auto"/>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按照GB/T 16886.10的规定</w:t>
      </w:r>
      <w:r>
        <w:rPr>
          <w:rFonts w:hint="default" w:ascii="宋体" w:hAnsi="Times New Roman" w:eastAsia="宋体" w:cs="Times New Roman"/>
          <w:lang w:val="en-US" w:eastAsia="zh-CN"/>
        </w:rPr>
        <w:t>执行</w:t>
      </w:r>
      <w:r>
        <w:rPr>
          <w:rFonts w:hint="eastAsia" w:ascii="宋体" w:hAnsi="Times New Roman" w:eastAsia="宋体" w:cs="Times New Roman"/>
          <w:lang w:val="en-US" w:eastAsia="zh-CN"/>
        </w:rPr>
        <w:t>。</w:t>
      </w:r>
    </w:p>
    <w:p w14:paraId="44D21CA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皮肤致敏性</w:t>
      </w:r>
    </w:p>
    <w:p w14:paraId="38FF2F9A">
      <w:pPr>
        <w:pStyle w:val="60"/>
        <w:keepNext w:val="0"/>
        <w:keepLines w:val="0"/>
        <w:pageBreakBefore w:val="0"/>
        <w:kinsoku/>
        <w:wordWrap/>
        <w:overflowPunct/>
        <w:topLinePunct w:val="0"/>
        <w:bidi w:val="0"/>
        <w:snapToGrid/>
        <w:spacing w:line="240" w:lineRule="auto"/>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按照GB/T 16886.10的规定</w:t>
      </w:r>
      <w:r>
        <w:rPr>
          <w:rFonts w:hint="default" w:ascii="宋体" w:hAnsi="Times New Roman" w:eastAsia="宋体" w:cs="Times New Roman"/>
          <w:lang w:val="en-US" w:eastAsia="zh-CN"/>
        </w:rPr>
        <w:t>执行</w:t>
      </w:r>
      <w:r>
        <w:rPr>
          <w:rFonts w:hint="eastAsia" w:ascii="宋体" w:hAnsi="Times New Roman" w:eastAsia="宋体" w:cs="Times New Roman"/>
          <w:lang w:val="en-US" w:eastAsia="zh-CN"/>
        </w:rPr>
        <w:t>。</w:t>
      </w:r>
    </w:p>
    <w:p w14:paraId="0CD2774E">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hAnsi="Times New Roman" w:cs="Times New Roman"/>
          <w:lang w:val="en-US" w:eastAsia="zh-CN"/>
        </w:rPr>
      </w:pPr>
      <w:r>
        <w:rPr>
          <w:rFonts w:hint="eastAsia" w:hAnsi="Times New Roman" w:cs="Times New Roman"/>
          <w:lang w:val="en-US" w:eastAsia="zh-CN"/>
        </w:rPr>
        <w:t>细胞毒性</w:t>
      </w:r>
    </w:p>
    <w:p w14:paraId="5241A248">
      <w:pPr>
        <w:pStyle w:val="60"/>
        <w:keepNext w:val="0"/>
        <w:keepLines w:val="0"/>
        <w:pageBreakBefore w:val="0"/>
        <w:kinsoku/>
        <w:wordWrap/>
        <w:overflowPunct/>
        <w:topLinePunct w:val="0"/>
        <w:bidi w:val="0"/>
        <w:snapToGrid/>
        <w:spacing w:line="240" w:lineRule="auto"/>
        <w:textAlignment w:val="auto"/>
        <w:rPr>
          <w:rFonts w:hint="eastAsia" w:ascii="宋体" w:hAnsi="Times New Roman" w:eastAsia="宋体" w:cs="Times New Roman"/>
          <w:lang w:val="en-US" w:eastAsia="zh-CN"/>
        </w:rPr>
      </w:pPr>
      <w:r>
        <w:rPr>
          <w:rFonts w:hint="eastAsia" w:ascii="宋体" w:hAnsi="Times New Roman" w:eastAsia="宋体" w:cs="Times New Roman"/>
          <w:lang w:val="en-US" w:eastAsia="zh-CN"/>
        </w:rPr>
        <w:t>按照GB/T 16886.5的规定</w:t>
      </w:r>
      <w:r>
        <w:rPr>
          <w:rFonts w:hint="default" w:ascii="宋体" w:hAnsi="Times New Roman" w:eastAsia="宋体" w:cs="Times New Roman"/>
          <w:lang w:val="en-US" w:eastAsia="zh-CN"/>
        </w:rPr>
        <w:t>执行</w:t>
      </w:r>
      <w:r>
        <w:rPr>
          <w:rFonts w:hint="eastAsia" w:ascii="宋体" w:hAnsi="Times New Roman" w:eastAsia="宋体" w:cs="Times New Roman"/>
          <w:lang w:val="en-US" w:eastAsia="zh-CN"/>
        </w:rPr>
        <w:t>。</w:t>
      </w:r>
    </w:p>
    <w:p w14:paraId="339B982E">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54" w:name="_Toc17104"/>
      <w:r>
        <w:rPr>
          <w:rFonts w:hint="default" w:hAnsi="Times New Roman" w:cs="Times New Roman"/>
          <w:lang w:val="en-US" w:eastAsia="zh-CN"/>
        </w:rPr>
        <w:t>体外透皮吸收试验</w:t>
      </w:r>
      <w:bookmarkEnd w:id="154"/>
    </w:p>
    <w:p w14:paraId="591364A8">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按照《中华人民共和国药典（2025年版）》四部通则0971透皮释度测定法执行，采用Franz扩散池、标准离体皮肤模型开展体外透皮试验。</w:t>
      </w:r>
    </w:p>
    <w:p w14:paraId="50A03DD6">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default" w:hAnsi="Times New Roman" w:cs="Times New Roman"/>
          <w:lang w:val="en-US" w:eastAsia="zh-CN"/>
        </w:rPr>
      </w:pPr>
      <w:bookmarkStart w:id="155" w:name="_Toc8948"/>
      <w:r>
        <w:rPr>
          <w:rFonts w:hint="default" w:hAnsi="Times New Roman" w:cs="Times New Roman"/>
          <w:lang w:val="en-US" w:eastAsia="zh-CN"/>
        </w:rPr>
        <w:t>发热温度测定</w:t>
      </w:r>
      <w:bookmarkEnd w:id="155"/>
    </w:p>
    <w:p w14:paraId="1DE377C0">
      <w:pPr>
        <w:pStyle w:val="60"/>
        <w:keepNext w:val="0"/>
        <w:keepLines w:val="0"/>
        <w:pageBreakBefore w:val="0"/>
        <w:widowControl/>
        <w:kinsoku/>
        <w:wordWrap/>
        <w:overflowPunct/>
        <w:topLinePunct w:val="0"/>
        <w:autoSpaceDE w:val="0"/>
        <w:autoSpaceDN w:val="0"/>
        <w:bidi w:val="0"/>
        <w:adjustRightInd/>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针对自发热型中药贴膏剂，采用多点温度采集记录仪开展全程温度监测，设备精度不大于±0.2℃。在标准试验环境下激活贴膏剂，连续监测全程温度变化，记录最高温度、40℃以上区间平均温度、≥45℃持续时长、≥50℃持续时长、30min内升温速率、同贴多点温差。</w:t>
      </w:r>
    </w:p>
    <w:p w14:paraId="3345591D">
      <w:pPr>
        <w:pStyle w:val="108"/>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hAnsi="Times New Roman" w:cs="Times New Roman"/>
          <w:lang w:val="en-US" w:eastAsia="zh-CN"/>
        </w:rPr>
      </w:pPr>
      <w:bookmarkStart w:id="156" w:name="_Toc29665"/>
      <w:r>
        <w:rPr>
          <w:rFonts w:hint="default" w:hAnsi="Times New Roman" w:cs="Times New Roman"/>
          <w:lang w:val="en-US" w:eastAsia="zh-CN"/>
        </w:rPr>
        <w:t>安全使用规范</w:t>
      </w:r>
      <w:bookmarkEnd w:id="156"/>
    </w:p>
    <w:p w14:paraId="2B27095E">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通用使用规范</w:t>
      </w:r>
    </w:p>
    <w:p w14:paraId="6513418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使用前应清洁贴敷部位皮肤，保持干燥，避免在皮肤破损、溃疡、感染或皮疹处贴敷。</w:t>
      </w:r>
    </w:p>
    <w:p w14:paraId="7A61D6D5">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首次使用前应进行皮肤过敏测试：取小片贴膏剂贴于前臂内侧或耳后，观察24h，无红肿、瘙痒、皮疹等过敏反应方可正常使用。</w:t>
      </w:r>
    </w:p>
    <w:p w14:paraId="05F3015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单次贴敷时间：成人一般为2h</w:t>
      </w:r>
      <w:r>
        <w:rPr>
          <w:rFonts w:hint="eastAsia" w:ascii="宋体" w:hAnsi="宋体" w:eastAsia="宋体" w:cs="宋体"/>
          <w:sz w:val="21"/>
          <w:lang w:val="en-US" w:eastAsia="zh-CN" w:bidi="ar-SA"/>
        </w:rPr>
        <w:t>～</w:t>
      </w:r>
      <w:r>
        <w:rPr>
          <w:rFonts w:hint="default" w:ascii="宋体" w:hAnsi="宋体" w:eastAsia="宋体" w:cs="宋体"/>
          <w:sz w:val="21"/>
          <w:lang w:val="en-US" w:eastAsia="zh-CN" w:bidi="ar-SA"/>
        </w:rPr>
        <w:t>4h，皮肤敏感者1h</w:t>
      </w:r>
      <w:r>
        <w:rPr>
          <w:rFonts w:hint="eastAsia" w:ascii="宋体" w:hAnsi="宋体" w:eastAsia="宋体" w:cs="宋体"/>
          <w:sz w:val="21"/>
          <w:lang w:val="en-US" w:eastAsia="zh-CN" w:bidi="ar-SA"/>
        </w:rPr>
        <w:t>～</w:t>
      </w:r>
      <w:r>
        <w:rPr>
          <w:rFonts w:hint="default" w:ascii="宋体" w:hAnsi="宋体" w:eastAsia="宋体" w:cs="宋体"/>
          <w:sz w:val="21"/>
          <w:lang w:val="en-US" w:eastAsia="zh-CN" w:bidi="ar-SA"/>
        </w:rPr>
        <w:t>2h，儿童（3岁以上）不超过2h。每日使用不超过1次，连续使用不超过7天为一疗程，疗程间隔不少于3天。</w:t>
      </w:r>
    </w:p>
    <w:p w14:paraId="065DAC6E">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ascii="宋体" w:hAnsi="宋体" w:eastAsia="宋体" w:cs="宋体"/>
          <w:sz w:val="21"/>
          <w:lang w:val="en-US" w:eastAsia="zh-CN" w:bidi="ar-SA"/>
        </w:rPr>
      </w:pPr>
      <w:r>
        <w:rPr>
          <w:rFonts w:hint="default" w:ascii="宋体" w:hAnsi="宋体" w:eastAsia="宋体" w:cs="宋体"/>
          <w:sz w:val="21"/>
          <w:lang w:val="en-US" w:eastAsia="zh-CN" w:bidi="ar-SA"/>
        </w:rPr>
        <w:t>贴敷期间如出现明显灼热、瘙痒、红肿、刺痛等不适，应立即取下，用清水冲洗局部，必要时就医。</w:t>
      </w:r>
    </w:p>
    <w:p w14:paraId="3F13C54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lang w:val="en-US" w:eastAsia="zh-CN"/>
        </w:rPr>
      </w:pPr>
      <w:r>
        <w:rPr>
          <w:rFonts w:hint="default" w:ascii="宋体" w:hAnsi="宋体" w:eastAsia="宋体" w:cs="宋体"/>
          <w:sz w:val="21"/>
          <w:lang w:val="en-US" w:eastAsia="zh-CN" w:bidi="ar-SA"/>
        </w:rPr>
        <w:t>贴敷部位应轮换，同一部位连续贴敷间隔不少于24h，避免长期同一部位贴敷导致皮肤损伤。</w:t>
      </w:r>
    </w:p>
    <w:p w14:paraId="3A7A9B06">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各体质人群使用要求</w:t>
      </w:r>
    </w:p>
    <w:p w14:paraId="1EACA9C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平和质</w:t>
      </w:r>
    </w:p>
    <w:p w14:paraId="7733EA47">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2D5F72A2">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可根据症状需要选用相应功效的贴膏剂，无特殊禁忌；</w:t>
      </w:r>
    </w:p>
    <w:p w14:paraId="2D02230D">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单次贴敷时间可为3h～4h，连续使用不超过10天；</w:t>
      </w:r>
    </w:p>
    <w:p w14:paraId="2494784F">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夏季高温环境下贴敷时间应缩短至2h以内。</w:t>
      </w:r>
    </w:p>
    <w:p w14:paraId="3BD959E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气虚质</w:t>
      </w:r>
    </w:p>
    <w:p w14:paraId="783BDDF8">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452CC70E">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宜选用具有益气健脾、温阳通络功效的贴膏剂，如含黄芪、党参、白术、桂枝等成分的制剂；</w:t>
      </w:r>
    </w:p>
    <w:p w14:paraId="6F4161E7">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慎用苦寒清热类贴膏剂（如含大黄、黄连、冰片等），以免损伤阳气；</w:t>
      </w:r>
    </w:p>
    <w:p w14:paraId="714DAC1E">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单次贴敷时间2h～3h，避免长时间贴敷耗气；</w:t>
      </w:r>
    </w:p>
    <w:p w14:paraId="396B507D">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贴敷期间注意休息，避免过度劳累。</w:t>
      </w:r>
    </w:p>
    <w:p w14:paraId="392F38C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阳虚质</w:t>
      </w:r>
    </w:p>
    <w:p w14:paraId="172EC934">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1D43236C">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宜选用温阳散寒、通络止痛类贴膏剂，如含附子（制）、干姜、肉桂、吴茱萸等成分的制剂；</w:t>
      </w:r>
    </w:p>
    <w:p w14:paraId="2794A6B2">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禁用或慎用寒凉性贴膏剂，如含冰片、薄荷脑、大黄、黄连等成分的制剂；</w:t>
      </w:r>
    </w:p>
    <w:p w14:paraId="6C3C2456">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单次贴敷时间3h～4h，可在睡前使用以增强温阳效果；</w:t>
      </w:r>
    </w:p>
    <w:p w14:paraId="2DFF5B93">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贴敷部位注意保暖，避免受凉。</w:t>
      </w:r>
    </w:p>
    <w:p w14:paraId="0472025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阴虚质</w:t>
      </w:r>
    </w:p>
    <w:p w14:paraId="295284A2">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67A25C3D">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慎用温热性贴膏剂，如含附子、干姜、肉桂、白芥子、细辛等成分的制剂；确需使用时，单次贴敷时间不超过2h，并密切观察皮肤反应；。</w:t>
      </w:r>
    </w:p>
    <w:p w14:paraId="4EE4815D">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宜选用具有滋阴润燥、清热通络功效的贴膏剂；</w:t>
      </w:r>
    </w:p>
    <w:p w14:paraId="6EDC3DDA">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避免在夏季高温时段使用温热类贴膏剂；</w:t>
      </w:r>
    </w:p>
    <w:p w14:paraId="656E7B9D">
      <w:pPr>
        <w:pStyle w:val="178"/>
        <w:keepNext w:val="0"/>
        <w:keepLines w:val="0"/>
        <w:pageBreakBefore w:val="0"/>
        <w:numPr>
          <w:ilvl w:val="0"/>
          <w:numId w:val="4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贴敷期间多饮水，忌食辛辣燥热食物。</w:t>
      </w:r>
    </w:p>
    <w:p w14:paraId="4B8DEDE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痰湿质</w:t>
      </w:r>
    </w:p>
    <w:p w14:paraId="354AB8D0">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2EB2D55C">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宜选用具有化痰祛湿、健脾通络功效的贴膏剂，如含半夏、陈皮、茯苓、苍术等成分的制剂；</w:t>
      </w:r>
    </w:p>
    <w:p w14:paraId="5758B9BB">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慎用滋腻碍湿类贴膏剂，如含熟地黄、阿胶、蜂蜜等成分的制剂；</w:t>
      </w:r>
    </w:p>
    <w:p w14:paraId="066E3CB8">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单次贴敷时间2h～3h，因皮肤油脂分泌较多，应注意贴膏剂的黏附性，必要时增加固定措施；</w:t>
      </w:r>
    </w:p>
    <w:p w14:paraId="1B84EC59">
      <w:pPr>
        <w:pStyle w:val="178"/>
        <w:keepNext w:val="0"/>
        <w:keepLines w:val="0"/>
        <w:pageBreakBefore w:val="0"/>
        <w:numPr>
          <w:ilvl w:val="0"/>
          <w:numId w:val="4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贴敷前应彻底清洁皮肤，去除油脂。</w:t>
      </w:r>
    </w:p>
    <w:p w14:paraId="040708BC">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lang w:val="en-US" w:eastAsia="zh-CN"/>
        </w:rPr>
      </w:pPr>
      <w:r>
        <w:rPr>
          <w:rFonts w:hint="default" w:hAnsi="Times New Roman" w:cs="Times New Roman"/>
          <w:lang w:val="en-US" w:eastAsia="zh-CN"/>
        </w:rPr>
        <w:t>湿热质</w:t>
      </w:r>
    </w:p>
    <w:p w14:paraId="444A07E6">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5BE2ABAE">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禁用温热性贴膏剂，如含附子、干姜、肉桂、白芥子等成分的制剂；</w:t>
      </w:r>
    </w:p>
    <w:p w14:paraId="2FF4D67C">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宜选用清热利湿、凉血解毒类贴膏剂，如含黄柏、黄连、大黄、苦参等成分的制剂；</w:t>
      </w:r>
    </w:p>
    <w:p w14:paraId="5A8DD18E">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单次贴敷时间不超过2h，夏季不超过1.5h。</w:t>
      </w:r>
    </w:p>
    <w:p w14:paraId="4A10A0C2">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皮肤易生痤疮者，避免在面部及痤疮部位贴敷；</w:t>
      </w:r>
    </w:p>
    <w:p w14:paraId="6B4EEEC8">
      <w:pPr>
        <w:pStyle w:val="178"/>
        <w:keepNext w:val="0"/>
        <w:keepLines w:val="0"/>
        <w:pageBreakBefore w:val="0"/>
        <w:numPr>
          <w:ilvl w:val="0"/>
          <w:numId w:val="43"/>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贴敷期间忌食辛辣油腻、饮酒。</w:t>
      </w:r>
    </w:p>
    <w:p w14:paraId="24312C6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血瘀质</w:t>
      </w:r>
    </w:p>
    <w:p w14:paraId="7A5E8209">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3FA7207E">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宜选用活血化瘀、通络止痛类贴膏剂，如含红花、川芎、乳香、没药、三七等成分的制剂；</w:t>
      </w:r>
    </w:p>
    <w:p w14:paraId="2185B23B">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孕妇禁用活血化瘀类贴膏剂；</w:t>
      </w:r>
    </w:p>
    <w:p w14:paraId="61A4EB40">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月经量过多者经期禁用；</w:t>
      </w:r>
    </w:p>
    <w:p w14:paraId="6093DC7C">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单次贴敷时间2h～4h；</w:t>
      </w:r>
    </w:p>
    <w:p w14:paraId="54DD4C75">
      <w:pPr>
        <w:pStyle w:val="178"/>
        <w:keepNext w:val="0"/>
        <w:keepLines w:val="0"/>
        <w:pageBreakBefore w:val="0"/>
        <w:numPr>
          <w:ilvl w:val="0"/>
          <w:numId w:val="44"/>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有出血倾向或凝血功能障碍者禁用。</w:t>
      </w:r>
    </w:p>
    <w:p w14:paraId="6596A50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气郁质</w:t>
      </w:r>
    </w:p>
    <w:p w14:paraId="4AD754CD">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03BD8B02">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宜选用疏肝理气、解郁安神类贴膏剂，如含柴胡、香附、郁金、合欢皮等成分的制剂；</w:t>
      </w:r>
    </w:p>
    <w:p w14:paraId="45A270FA">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可选用芳香类贴膏剂（含玫瑰花、茉莉花、檀香等）以助疏肝解郁；</w:t>
      </w:r>
    </w:p>
    <w:p w14:paraId="4FE635A4">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单次贴敷时间2h～3h，可在情绪低落时使用；</w:t>
      </w:r>
    </w:p>
    <w:p w14:paraId="6629D6B4">
      <w:pPr>
        <w:pStyle w:val="178"/>
        <w:keepNext w:val="0"/>
        <w:keepLines w:val="0"/>
        <w:pageBreakBefore w:val="0"/>
        <w:numPr>
          <w:ilvl w:val="0"/>
          <w:numId w:val="45"/>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贴敷期间配合情志调节，保持心情舒畅。</w:t>
      </w:r>
    </w:p>
    <w:p w14:paraId="69704BE7">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特禀质</w:t>
      </w:r>
    </w:p>
    <w:p w14:paraId="6668C75B">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4F4023EE">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为高风险人群，使用前必须进行皮肤过敏测试，测试时间延长至48h；</w:t>
      </w:r>
    </w:p>
    <w:p w14:paraId="627A29BB">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禁用含已知致敏成分的贴膏剂，如含麝香、白芥子、细辛、乳香、没药、蜂胶等易致敏成分的制剂；</w:t>
      </w:r>
    </w:p>
    <w:p w14:paraId="202ECDCF">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禁用含刺激性药物（如斑蝥、生天南星、生半夏等）的贴膏剂；</w:t>
      </w:r>
    </w:p>
    <w:p w14:paraId="7213036A">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首次使用应从最小面积（不超过5cm²）、最短时间（不超过1h）开始，逐步增加；</w:t>
      </w:r>
    </w:p>
    <w:p w14:paraId="0941D99A">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有药物过敏史或家族过敏史者，应在医师指导下使用；</w:t>
      </w:r>
    </w:p>
    <w:p w14:paraId="6F82F2E4">
      <w:pPr>
        <w:pStyle w:val="178"/>
        <w:keepNext w:val="0"/>
        <w:keepLines w:val="0"/>
        <w:pageBreakBefore w:val="0"/>
        <w:numPr>
          <w:ilvl w:val="0"/>
          <w:numId w:val="46"/>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一旦出现过敏反应，应立即停用并就医，随身携带抗组胺药物或肾上腺素自动注射笔（严重过敏史者）；</w:t>
      </w:r>
    </w:p>
    <w:p w14:paraId="2DC82208">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特殊人群使用要求</w:t>
      </w:r>
    </w:p>
    <w:p w14:paraId="763C0AD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孕妇</w:t>
      </w:r>
    </w:p>
    <w:p w14:paraId="14AC2150">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6A13C532">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孕妇禁用含活血化瘀、芳香走窜、攻下通腑成分的贴膏剂，包括但不限于麝香、红花、桃仁、乳香、没药、冰片、大黄、芒硝等；</w:t>
      </w:r>
    </w:p>
    <w:p w14:paraId="74E6EC5A">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孕妇禁用含毒性药材的贴膏剂；</w:t>
      </w:r>
    </w:p>
    <w:p w14:paraId="244A35EC">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孕妇腹部、腰骶部禁止贴敷任何贴膏剂；</w:t>
      </w:r>
    </w:p>
    <w:p w14:paraId="44228D4C">
      <w:pPr>
        <w:pStyle w:val="178"/>
        <w:keepNext w:val="0"/>
        <w:keepLines w:val="0"/>
        <w:pageBreakBefore w:val="0"/>
        <w:numPr>
          <w:ilvl w:val="0"/>
          <w:numId w:val="47"/>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孕妇其他部位确需使用时，应在产科医师和中医师共同指导下选择安全性高的品种，单次贴敷时间不超过2h。</w:t>
      </w:r>
    </w:p>
    <w:p w14:paraId="19647BA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婴幼儿及儿童</w:t>
      </w:r>
    </w:p>
    <w:p w14:paraId="06E3687B">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38002F3C">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2岁以下婴幼儿禁用中药贴膏剂；</w:t>
      </w:r>
    </w:p>
    <w:p w14:paraId="70CF621F">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2岁～3岁幼儿应在医师指导下使用专用儿童贴膏剂，单次贴敷时间不超过1h，贴敷面积不超过体表总面积的1/20（约相当于成人手掌面积的1/4）；</w:t>
      </w:r>
    </w:p>
    <w:p w14:paraId="54E7472E">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3岁～6岁儿童单次贴敷时间不超过1.5h，6岁～12岁儿童不超过2h；</w:t>
      </w:r>
    </w:p>
    <w:p w14:paraId="15105F22">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儿童皮肤娇嫩，应选用刺激性小、基质温和的凝胶膏剂，避免使用含白芥子、细辛、斑蝥等刺激性药物的橡胶膏剂和黑膏药；</w:t>
      </w:r>
    </w:p>
    <w:p w14:paraId="43B72700">
      <w:pPr>
        <w:pStyle w:val="178"/>
        <w:keepNext w:val="0"/>
        <w:keepLines w:val="0"/>
        <w:pageBreakBefore w:val="0"/>
        <w:numPr>
          <w:ilvl w:val="0"/>
          <w:numId w:val="4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儿童使用时应有成人监护，防止误食或误入眼、口、鼻。</w:t>
      </w:r>
    </w:p>
    <w:p w14:paraId="2309A45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老年人</w:t>
      </w:r>
    </w:p>
    <w:p w14:paraId="2C9D355A">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7DC58A90">
      <w:pPr>
        <w:pStyle w:val="178"/>
        <w:keepNext w:val="0"/>
        <w:keepLines w:val="0"/>
        <w:pageBreakBefore w:val="0"/>
        <w:numPr>
          <w:ilvl w:val="0"/>
          <w:numId w:val="4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65岁以上老年人皮肤萎缩、屏障功能减退，单次贴敷时间不超过2h；</w:t>
      </w:r>
    </w:p>
    <w:p w14:paraId="056E043F">
      <w:pPr>
        <w:pStyle w:val="178"/>
        <w:keepNext w:val="0"/>
        <w:keepLines w:val="0"/>
        <w:pageBreakBefore w:val="0"/>
        <w:numPr>
          <w:ilvl w:val="0"/>
          <w:numId w:val="4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患有糖尿病外周神经病变者，皮肤感觉减退，应缩短贴敷时间至1h以内，并加强皮肤观察，防止烫伤或皮肤损伤；</w:t>
      </w:r>
    </w:p>
    <w:p w14:paraId="77EDC5A2">
      <w:pPr>
        <w:pStyle w:val="178"/>
        <w:keepNext w:val="0"/>
        <w:keepLines w:val="0"/>
        <w:pageBreakBefore w:val="0"/>
        <w:numPr>
          <w:ilvl w:val="0"/>
          <w:numId w:val="4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患有严重心、肝、肾功能不全者，应在医师指导下使用；</w:t>
      </w:r>
    </w:p>
    <w:p w14:paraId="3DA1DF08">
      <w:pPr>
        <w:pStyle w:val="178"/>
        <w:keepNext w:val="0"/>
        <w:keepLines w:val="0"/>
        <w:pageBreakBefore w:val="0"/>
        <w:numPr>
          <w:ilvl w:val="0"/>
          <w:numId w:val="4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长期卧床者应避免在骨突部位和受压部位贴敷。</w:t>
      </w:r>
    </w:p>
    <w:p w14:paraId="1D2F6CB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default" w:hAnsi="Times New Roman" w:cs="Times New Roman"/>
          <w:lang w:val="en-US" w:eastAsia="zh-CN"/>
        </w:rPr>
      </w:pPr>
      <w:r>
        <w:rPr>
          <w:rFonts w:hint="default" w:hAnsi="Times New Roman" w:cs="Times New Roman"/>
          <w:lang w:val="en-US" w:eastAsia="zh-CN"/>
        </w:rPr>
        <w:t>其他特殊人群</w:t>
      </w:r>
    </w:p>
    <w:p w14:paraId="1135B88D">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具体要求如下：</w:t>
      </w:r>
    </w:p>
    <w:p w14:paraId="3E935A70">
      <w:pPr>
        <w:pStyle w:val="178"/>
        <w:keepNext w:val="0"/>
        <w:keepLines w:val="0"/>
        <w:pageBreakBefore w:val="0"/>
        <w:numPr>
          <w:ilvl w:val="0"/>
          <w:numId w:val="5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糖尿病患者：慎用发热型贴膏剂（如暖宝宝类中药贴），皮肤感觉减退者禁用；使用常规贴膏剂时单次贴敷时间不超过2h，每日检查贴敷部位皮肤；</w:t>
      </w:r>
    </w:p>
    <w:p w14:paraId="613B506C">
      <w:pPr>
        <w:pStyle w:val="178"/>
        <w:keepNext w:val="0"/>
        <w:keepLines w:val="0"/>
        <w:pageBreakBefore w:val="0"/>
        <w:numPr>
          <w:ilvl w:val="0"/>
          <w:numId w:val="5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皮肤病患者：皮肤有创伤、溃疡、感染、湿疹急性期、银屑病进行期者禁用贴膏剂；</w:t>
      </w:r>
    </w:p>
    <w:p w14:paraId="1EB769C0">
      <w:pPr>
        <w:pStyle w:val="178"/>
        <w:keepNext w:val="0"/>
        <w:keepLines w:val="0"/>
        <w:pageBreakBefore w:val="0"/>
        <w:numPr>
          <w:ilvl w:val="0"/>
          <w:numId w:val="5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发热患者：体温超过38.5℃时暂停使用温热性贴膏剂；</w:t>
      </w:r>
    </w:p>
    <w:p w14:paraId="7F61B6AF">
      <w:pPr>
        <w:pStyle w:val="178"/>
        <w:keepNext w:val="0"/>
        <w:keepLines w:val="0"/>
        <w:pageBreakBefore w:val="0"/>
        <w:numPr>
          <w:ilvl w:val="0"/>
          <w:numId w:val="50"/>
        </w:numPr>
        <w:kinsoku/>
        <w:wordWrap/>
        <w:overflowPunct/>
        <w:topLinePunct w:val="0"/>
        <w:bidi w:val="0"/>
        <w:snapToGrid/>
        <w:spacing w:line="240" w:lineRule="auto"/>
        <w:textAlignment w:val="auto"/>
        <w:rPr>
          <w:rFonts w:hint="default" w:ascii="宋体" w:hAnsi="Times New Roman" w:eastAsia="宋体" w:cs="Times New Roman"/>
          <w:sz w:val="21"/>
          <w:highlight w:val="none"/>
          <w:lang w:val="en-US" w:eastAsia="zh-CN" w:bidi="ar-SA"/>
        </w:rPr>
      </w:pPr>
      <w:r>
        <w:rPr>
          <w:rFonts w:hint="eastAsia" w:ascii="宋体" w:hAnsi="宋体" w:eastAsia="宋体" w:cs="宋体"/>
          <w:lang w:val="en-US" w:eastAsia="zh-CN"/>
        </w:rPr>
        <w:t>月经期女性：月经量多者禁用活血化瘀类贴膏剂；痛经者可在医师指导下使用温经散寒类贴膏剂。</w:t>
      </w:r>
    </w:p>
    <w:p w14:paraId="683EE6B7">
      <w:pPr>
        <w:pStyle w:val="108"/>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hAnsi="Times New Roman" w:cs="Times New Roman"/>
          <w:lang w:val="en-US" w:eastAsia="zh-CN"/>
        </w:rPr>
      </w:pPr>
      <w:bookmarkStart w:id="157" w:name="_Toc6075"/>
      <w:r>
        <w:rPr>
          <w:rFonts w:hint="default" w:hAnsi="Times New Roman" w:cs="Times New Roman"/>
          <w:lang w:val="en-US" w:eastAsia="zh-CN"/>
        </w:rPr>
        <w:t>标签与说明书</w:t>
      </w:r>
      <w:bookmarkEnd w:id="157"/>
    </w:p>
    <w:p w14:paraId="7B283AB8">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标签</w:t>
      </w:r>
    </w:p>
    <w:p w14:paraId="2E4580F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宋体" w:eastAsia="宋体" w:cs="宋体"/>
          <w:sz w:val="21"/>
          <w:lang w:val="en-US" w:eastAsia="zh-CN" w:bidi="ar-SA"/>
        </w:rPr>
      </w:pPr>
      <w:r>
        <w:rPr>
          <w:rFonts w:hint="eastAsia" w:ascii="宋体" w:hAnsi="宋体" w:eastAsia="宋体" w:cs="宋体"/>
          <w:sz w:val="21"/>
          <w:lang w:val="en-US" w:eastAsia="zh-CN" w:bidi="ar-SA"/>
        </w:rPr>
        <w:t>产品最小销售包装标签应至少标注以下内容：</w:t>
      </w:r>
    </w:p>
    <w:p w14:paraId="3CFD7ADC">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产品名称；</w:t>
      </w:r>
    </w:p>
    <w:p w14:paraId="050C895C">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规格（每贴尺寸及膏重）；</w:t>
      </w:r>
    </w:p>
    <w:p w14:paraId="53656F8E">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生产企业名称、地址、联系方式；</w:t>
      </w:r>
    </w:p>
    <w:p w14:paraId="2175EE22">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产品执行标准号；</w:t>
      </w:r>
    </w:p>
    <w:p w14:paraId="7AE331FB">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生产日期或批号；</w:t>
      </w:r>
    </w:p>
    <w:p w14:paraId="65264E11">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有效期；</w:t>
      </w:r>
    </w:p>
    <w:p w14:paraId="3CF48ADB">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贮存条件（应明确标注温度范围：常规贴膏剂“置于阴凉干燥处，温度不超过25℃”；凝胶膏剂“2℃～25℃保存，不得冷冻”；含挥发性成分的贴膏剂“密封保存”）；</w:t>
      </w:r>
    </w:p>
    <w:p w14:paraId="5397E6CF">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“外用”标识；</w:t>
      </w:r>
    </w:p>
    <w:p w14:paraId="1CD50397">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体质适配提示（如“适合阳虚质、血瘀质人群”或“阴虚质、湿热质人群慎用”）；</w:t>
      </w:r>
    </w:p>
    <w:p w14:paraId="1CE5ADD8">
      <w:pPr>
        <w:pStyle w:val="178"/>
        <w:keepNext w:val="0"/>
        <w:keepLines w:val="0"/>
        <w:pageBreakBefore w:val="0"/>
        <w:numPr>
          <w:ilvl w:val="0"/>
          <w:numId w:val="51"/>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禁忌人群提示（如“孕妇禁用”“2岁以下婴幼儿禁用”）。</w:t>
      </w:r>
    </w:p>
    <w:p w14:paraId="4FBA565C">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宋体" w:eastAsia="宋体" w:cs="宋体"/>
          <w:sz w:val="21"/>
          <w:lang w:val="en-US" w:eastAsia="zh-CN" w:bidi="ar-SA"/>
        </w:rPr>
      </w:pPr>
      <w:r>
        <w:rPr>
          <w:rFonts w:hint="eastAsia" w:ascii="宋体" w:hAnsi="宋体" w:eastAsia="宋体" w:cs="宋体"/>
          <w:sz w:val="21"/>
          <w:lang w:val="en-US" w:eastAsia="zh-CN" w:bidi="ar-SA"/>
        </w:rPr>
        <w:t>标签图示标志应符合GB/T 191的规定。</w:t>
      </w:r>
    </w:p>
    <w:p w14:paraId="1FCD2AB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宋体" w:eastAsia="宋体" w:cs="宋体"/>
          <w:sz w:val="21"/>
          <w:lang w:val="en-US" w:eastAsia="zh-CN" w:bidi="ar-SA"/>
        </w:rPr>
      </w:pPr>
      <w:r>
        <w:rPr>
          <w:rFonts w:hint="eastAsia" w:ascii="宋体" w:hAnsi="宋体" w:eastAsia="宋体" w:cs="宋体"/>
          <w:sz w:val="21"/>
          <w:lang w:val="en-US" w:eastAsia="zh-CN" w:bidi="ar-SA"/>
        </w:rPr>
        <w:t>含毒性药材的贴膏剂，标签应在显著位置标注安全警示语，如“含毒性药材，严格按说明书使用，单次贴敷不超过4h”。</w:t>
      </w:r>
    </w:p>
    <w:p w14:paraId="3D518FD7">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宋体" w:eastAsia="宋体" w:cs="宋体"/>
          <w:sz w:val="21"/>
          <w:lang w:val="en-US" w:eastAsia="zh-CN" w:bidi="ar-SA"/>
        </w:rPr>
      </w:pPr>
      <w:r>
        <w:rPr>
          <w:rFonts w:hint="eastAsia" w:ascii="宋体" w:hAnsi="宋体" w:eastAsia="宋体" w:cs="宋体"/>
          <w:sz w:val="21"/>
          <w:lang w:val="en-US" w:eastAsia="zh-CN" w:bidi="ar-SA"/>
        </w:rPr>
        <w:t>自发热型贴膏剂，标签应在显著位置标注“避免烫伤，糖尿病患者、皮肤感觉减退者禁用”。</w:t>
      </w:r>
    </w:p>
    <w:p w14:paraId="7CC21107">
      <w:pPr>
        <w:keepNext w:val="0"/>
        <w:keepLines w:val="0"/>
        <w:pageBreakBefore w:val="0"/>
        <w:widowControl/>
        <w:numPr>
          <w:ilvl w:val="2"/>
          <w:numId w:val="2"/>
        </w:numPr>
        <w:kinsoku/>
        <w:wordWrap/>
        <w:overflowPunct/>
        <w:topLinePunct w:val="0"/>
        <w:autoSpaceDE/>
        <w:autoSpaceDN/>
        <w:bidi w:val="0"/>
        <w:adjustRightInd/>
        <w:snapToGrid/>
        <w:spacing w:before="120" w:beforeLines="50" w:after="157" w:afterLines="50" w:line="240" w:lineRule="auto"/>
        <w:ind w:left="0" w:leftChars="0" w:firstLine="0" w:firstLineChars="0"/>
        <w:jc w:val="left"/>
        <w:textAlignment w:val="auto"/>
        <w:outlineLvl w:val="1"/>
        <w:rPr>
          <w:rFonts w:hint="default" w:ascii="黑体" w:hAnsi="Times New Roman" w:eastAsia="黑体" w:cs="Times New Roman"/>
          <w:sz w:val="21"/>
          <w:lang w:val="en-US" w:eastAsia="zh-CN" w:bidi="ar-SA"/>
        </w:rPr>
      </w:pPr>
      <w:r>
        <w:rPr>
          <w:rFonts w:hint="default" w:ascii="黑体" w:hAnsi="Times New Roman" w:eastAsia="黑体" w:cs="Times New Roman"/>
          <w:sz w:val="21"/>
          <w:lang w:val="en-US" w:eastAsia="zh-CN" w:bidi="ar-SA"/>
        </w:rPr>
        <w:t>说明书</w:t>
      </w:r>
    </w:p>
    <w:p w14:paraId="071DAA21">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产品说明书应至少包含以下安全信息内容：</w:t>
      </w:r>
    </w:p>
    <w:p w14:paraId="053F7284">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产品名称、成分（全部药味及基质，含毒性药材应特别标注）；</w:t>
      </w:r>
    </w:p>
    <w:p w14:paraId="33C32ECC">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功效及适用人群（含体质适配说明，列明适宜体质和慎用体质）；</w:t>
      </w:r>
    </w:p>
    <w:p w14:paraId="1BF75628">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规格；</w:t>
      </w:r>
    </w:p>
    <w:p w14:paraId="04D23548">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使用方法（含不同体质人群的贴敷时间建议、每日最大贴敷次数、连续使用最长天数）；</w:t>
      </w:r>
    </w:p>
    <w:p w14:paraId="00C51C4E">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不良反应（列明可能出现的皮肤刺激、过敏反应及处理方式）；</w:t>
      </w:r>
    </w:p>
    <w:p w14:paraId="28ABE9BD">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禁忌（列明禁用体质、禁用部位及特殊人群）；</w:t>
      </w:r>
    </w:p>
    <w:p w14:paraId="7DDA7A64">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注意事项（含皮肤过敏测试方法、贴敷部位轮换要求、出现不适时的处理措施）；</w:t>
      </w:r>
    </w:p>
    <w:p w14:paraId="64912AEB">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体质辨识简表；</w:t>
      </w:r>
    </w:p>
    <w:p w14:paraId="324FC13C">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贮存条件；</w:t>
      </w:r>
    </w:p>
    <w:p w14:paraId="43C018C3">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有效期；</w:t>
      </w:r>
    </w:p>
    <w:p w14:paraId="1277C4D5">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执行标准号；</w:t>
      </w:r>
    </w:p>
    <w:p w14:paraId="18ECDCE6">
      <w:pPr>
        <w:pStyle w:val="178"/>
        <w:keepNext w:val="0"/>
        <w:keepLines w:val="0"/>
        <w:pageBreakBefore w:val="0"/>
        <w:numPr>
          <w:ilvl w:val="0"/>
          <w:numId w:val="52"/>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生产企业信息及不良反应报告联系方式。</w:t>
      </w:r>
    </w:p>
    <w:p w14:paraId="6431FEDD">
      <w:pPr>
        <w:rPr>
          <w:rFonts w:hint="default"/>
          <w:lang w:val="en-US" w:eastAsia="zh-CN"/>
        </w:rPr>
      </w:pPr>
      <w:r>
        <w:rPr>
          <w:rFonts w:hint="default"/>
          <w:lang w:val="en-US" w:eastAsia="zh-CN"/>
        </w:rPr>
        <w:br w:type="page"/>
      </w:r>
    </w:p>
    <w:p w14:paraId="41078A74">
      <w:pPr>
        <w:pStyle w:val="284"/>
      </w:pPr>
      <w:bookmarkStart w:id="158" w:name="_Toc102406442"/>
      <w:bookmarkStart w:id="159" w:name="_Toc128492114"/>
      <w:bookmarkStart w:id="160" w:name="_Toc127344393"/>
      <w:bookmarkStart w:id="161" w:name="_Toc156663444"/>
      <w:bookmarkStart w:id="162" w:name="_Toc16011"/>
      <w:bookmarkStart w:id="163" w:name="_Toc122166170"/>
      <w:bookmarkStart w:id="164" w:name="_Toc19644"/>
      <w:bookmarkStart w:id="165" w:name="_Toc127453466"/>
      <w:bookmarkStart w:id="166" w:name="_Toc137017226"/>
      <w:bookmarkStart w:id="167" w:name="_Toc124861125"/>
      <w:bookmarkStart w:id="168" w:name="_Toc121753723"/>
      <w:bookmarkStart w:id="169" w:name="_Toc133506800"/>
      <w:bookmarkStart w:id="170" w:name="_Toc21908"/>
      <w:bookmarkStart w:id="171" w:name="_Toc26686"/>
      <w:bookmarkStart w:id="172" w:name="_Toc127517576"/>
      <w:bookmarkStart w:id="173" w:name="BKCKWX"/>
      <w:bookmarkStart w:id="174" w:name="_Toc102664326"/>
      <w:r>
        <w:rPr>
          <w:rFonts w:hint="eastAsia"/>
        </w:rPr>
        <w:t>参</w:t>
      </w:r>
      <w:r>
        <w:rPr>
          <w:rFonts w:hint="eastAsia" w:ascii="MS Mincho" w:hAnsi="MS Mincho" w:eastAsia="MS Mincho" w:cs="MS Mincho"/>
        </w:rPr>
        <w:t> </w:t>
      </w:r>
      <w:r>
        <w:rPr>
          <w:rFonts w:hint="eastAsia"/>
        </w:rPr>
        <w:t>考</w:t>
      </w:r>
      <w:r>
        <w:rPr>
          <w:rFonts w:hint="eastAsia" w:ascii="MS Mincho" w:hAnsi="MS Mincho" w:eastAsia="MS Mincho" w:cs="MS Mincho"/>
        </w:rPr>
        <w:t> </w:t>
      </w:r>
      <w:r>
        <w:rPr>
          <w:rFonts w:hint="eastAsia"/>
        </w:rPr>
        <w:t>文</w:t>
      </w:r>
      <w:r>
        <w:rPr>
          <w:rFonts w:hint="eastAsia" w:ascii="MS Mincho" w:hAnsi="MS Mincho" w:eastAsia="MS Mincho" w:cs="MS Mincho"/>
        </w:rPr>
        <w:t> </w:t>
      </w:r>
      <w:r>
        <w:rPr>
          <w:rFonts w:hint="eastAsia"/>
        </w:rPr>
        <w:t>献</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5F96AA43">
      <w:pPr>
        <w:widowControl/>
        <w:numPr>
          <w:ilvl w:val="0"/>
          <w:numId w:val="53"/>
        </w:numPr>
        <w:tabs>
          <w:tab w:val="center" w:pos="4201"/>
          <w:tab w:val="right" w:leader="dot" w:pos="9298"/>
        </w:tabs>
        <w:autoSpaceDE w:val="0"/>
        <w:autoSpaceDN w:val="0"/>
        <w:adjustRightInd/>
        <w:spacing w:line="240" w:lineRule="auto"/>
        <w:ind w:firstLine="440" w:firstLineChars="200"/>
        <w:jc w:val="both"/>
        <w:rPr>
          <w:rFonts w:hint="eastAsia" w:ascii="宋体" w:hAnsi="宋体" w:eastAsia="宋体" w:cs="宋体"/>
          <w:i w:val="0"/>
          <w:iCs w:val="0"/>
          <w:caps w:val="0"/>
          <w:color w:val="333333"/>
          <w:spacing w:val="0"/>
          <w:kern w:val="0"/>
          <w:sz w:val="22"/>
          <w:szCs w:val="22"/>
          <w:shd w:val="clear" w:fill="FFFFFF"/>
          <w:lang w:val="en-US" w:eastAsia="zh-CN" w:bidi="ar-SA"/>
        </w:rPr>
      </w:pPr>
      <w:r>
        <w:rPr>
          <w:rFonts w:hint="eastAsia" w:ascii="宋体" w:hAnsi="宋体" w:eastAsia="宋体" w:cs="宋体"/>
          <w:i w:val="0"/>
          <w:iCs w:val="0"/>
          <w:caps w:val="0"/>
          <w:color w:val="333333"/>
          <w:spacing w:val="0"/>
          <w:kern w:val="0"/>
          <w:sz w:val="22"/>
          <w:szCs w:val="22"/>
          <w:shd w:val="clear" w:fill="FFFFFF"/>
          <w:lang w:val="en-US" w:eastAsia="zh-CN" w:bidi="ar-SA"/>
        </w:rPr>
        <w:t>国家药典委员会. 中华人民共和国药典2025年版[</w:t>
      </w:r>
      <w:r>
        <w:rPr>
          <w:rFonts w:hint="eastAsia" w:ascii="宋体" w:hAnsi="宋体" w:cs="宋体"/>
          <w:i w:val="0"/>
          <w:iCs w:val="0"/>
          <w:caps w:val="0"/>
          <w:color w:val="333333"/>
          <w:spacing w:val="0"/>
          <w:kern w:val="0"/>
          <w:sz w:val="22"/>
          <w:szCs w:val="22"/>
          <w:shd w:val="clear" w:fill="FFFFFF"/>
          <w:lang w:val="en-US" w:eastAsia="zh-CN" w:bidi="ar-SA"/>
        </w:rPr>
        <w:t>M</w:t>
      </w:r>
      <w:r>
        <w:rPr>
          <w:rFonts w:hint="eastAsia" w:ascii="宋体" w:hAnsi="宋体" w:eastAsia="宋体" w:cs="宋体"/>
          <w:i w:val="0"/>
          <w:iCs w:val="0"/>
          <w:caps w:val="0"/>
          <w:color w:val="333333"/>
          <w:spacing w:val="0"/>
          <w:kern w:val="0"/>
          <w:sz w:val="22"/>
          <w:szCs w:val="22"/>
          <w:shd w:val="clear" w:fill="FFFFFF"/>
          <w:lang w:val="en-US" w:eastAsia="zh-CN" w:bidi="ar-SA"/>
        </w:rPr>
        <w:t>]. 北京:中国医药科技出版社,2025.</w:t>
      </w:r>
    </w:p>
    <w:p w14:paraId="1B462BD7">
      <w:pPr>
        <w:pStyle w:val="60"/>
        <w:ind w:left="0" w:leftChars="0" w:firstLine="0" w:firstLineChars="0"/>
        <w:rPr>
          <w:rFonts w:hint="default"/>
          <w:lang w:val="en-US" w:eastAsia="zh-CN"/>
        </w:rPr>
      </w:pPr>
    </w:p>
    <w:p w14:paraId="0A4194DC">
      <w:pPr>
        <w:pStyle w:val="60"/>
        <w:ind w:left="0" w:leftChars="0" w:firstLine="0" w:firstLineChars="0"/>
        <w:rPr>
          <w:rFonts w:hint="default"/>
          <w:lang w:val="en-US" w:eastAsia="zh-CN"/>
        </w:rPr>
      </w:pPr>
    </w:p>
    <w:p w14:paraId="0473B39D">
      <w:pPr>
        <w:pStyle w:val="60"/>
        <w:ind w:left="0" w:leftChars="0" w:firstLine="0" w:firstLineChars="0"/>
        <w:rPr>
          <w:rFonts w:hint="default"/>
          <w:lang w:val="en-US" w:eastAsia="zh-CN"/>
        </w:rPr>
      </w:pPr>
    </w:p>
    <w:p w14:paraId="29EB8C63">
      <w:pPr>
        <w:pStyle w:val="60"/>
        <w:ind w:left="0" w:leftChars="0" w:firstLine="0" w:firstLineChars="0"/>
        <w:rPr>
          <w:rFonts w:hint="default"/>
          <w:lang w:val="en-US" w:eastAsia="zh-CN"/>
        </w:rPr>
      </w:pPr>
    </w:p>
    <w:p w14:paraId="1AC5BC7C">
      <w:pPr>
        <w:pStyle w:val="60"/>
        <w:ind w:left="0" w:leftChars="0" w:firstLine="0" w:firstLineChars="0"/>
        <w:rPr>
          <w:rFonts w:hint="default"/>
          <w:lang w:val="en-US" w:eastAsia="zh-CN"/>
        </w:rPr>
      </w:pPr>
    </w:p>
    <w:p w14:paraId="555D53B5">
      <w:pPr>
        <w:pStyle w:val="60"/>
        <w:ind w:left="0" w:leftChars="0" w:firstLine="0" w:firstLineChars="0"/>
        <w:rPr>
          <w:rFonts w:hint="default"/>
          <w:lang w:val="en-US" w:eastAsia="zh-CN"/>
        </w:rPr>
      </w:pPr>
    </w:p>
    <w:p w14:paraId="0B94ADB0">
      <w:pPr>
        <w:pStyle w:val="60"/>
        <w:ind w:left="0" w:leftChars="0" w:firstLine="0" w:firstLineChars="0"/>
        <w:rPr>
          <w:rFonts w:hint="default"/>
          <w:lang w:val="en-US" w:eastAsia="zh-CN"/>
        </w:rPr>
      </w:pPr>
    </w:p>
    <w:p w14:paraId="2913918D">
      <w:pPr>
        <w:pStyle w:val="60"/>
        <w:ind w:left="0" w:leftChars="0" w:firstLine="0" w:firstLineChars="0"/>
        <w:rPr>
          <w:rFonts w:hint="default"/>
          <w:lang w:val="en-US" w:eastAsia="zh-CN"/>
        </w:rPr>
      </w:pPr>
    </w:p>
    <w:p w14:paraId="78C05647">
      <w:pPr>
        <w:pStyle w:val="60"/>
        <w:ind w:firstLine="0" w:firstLineChars="0"/>
        <w:jc w:val="center"/>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pPr>
      <w:bookmarkStart w:id="175" w:name="BookMark8"/>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75"/>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8480"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8480;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w:t>
      </w:r>
      <w:r>
        <w:rPr>
          <w:rFonts w:hint="eastAsia" w:ascii="黑体" w:eastAsia="黑体"/>
          <w:sz w:val="21"/>
          <w:szCs w:val="21"/>
          <w:lang w:eastAsia="zh-CN"/>
        </w:rPr>
        <w:t>不同体质人群用中药贴膏剂安全技术规范</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X</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X</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9504" behindDoc="0" locked="0" layoutInCell="1" allowOverlap="1">
            <wp:simplePos x="0" y="0"/>
            <wp:positionH relativeFrom="column">
              <wp:posOffset>-67310</wp:posOffset>
            </wp:positionH>
            <wp:positionV relativeFrom="paragraph">
              <wp:posOffset>252730</wp:posOffset>
            </wp:positionV>
            <wp:extent cx="2268220" cy="601345"/>
            <wp:effectExtent l="0" t="0" r="17780" b="8255"/>
            <wp:wrapNone/>
            <wp:docPr id="16" name="图片 3" descr="D:/桌面文件/c94c59d5f104b1a1204d0c791bc384e1.pngc94c59d5f104b1a1204d0c791bc38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D:/桌面文件/c94c59d5f104b1a1204d0c791bc384e1.pngc94c59d5f104b1a1204d0c791bc384e1"/>
                    <pic:cNvPicPr>
                      <a:picLocks noChangeAspect="1"/>
                    </pic:cNvPicPr>
                  </pic:nvPicPr>
                  <pic:blipFill>
                    <a:blip r:embed="rId26"/>
                    <a:srcRect t="8522" b="8522"/>
                    <a:stretch>
                      <a:fillRect/>
                    </a:stretch>
                  </pic:blipFill>
                  <pic:spPr>
                    <a:xfrm>
                      <a:off x="0" y="0"/>
                      <a:ext cx="2268220"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0" w:type="default"/>
      <w:footerReference r:id="rId22" w:type="default"/>
      <w:headerReference r:id="rId21" w:type="even"/>
      <w:footerReference r:id="rId23"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306F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6D47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86D47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F0A7">
                          <w:pPr>
                            <w:pStyle w:val="56"/>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E5F0A7">
                    <w:pPr>
                      <w:pStyle w:val="56"/>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5D10">
    <w:pPr>
      <w:pStyle w:val="19"/>
      <w:jc w:val="right"/>
      <w:rPr>
        <w:rFonts w:hAnsi="黑体" w:cs="黑体"/>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53D8F">
    <w:pPr>
      <w:pStyle w:val="19"/>
      <w:jc w:val="left"/>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E01DA"/>
    <w:multiLevelType w:val="singleLevel"/>
    <w:tmpl w:val="82AE01DA"/>
    <w:lvl w:ilvl="0" w:tentative="0">
      <w:start w:val="1"/>
      <w:numFmt w:val="decimal"/>
      <w:suff w:val="space"/>
      <w:lvlText w:val="[%1]"/>
      <w:lvlJc w:val="left"/>
    </w:lvl>
  </w:abstractNum>
  <w:abstractNum w:abstractNumId="1">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2">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7">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8">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6">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8">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9">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2">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4">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8">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9">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6AC77BEE"/>
    <w:multiLevelType w:val="multilevel"/>
    <w:tmpl w:val="6AC77BEE"/>
    <w:lvl w:ilvl="0" w:tentative="0">
      <w:start w:val="1"/>
      <w:numFmt w:val="decimal"/>
      <w:pStyle w:val="118"/>
      <w:suff w:val="nothing"/>
      <w:lvlText w:val="表%1　"/>
      <w:lvlJc w:val="left"/>
      <w:pPr>
        <w:tabs>
          <w:tab w:val="left" w:pos="0"/>
        </w:tabs>
        <w:ind w:left="0" w:firstLine="0"/>
      </w:pPr>
      <w:rPr>
        <w:rFonts w:hint="default"/>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6">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7">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7"/>
  </w:num>
  <w:num w:numId="3">
    <w:abstractNumId w:val="9"/>
  </w:num>
  <w:num w:numId="4">
    <w:abstractNumId w:val="29"/>
  </w:num>
  <w:num w:numId="5">
    <w:abstractNumId w:val="24"/>
  </w:num>
  <w:num w:numId="6">
    <w:abstractNumId w:val="20"/>
  </w:num>
  <w:num w:numId="7">
    <w:abstractNumId w:val="12"/>
  </w:num>
  <w:num w:numId="8">
    <w:abstractNumId w:val="5"/>
  </w:num>
  <w:num w:numId="9">
    <w:abstractNumId w:val="13"/>
  </w:num>
  <w:num w:numId="10">
    <w:abstractNumId w:val="23"/>
  </w:num>
  <w:num w:numId="11">
    <w:abstractNumId w:val="33"/>
  </w:num>
  <w:num w:numId="12">
    <w:abstractNumId w:val="18"/>
  </w:num>
  <w:num w:numId="13">
    <w:abstractNumId w:val="19"/>
  </w:num>
  <w:num w:numId="14">
    <w:abstractNumId w:val="11"/>
  </w:num>
  <w:num w:numId="15">
    <w:abstractNumId w:val="25"/>
  </w:num>
  <w:num w:numId="16">
    <w:abstractNumId w:val="1"/>
  </w:num>
  <w:num w:numId="17">
    <w:abstractNumId w:val="32"/>
  </w:num>
  <w:num w:numId="18">
    <w:abstractNumId w:val="36"/>
  </w:num>
  <w:num w:numId="19">
    <w:abstractNumId w:val="22"/>
  </w:num>
  <w:num w:numId="20">
    <w:abstractNumId w:val="3"/>
  </w:num>
  <w:num w:numId="21">
    <w:abstractNumId w:val="16"/>
  </w:num>
  <w:num w:numId="22">
    <w:abstractNumId w:val="37"/>
  </w:num>
  <w:num w:numId="23">
    <w:abstractNumId w:val="27"/>
  </w:num>
  <w:num w:numId="24">
    <w:abstractNumId w:val="10"/>
  </w:num>
  <w:num w:numId="25">
    <w:abstractNumId w:val="34"/>
  </w:num>
  <w:num w:numId="26">
    <w:abstractNumId w:val="4"/>
  </w:num>
  <w:num w:numId="27">
    <w:abstractNumId w:val="8"/>
  </w:num>
  <w:num w:numId="28">
    <w:abstractNumId w:val="21"/>
  </w:num>
  <w:num w:numId="29">
    <w:abstractNumId w:val="31"/>
  </w:num>
  <w:num w:numId="30">
    <w:abstractNumId w:val="28"/>
  </w:num>
  <w:num w:numId="31">
    <w:abstractNumId w:val="26"/>
  </w:num>
  <w:num w:numId="32">
    <w:abstractNumId w:val="6"/>
  </w:num>
  <w:num w:numId="33">
    <w:abstractNumId w:val="7"/>
  </w:num>
  <w:num w:numId="34">
    <w:abstractNumId w:val="35"/>
  </w:num>
  <w:num w:numId="35">
    <w:abstractNumId w:val="14"/>
  </w:num>
  <w:num w:numId="36">
    <w:abstractNumId w:val="30"/>
  </w:num>
  <w:num w:numId="37">
    <w:abstractNumId w:val="15"/>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06A3"/>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25635D"/>
    <w:rsid w:val="01565C22"/>
    <w:rsid w:val="01BF5A52"/>
    <w:rsid w:val="01CC3898"/>
    <w:rsid w:val="01D95F0B"/>
    <w:rsid w:val="01FC640B"/>
    <w:rsid w:val="021F0A6D"/>
    <w:rsid w:val="02535CBD"/>
    <w:rsid w:val="025B4F1C"/>
    <w:rsid w:val="025F7408"/>
    <w:rsid w:val="02906263"/>
    <w:rsid w:val="02A76E81"/>
    <w:rsid w:val="02C31095"/>
    <w:rsid w:val="02DC3198"/>
    <w:rsid w:val="02F44E37"/>
    <w:rsid w:val="032C2C0D"/>
    <w:rsid w:val="03443777"/>
    <w:rsid w:val="0357767E"/>
    <w:rsid w:val="03946435"/>
    <w:rsid w:val="03C10461"/>
    <w:rsid w:val="03E2177F"/>
    <w:rsid w:val="03FD209E"/>
    <w:rsid w:val="045029FB"/>
    <w:rsid w:val="045448AA"/>
    <w:rsid w:val="045A77D7"/>
    <w:rsid w:val="046048F9"/>
    <w:rsid w:val="04AE18D1"/>
    <w:rsid w:val="04D05CEB"/>
    <w:rsid w:val="04DF0901"/>
    <w:rsid w:val="04F66143"/>
    <w:rsid w:val="04FE13F4"/>
    <w:rsid w:val="052676B9"/>
    <w:rsid w:val="052A026E"/>
    <w:rsid w:val="055E62CD"/>
    <w:rsid w:val="056A1C9B"/>
    <w:rsid w:val="057B5A67"/>
    <w:rsid w:val="059F29D4"/>
    <w:rsid w:val="05A17A72"/>
    <w:rsid w:val="05DE7F94"/>
    <w:rsid w:val="05DF5861"/>
    <w:rsid w:val="05FF17A6"/>
    <w:rsid w:val="060C4B01"/>
    <w:rsid w:val="061F2A86"/>
    <w:rsid w:val="06417867"/>
    <w:rsid w:val="064A5F1B"/>
    <w:rsid w:val="06537525"/>
    <w:rsid w:val="06574AB8"/>
    <w:rsid w:val="06672D9E"/>
    <w:rsid w:val="06713D56"/>
    <w:rsid w:val="06754A83"/>
    <w:rsid w:val="06C867AC"/>
    <w:rsid w:val="06E17D3B"/>
    <w:rsid w:val="07150B15"/>
    <w:rsid w:val="071F7EBF"/>
    <w:rsid w:val="073F0F06"/>
    <w:rsid w:val="073F557B"/>
    <w:rsid w:val="07460E92"/>
    <w:rsid w:val="076B1CFB"/>
    <w:rsid w:val="07795030"/>
    <w:rsid w:val="07C24B58"/>
    <w:rsid w:val="07C4574A"/>
    <w:rsid w:val="07CF32A0"/>
    <w:rsid w:val="07ED677E"/>
    <w:rsid w:val="081418BF"/>
    <w:rsid w:val="08365E65"/>
    <w:rsid w:val="08793FA4"/>
    <w:rsid w:val="089D5934"/>
    <w:rsid w:val="08B84ACC"/>
    <w:rsid w:val="08F41D87"/>
    <w:rsid w:val="08F74A5F"/>
    <w:rsid w:val="09095984"/>
    <w:rsid w:val="09192547"/>
    <w:rsid w:val="09390D12"/>
    <w:rsid w:val="094C583B"/>
    <w:rsid w:val="09694269"/>
    <w:rsid w:val="098215A1"/>
    <w:rsid w:val="09A65662"/>
    <w:rsid w:val="09A82EAE"/>
    <w:rsid w:val="09C86F91"/>
    <w:rsid w:val="09F47D86"/>
    <w:rsid w:val="09FB64A3"/>
    <w:rsid w:val="0A00672A"/>
    <w:rsid w:val="0A0E4391"/>
    <w:rsid w:val="0A167B17"/>
    <w:rsid w:val="0A2B694C"/>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F33E0"/>
    <w:rsid w:val="0E172295"/>
    <w:rsid w:val="0E325320"/>
    <w:rsid w:val="0E335347"/>
    <w:rsid w:val="0E3F3599"/>
    <w:rsid w:val="0E5500A8"/>
    <w:rsid w:val="0E721A6C"/>
    <w:rsid w:val="0E8F26AA"/>
    <w:rsid w:val="0E9A5B52"/>
    <w:rsid w:val="0EB65F51"/>
    <w:rsid w:val="0EFA3E86"/>
    <w:rsid w:val="0F1A3C80"/>
    <w:rsid w:val="0F1D7D7F"/>
    <w:rsid w:val="0F207E9C"/>
    <w:rsid w:val="0F22328B"/>
    <w:rsid w:val="0F2904D1"/>
    <w:rsid w:val="0F6B6D3C"/>
    <w:rsid w:val="0F7B6853"/>
    <w:rsid w:val="0F7C616D"/>
    <w:rsid w:val="0FB60BC5"/>
    <w:rsid w:val="0FC053D7"/>
    <w:rsid w:val="0FE200C5"/>
    <w:rsid w:val="0FED7751"/>
    <w:rsid w:val="106628A7"/>
    <w:rsid w:val="1066305F"/>
    <w:rsid w:val="10703EDE"/>
    <w:rsid w:val="109C2F25"/>
    <w:rsid w:val="10D12BCF"/>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225C7A"/>
    <w:rsid w:val="162D54D7"/>
    <w:rsid w:val="163C6EA9"/>
    <w:rsid w:val="16A5094B"/>
    <w:rsid w:val="16A63835"/>
    <w:rsid w:val="16C07E56"/>
    <w:rsid w:val="16E3540A"/>
    <w:rsid w:val="174F6F43"/>
    <w:rsid w:val="17671E03"/>
    <w:rsid w:val="17771FF6"/>
    <w:rsid w:val="17796000"/>
    <w:rsid w:val="17842753"/>
    <w:rsid w:val="17852965"/>
    <w:rsid w:val="17BB0135"/>
    <w:rsid w:val="17C67150"/>
    <w:rsid w:val="17F453F5"/>
    <w:rsid w:val="17FF1243"/>
    <w:rsid w:val="1853531D"/>
    <w:rsid w:val="187059FC"/>
    <w:rsid w:val="18A1557C"/>
    <w:rsid w:val="18E526BB"/>
    <w:rsid w:val="18F51424"/>
    <w:rsid w:val="18F60753"/>
    <w:rsid w:val="19215E2D"/>
    <w:rsid w:val="192C3B89"/>
    <w:rsid w:val="19992F43"/>
    <w:rsid w:val="19CB486B"/>
    <w:rsid w:val="1A064859"/>
    <w:rsid w:val="1A0D279E"/>
    <w:rsid w:val="1A1104E0"/>
    <w:rsid w:val="1A2308F8"/>
    <w:rsid w:val="1A8268CC"/>
    <w:rsid w:val="1ABD41C4"/>
    <w:rsid w:val="1ADF42B2"/>
    <w:rsid w:val="1AEC0ACF"/>
    <w:rsid w:val="1B03673C"/>
    <w:rsid w:val="1B375D24"/>
    <w:rsid w:val="1B570174"/>
    <w:rsid w:val="1B7E2538"/>
    <w:rsid w:val="1B886580"/>
    <w:rsid w:val="1BBE4697"/>
    <w:rsid w:val="1BC42B10"/>
    <w:rsid w:val="1BE73A14"/>
    <w:rsid w:val="1BEA2D97"/>
    <w:rsid w:val="1BFB3FD6"/>
    <w:rsid w:val="1BFB4FA4"/>
    <w:rsid w:val="1BFB594B"/>
    <w:rsid w:val="1CB36B43"/>
    <w:rsid w:val="1CBA14B4"/>
    <w:rsid w:val="1CC849BD"/>
    <w:rsid w:val="1D247334"/>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705BE9"/>
    <w:rsid w:val="20745325"/>
    <w:rsid w:val="20C067BC"/>
    <w:rsid w:val="20E4055B"/>
    <w:rsid w:val="20EE1C1F"/>
    <w:rsid w:val="210B5C89"/>
    <w:rsid w:val="2110329F"/>
    <w:rsid w:val="2115671A"/>
    <w:rsid w:val="211B1C44"/>
    <w:rsid w:val="21470C8B"/>
    <w:rsid w:val="219A0DBB"/>
    <w:rsid w:val="21D30729"/>
    <w:rsid w:val="21ED21C6"/>
    <w:rsid w:val="22082616"/>
    <w:rsid w:val="220B7F0B"/>
    <w:rsid w:val="22116A3F"/>
    <w:rsid w:val="228644BC"/>
    <w:rsid w:val="22A4640E"/>
    <w:rsid w:val="22BA5BB9"/>
    <w:rsid w:val="22D57BA3"/>
    <w:rsid w:val="22D87DED"/>
    <w:rsid w:val="232748D0"/>
    <w:rsid w:val="233E67E2"/>
    <w:rsid w:val="23735D67"/>
    <w:rsid w:val="238C6E29"/>
    <w:rsid w:val="23952182"/>
    <w:rsid w:val="23C40371"/>
    <w:rsid w:val="23D305B4"/>
    <w:rsid w:val="23F5050A"/>
    <w:rsid w:val="245D2C8D"/>
    <w:rsid w:val="249935AC"/>
    <w:rsid w:val="249944D1"/>
    <w:rsid w:val="24BC310B"/>
    <w:rsid w:val="24D60635"/>
    <w:rsid w:val="24FE4191"/>
    <w:rsid w:val="25096CBD"/>
    <w:rsid w:val="25247077"/>
    <w:rsid w:val="256E7D73"/>
    <w:rsid w:val="256F74FA"/>
    <w:rsid w:val="257B0F03"/>
    <w:rsid w:val="25C87134"/>
    <w:rsid w:val="25D74FC3"/>
    <w:rsid w:val="25E31261"/>
    <w:rsid w:val="261C4494"/>
    <w:rsid w:val="26213859"/>
    <w:rsid w:val="263E265D"/>
    <w:rsid w:val="26410247"/>
    <w:rsid w:val="264D0C35"/>
    <w:rsid w:val="265E685B"/>
    <w:rsid w:val="26915FCA"/>
    <w:rsid w:val="269234BA"/>
    <w:rsid w:val="26956186"/>
    <w:rsid w:val="26F6389B"/>
    <w:rsid w:val="271474CA"/>
    <w:rsid w:val="2750627A"/>
    <w:rsid w:val="276D746E"/>
    <w:rsid w:val="27765E26"/>
    <w:rsid w:val="27962024"/>
    <w:rsid w:val="27990BFF"/>
    <w:rsid w:val="27DA0163"/>
    <w:rsid w:val="27E370C7"/>
    <w:rsid w:val="27E55EA8"/>
    <w:rsid w:val="27ED736F"/>
    <w:rsid w:val="27F03E2A"/>
    <w:rsid w:val="28360FB8"/>
    <w:rsid w:val="283A0353"/>
    <w:rsid w:val="285C326E"/>
    <w:rsid w:val="28602E72"/>
    <w:rsid w:val="28874A54"/>
    <w:rsid w:val="2892582B"/>
    <w:rsid w:val="28B730AF"/>
    <w:rsid w:val="28C50E13"/>
    <w:rsid w:val="28D252DE"/>
    <w:rsid w:val="28E374EB"/>
    <w:rsid w:val="28F039B6"/>
    <w:rsid w:val="29291515"/>
    <w:rsid w:val="292A336C"/>
    <w:rsid w:val="294E1641"/>
    <w:rsid w:val="29522056"/>
    <w:rsid w:val="297445E7"/>
    <w:rsid w:val="298D533F"/>
    <w:rsid w:val="2A402EB4"/>
    <w:rsid w:val="2A554419"/>
    <w:rsid w:val="2A8D1997"/>
    <w:rsid w:val="2AA44A58"/>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EA595F"/>
    <w:rsid w:val="2E0028ED"/>
    <w:rsid w:val="2E5B2F02"/>
    <w:rsid w:val="2E752B4A"/>
    <w:rsid w:val="2E80527A"/>
    <w:rsid w:val="2EE6563F"/>
    <w:rsid w:val="2F486004"/>
    <w:rsid w:val="2F805A94"/>
    <w:rsid w:val="2F9B7DD2"/>
    <w:rsid w:val="2FA33530"/>
    <w:rsid w:val="2FA86D99"/>
    <w:rsid w:val="2FB57729"/>
    <w:rsid w:val="2FC021F3"/>
    <w:rsid w:val="30040748"/>
    <w:rsid w:val="307D1FD3"/>
    <w:rsid w:val="30A31CD5"/>
    <w:rsid w:val="30D002D1"/>
    <w:rsid w:val="30DA1187"/>
    <w:rsid w:val="30E96AAE"/>
    <w:rsid w:val="31097764"/>
    <w:rsid w:val="310C0943"/>
    <w:rsid w:val="311E5564"/>
    <w:rsid w:val="31660CB9"/>
    <w:rsid w:val="31735C22"/>
    <w:rsid w:val="3175714F"/>
    <w:rsid w:val="318F4926"/>
    <w:rsid w:val="322748ED"/>
    <w:rsid w:val="323808A8"/>
    <w:rsid w:val="32452FC5"/>
    <w:rsid w:val="3269779D"/>
    <w:rsid w:val="32DB1FCA"/>
    <w:rsid w:val="32E75B37"/>
    <w:rsid w:val="32EF68B4"/>
    <w:rsid w:val="32FB3538"/>
    <w:rsid w:val="33075F3D"/>
    <w:rsid w:val="331035D3"/>
    <w:rsid w:val="332756A7"/>
    <w:rsid w:val="334E2E05"/>
    <w:rsid w:val="33545566"/>
    <w:rsid w:val="3357192F"/>
    <w:rsid w:val="339A4C4A"/>
    <w:rsid w:val="33B71CA0"/>
    <w:rsid w:val="342804A8"/>
    <w:rsid w:val="342D6CBE"/>
    <w:rsid w:val="34337175"/>
    <w:rsid w:val="347100A1"/>
    <w:rsid w:val="34AD36B8"/>
    <w:rsid w:val="34D128EE"/>
    <w:rsid w:val="34D4418C"/>
    <w:rsid w:val="34DA79F4"/>
    <w:rsid w:val="34F76A97"/>
    <w:rsid w:val="351441F0"/>
    <w:rsid w:val="3529011B"/>
    <w:rsid w:val="353535B2"/>
    <w:rsid w:val="354C5EC7"/>
    <w:rsid w:val="355326FC"/>
    <w:rsid w:val="3578720D"/>
    <w:rsid w:val="35851948"/>
    <w:rsid w:val="35C13CCB"/>
    <w:rsid w:val="35D57C94"/>
    <w:rsid w:val="35D65063"/>
    <w:rsid w:val="361C7B45"/>
    <w:rsid w:val="36775DFC"/>
    <w:rsid w:val="3698148D"/>
    <w:rsid w:val="370B6CF4"/>
    <w:rsid w:val="370D6AF8"/>
    <w:rsid w:val="375D7A2B"/>
    <w:rsid w:val="37A22637"/>
    <w:rsid w:val="37D47531"/>
    <w:rsid w:val="380A119C"/>
    <w:rsid w:val="38671EF1"/>
    <w:rsid w:val="389576AC"/>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9012A4"/>
    <w:rsid w:val="3AA51A40"/>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0B0C1F"/>
    <w:rsid w:val="3E133F77"/>
    <w:rsid w:val="3E1E5270"/>
    <w:rsid w:val="3E2C6DE7"/>
    <w:rsid w:val="3E4427DC"/>
    <w:rsid w:val="3E522122"/>
    <w:rsid w:val="3E7F05B5"/>
    <w:rsid w:val="3E9A2F5F"/>
    <w:rsid w:val="3EB07FB9"/>
    <w:rsid w:val="3EB219E2"/>
    <w:rsid w:val="3EFC2464"/>
    <w:rsid w:val="3F0F1D39"/>
    <w:rsid w:val="3F23468E"/>
    <w:rsid w:val="3F6A6DDC"/>
    <w:rsid w:val="3F6B5BE8"/>
    <w:rsid w:val="3F787264"/>
    <w:rsid w:val="3F825CCD"/>
    <w:rsid w:val="3FE53A49"/>
    <w:rsid w:val="3FFC1167"/>
    <w:rsid w:val="40487E84"/>
    <w:rsid w:val="404F74B5"/>
    <w:rsid w:val="40727100"/>
    <w:rsid w:val="40BB4ECE"/>
    <w:rsid w:val="40BF2194"/>
    <w:rsid w:val="40C35A83"/>
    <w:rsid w:val="40D95004"/>
    <w:rsid w:val="4111051C"/>
    <w:rsid w:val="412B15D8"/>
    <w:rsid w:val="41432DC5"/>
    <w:rsid w:val="41A76EB0"/>
    <w:rsid w:val="41C04359"/>
    <w:rsid w:val="41E9571B"/>
    <w:rsid w:val="423A41C8"/>
    <w:rsid w:val="42467274"/>
    <w:rsid w:val="426F7824"/>
    <w:rsid w:val="42796B0B"/>
    <w:rsid w:val="428060AE"/>
    <w:rsid w:val="428E1E1E"/>
    <w:rsid w:val="429A2DFF"/>
    <w:rsid w:val="42AB2039"/>
    <w:rsid w:val="42D26925"/>
    <w:rsid w:val="42E83C24"/>
    <w:rsid w:val="42F54415"/>
    <w:rsid w:val="430D335C"/>
    <w:rsid w:val="430E7C3C"/>
    <w:rsid w:val="432D7889"/>
    <w:rsid w:val="432E715D"/>
    <w:rsid w:val="43495316"/>
    <w:rsid w:val="436239D7"/>
    <w:rsid w:val="43947908"/>
    <w:rsid w:val="439F3F66"/>
    <w:rsid w:val="43B72D8E"/>
    <w:rsid w:val="43C1733D"/>
    <w:rsid w:val="43FD36FF"/>
    <w:rsid w:val="4400471D"/>
    <w:rsid w:val="44004F56"/>
    <w:rsid w:val="44461ED1"/>
    <w:rsid w:val="44655FBE"/>
    <w:rsid w:val="44826B42"/>
    <w:rsid w:val="44860CD1"/>
    <w:rsid w:val="44EA3184"/>
    <w:rsid w:val="44F331C9"/>
    <w:rsid w:val="450955C6"/>
    <w:rsid w:val="45171187"/>
    <w:rsid w:val="451C4FCB"/>
    <w:rsid w:val="45315AC5"/>
    <w:rsid w:val="457F1EF2"/>
    <w:rsid w:val="458637C9"/>
    <w:rsid w:val="458D0A2C"/>
    <w:rsid w:val="459E4A6E"/>
    <w:rsid w:val="45A030EC"/>
    <w:rsid w:val="45AA6F6F"/>
    <w:rsid w:val="45CB23C1"/>
    <w:rsid w:val="46717A8D"/>
    <w:rsid w:val="467C6F4C"/>
    <w:rsid w:val="46DA7D28"/>
    <w:rsid w:val="46ED1809"/>
    <w:rsid w:val="46F36279"/>
    <w:rsid w:val="46F75CCC"/>
    <w:rsid w:val="46FC5E9B"/>
    <w:rsid w:val="471F1BDF"/>
    <w:rsid w:val="47604374"/>
    <w:rsid w:val="47633357"/>
    <w:rsid w:val="476D294A"/>
    <w:rsid w:val="47775577"/>
    <w:rsid w:val="478D6B48"/>
    <w:rsid w:val="47B022A8"/>
    <w:rsid w:val="47B42327"/>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CF51F6"/>
    <w:rsid w:val="4A477482"/>
    <w:rsid w:val="4A640D3D"/>
    <w:rsid w:val="4AD60806"/>
    <w:rsid w:val="4B3938D2"/>
    <w:rsid w:val="4B7D0C82"/>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2E2B7B"/>
    <w:rsid w:val="4D306E91"/>
    <w:rsid w:val="4D5C16A3"/>
    <w:rsid w:val="4D5E04AC"/>
    <w:rsid w:val="4D7A36CB"/>
    <w:rsid w:val="4DB210B7"/>
    <w:rsid w:val="4DF06083"/>
    <w:rsid w:val="4DF80A94"/>
    <w:rsid w:val="4DFB61FC"/>
    <w:rsid w:val="4E012DB3"/>
    <w:rsid w:val="4E102281"/>
    <w:rsid w:val="4E3D3AAD"/>
    <w:rsid w:val="4E47299C"/>
    <w:rsid w:val="4E704ACE"/>
    <w:rsid w:val="4E81368C"/>
    <w:rsid w:val="4ED67027"/>
    <w:rsid w:val="4F072E4C"/>
    <w:rsid w:val="4F1171EA"/>
    <w:rsid w:val="4F1C0D7A"/>
    <w:rsid w:val="4F2C3CE9"/>
    <w:rsid w:val="4F4A6982"/>
    <w:rsid w:val="4F530677"/>
    <w:rsid w:val="4F622668"/>
    <w:rsid w:val="4F752402"/>
    <w:rsid w:val="4FC968D9"/>
    <w:rsid w:val="4FF41062"/>
    <w:rsid w:val="504F13FA"/>
    <w:rsid w:val="50A82084"/>
    <w:rsid w:val="50AD3DB7"/>
    <w:rsid w:val="50D605D0"/>
    <w:rsid w:val="51114346"/>
    <w:rsid w:val="51566BAA"/>
    <w:rsid w:val="516E01AD"/>
    <w:rsid w:val="51917235"/>
    <w:rsid w:val="51CB6BEB"/>
    <w:rsid w:val="51DC173E"/>
    <w:rsid w:val="51E65D02"/>
    <w:rsid w:val="51FC6DA4"/>
    <w:rsid w:val="520D7203"/>
    <w:rsid w:val="521606D0"/>
    <w:rsid w:val="522956BF"/>
    <w:rsid w:val="52630BD1"/>
    <w:rsid w:val="52BC29D7"/>
    <w:rsid w:val="52D01FDF"/>
    <w:rsid w:val="52DA7D38"/>
    <w:rsid w:val="52DC6BD6"/>
    <w:rsid w:val="52E9110F"/>
    <w:rsid w:val="52F537F4"/>
    <w:rsid w:val="531B4B18"/>
    <w:rsid w:val="531E0316"/>
    <w:rsid w:val="534E7B91"/>
    <w:rsid w:val="5362593B"/>
    <w:rsid w:val="53C2343A"/>
    <w:rsid w:val="53C5766A"/>
    <w:rsid w:val="53D1600F"/>
    <w:rsid w:val="53FC752F"/>
    <w:rsid w:val="54096145"/>
    <w:rsid w:val="543635BF"/>
    <w:rsid w:val="54417177"/>
    <w:rsid w:val="54752E3E"/>
    <w:rsid w:val="54905ECA"/>
    <w:rsid w:val="54907C78"/>
    <w:rsid w:val="54B576DE"/>
    <w:rsid w:val="54BE4CA1"/>
    <w:rsid w:val="54D04518"/>
    <w:rsid w:val="54D86127"/>
    <w:rsid w:val="54DE2DE2"/>
    <w:rsid w:val="54FF4546"/>
    <w:rsid w:val="553C3BC4"/>
    <w:rsid w:val="554227C3"/>
    <w:rsid w:val="555B07B2"/>
    <w:rsid w:val="555D02CD"/>
    <w:rsid w:val="55774994"/>
    <w:rsid w:val="557C770E"/>
    <w:rsid w:val="558570B1"/>
    <w:rsid w:val="55B1143D"/>
    <w:rsid w:val="55CC0A51"/>
    <w:rsid w:val="55D83684"/>
    <w:rsid w:val="562B140A"/>
    <w:rsid w:val="5630526E"/>
    <w:rsid w:val="56416A39"/>
    <w:rsid w:val="56547E6E"/>
    <w:rsid w:val="56975989"/>
    <w:rsid w:val="56987D1D"/>
    <w:rsid w:val="569B5857"/>
    <w:rsid w:val="56B178A8"/>
    <w:rsid w:val="56CB1729"/>
    <w:rsid w:val="56E42C0C"/>
    <w:rsid w:val="573915E2"/>
    <w:rsid w:val="57911D41"/>
    <w:rsid w:val="57D34C7B"/>
    <w:rsid w:val="57D936E4"/>
    <w:rsid w:val="57E5652D"/>
    <w:rsid w:val="57EE6CBE"/>
    <w:rsid w:val="58022C3B"/>
    <w:rsid w:val="580A1F3C"/>
    <w:rsid w:val="58263D7A"/>
    <w:rsid w:val="586456A3"/>
    <w:rsid w:val="587D0513"/>
    <w:rsid w:val="58C00850"/>
    <w:rsid w:val="58CE248E"/>
    <w:rsid w:val="58D02821"/>
    <w:rsid w:val="58D33612"/>
    <w:rsid w:val="58DF37A3"/>
    <w:rsid w:val="58EC43C6"/>
    <w:rsid w:val="59262FC6"/>
    <w:rsid w:val="59380949"/>
    <w:rsid w:val="59515EF9"/>
    <w:rsid w:val="596F3B96"/>
    <w:rsid w:val="59AF3DFF"/>
    <w:rsid w:val="59C363FA"/>
    <w:rsid w:val="59E55871"/>
    <w:rsid w:val="5A025174"/>
    <w:rsid w:val="5A320FCE"/>
    <w:rsid w:val="5A3966BC"/>
    <w:rsid w:val="5A407A4A"/>
    <w:rsid w:val="5A470DD9"/>
    <w:rsid w:val="5A851901"/>
    <w:rsid w:val="5AC62178"/>
    <w:rsid w:val="5AF034C2"/>
    <w:rsid w:val="5B4D241F"/>
    <w:rsid w:val="5B545E5B"/>
    <w:rsid w:val="5BEF2C11"/>
    <w:rsid w:val="5BF3746A"/>
    <w:rsid w:val="5C0056E3"/>
    <w:rsid w:val="5C036F81"/>
    <w:rsid w:val="5C277114"/>
    <w:rsid w:val="5C413DFD"/>
    <w:rsid w:val="5C4C2CA7"/>
    <w:rsid w:val="5C8207EE"/>
    <w:rsid w:val="5C826784"/>
    <w:rsid w:val="5C9D1184"/>
    <w:rsid w:val="5CA63FA9"/>
    <w:rsid w:val="5CB44D92"/>
    <w:rsid w:val="5CC93458"/>
    <w:rsid w:val="5CCC4F75"/>
    <w:rsid w:val="5CDD7CD2"/>
    <w:rsid w:val="5CED210B"/>
    <w:rsid w:val="5D2544BA"/>
    <w:rsid w:val="5D3A69D3"/>
    <w:rsid w:val="5D570FA6"/>
    <w:rsid w:val="5D5C6349"/>
    <w:rsid w:val="5D737874"/>
    <w:rsid w:val="5D8646F8"/>
    <w:rsid w:val="5D8660BC"/>
    <w:rsid w:val="5DB14783"/>
    <w:rsid w:val="5DCA244C"/>
    <w:rsid w:val="5E3D75FD"/>
    <w:rsid w:val="5E721B5C"/>
    <w:rsid w:val="5E776A60"/>
    <w:rsid w:val="5E802B0B"/>
    <w:rsid w:val="5E810A7B"/>
    <w:rsid w:val="5E892B2C"/>
    <w:rsid w:val="5EBA13FD"/>
    <w:rsid w:val="5EBB7FE7"/>
    <w:rsid w:val="5ECC2455"/>
    <w:rsid w:val="5F0A0E0B"/>
    <w:rsid w:val="5F2D67F5"/>
    <w:rsid w:val="5F4C0C3F"/>
    <w:rsid w:val="5F592AFE"/>
    <w:rsid w:val="5F600DA5"/>
    <w:rsid w:val="5F6B30AD"/>
    <w:rsid w:val="5FAF6FEE"/>
    <w:rsid w:val="5FBC7B73"/>
    <w:rsid w:val="5FBF1411"/>
    <w:rsid w:val="5FD67D35"/>
    <w:rsid w:val="5FEA7F0B"/>
    <w:rsid w:val="60017C7C"/>
    <w:rsid w:val="600D3663"/>
    <w:rsid w:val="60334086"/>
    <w:rsid w:val="607E62CC"/>
    <w:rsid w:val="60E2185B"/>
    <w:rsid w:val="610E08A2"/>
    <w:rsid w:val="612B13A1"/>
    <w:rsid w:val="61A92379"/>
    <w:rsid w:val="61E51C5E"/>
    <w:rsid w:val="61F27457"/>
    <w:rsid w:val="61F524AB"/>
    <w:rsid w:val="61FF7C84"/>
    <w:rsid w:val="620530E0"/>
    <w:rsid w:val="62145A44"/>
    <w:rsid w:val="62262BE0"/>
    <w:rsid w:val="626678E2"/>
    <w:rsid w:val="62E748C0"/>
    <w:rsid w:val="631303F2"/>
    <w:rsid w:val="63506F50"/>
    <w:rsid w:val="63E96724"/>
    <w:rsid w:val="63EA44DC"/>
    <w:rsid w:val="63FA510E"/>
    <w:rsid w:val="63FE0426"/>
    <w:rsid w:val="64124205"/>
    <w:rsid w:val="644D348F"/>
    <w:rsid w:val="64550596"/>
    <w:rsid w:val="6477605C"/>
    <w:rsid w:val="64801AB7"/>
    <w:rsid w:val="649B244D"/>
    <w:rsid w:val="64A537E1"/>
    <w:rsid w:val="64EC5163"/>
    <w:rsid w:val="64EE6A20"/>
    <w:rsid w:val="64F068BE"/>
    <w:rsid w:val="64F658D5"/>
    <w:rsid w:val="650A5824"/>
    <w:rsid w:val="6529160E"/>
    <w:rsid w:val="652A37D1"/>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AE5E9B"/>
    <w:rsid w:val="66CC2D91"/>
    <w:rsid w:val="66CF2882"/>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2C3FBB"/>
    <w:rsid w:val="693448A9"/>
    <w:rsid w:val="696848C8"/>
    <w:rsid w:val="69824627"/>
    <w:rsid w:val="69892779"/>
    <w:rsid w:val="69BA52E5"/>
    <w:rsid w:val="6A1C4030"/>
    <w:rsid w:val="6A260A0B"/>
    <w:rsid w:val="6A5E5EC5"/>
    <w:rsid w:val="6A75102E"/>
    <w:rsid w:val="6ACD6BE6"/>
    <w:rsid w:val="6ACE4BFE"/>
    <w:rsid w:val="6B075151"/>
    <w:rsid w:val="6B15282D"/>
    <w:rsid w:val="6B5B6548"/>
    <w:rsid w:val="6B6F018F"/>
    <w:rsid w:val="6BDB5825"/>
    <w:rsid w:val="6BE51DE5"/>
    <w:rsid w:val="6C3948F8"/>
    <w:rsid w:val="6C545B9D"/>
    <w:rsid w:val="6C8C6B1F"/>
    <w:rsid w:val="6CA70E8F"/>
    <w:rsid w:val="6CD009DE"/>
    <w:rsid w:val="6CD56CEF"/>
    <w:rsid w:val="6CE801F9"/>
    <w:rsid w:val="6D0603F5"/>
    <w:rsid w:val="6D0854A3"/>
    <w:rsid w:val="6D090706"/>
    <w:rsid w:val="6D1B0A3B"/>
    <w:rsid w:val="6D2A78D9"/>
    <w:rsid w:val="6D2F0CB0"/>
    <w:rsid w:val="6D5911AE"/>
    <w:rsid w:val="6D5C2995"/>
    <w:rsid w:val="6D8343C6"/>
    <w:rsid w:val="6D8E5405"/>
    <w:rsid w:val="6D9C2A14"/>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F76C5D"/>
    <w:rsid w:val="70F8039F"/>
    <w:rsid w:val="71236F3D"/>
    <w:rsid w:val="7139610E"/>
    <w:rsid w:val="71581BF0"/>
    <w:rsid w:val="715B31D5"/>
    <w:rsid w:val="716E4E92"/>
    <w:rsid w:val="71755DD4"/>
    <w:rsid w:val="71771B4C"/>
    <w:rsid w:val="71C07997"/>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B2238F"/>
    <w:rsid w:val="73C11280"/>
    <w:rsid w:val="73D3719B"/>
    <w:rsid w:val="73F41B79"/>
    <w:rsid w:val="740578E3"/>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8D73E2"/>
    <w:rsid w:val="75E55C1E"/>
    <w:rsid w:val="76B90225"/>
    <w:rsid w:val="76C5092E"/>
    <w:rsid w:val="76FE5951"/>
    <w:rsid w:val="771066E9"/>
    <w:rsid w:val="77117357"/>
    <w:rsid w:val="778B1457"/>
    <w:rsid w:val="77AA6FDD"/>
    <w:rsid w:val="77DC18CC"/>
    <w:rsid w:val="780116F5"/>
    <w:rsid w:val="780E1917"/>
    <w:rsid w:val="785015CD"/>
    <w:rsid w:val="78576328"/>
    <w:rsid w:val="786077DD"/>
    <w:rsid w:val="786A534C"/>
    <w:rsid w:val="787E7BA9"/>
    <w:rsid w:val="78886D34"/>
    <w:rsid w:val="789C002C"/>
    <w:rsid w:val="78C37D6C"/>
    <w:rsid w:val="78D85FB2"/>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B2FE7"/>
    <w:rsid w:val="7ABC4A73"/>
    <w:rsid w:val="7AC026A2"/>
    <w:rsid w:val="7AD305E1"/>
    <w:rsid w:val="7B191EC6"/>
    <w:rsid w:val="7B24244C"/>
    <w:rsid w:val="7BA75723"/>
    <w:rsid w:val="7BA94FF8"/>
    <w:rsid w:val="7BD02097"/>
    <w:rsid w:val="7BD91124"/>
    <w:rsid w:val="7C167B78"/>
    <w:rsid w:val="7C1953BA"/>
    <w:rsid w:val="7C1B4DE3"/>
    <w:rsid w:val="7C3B2C04"/>
    <w:rsid w:val="7C52568F"/>
    <w:rsid w:val="7C6151AF"/>
    <w:rsid w:val="7C6554D5"/>
    <w:rsid w:val="7C740168"/>
    <w:rsid w:val="7C765821"/>
    <w:rsid w:val="7C835849"/>
    <w:rsid w:val="7CBB76D8"/>
    <w:rsid w:val="7CCB17CA"/>
    <w:rsid w:val="7CE309DD"/>
    <w:rsid w:val="7CEE743B"/>
    <w:rsid w:val="7D0B6E9E"/>
    <w:rsid w:val="7D1110A6"/>
    <w:rsid w:val="7D63227A"/>
    <w:rsid w:val="7D78205E"/>
    <w:rsid w:val="7D8212B0"/>
    <w:rsid w:val="7D884A57"/>
    <w:rsid w:val="7DAA2A29"/>
    <w:rsid w:val="7DC40443"/>
    <w:rsid w:val="7DE40569"/>
    <w:rsid w:val="7DF80CC1"/>
    <w:rsid w:val="7DFD4780"/>
    <w:rsid w:val="7E105802"/>
    <w:rsid w:val="7E1612D5"/>
    <w:rsid w:val="7E2766A8"/>
    <w:rsid w:val="7E490E8C"/>
    <w:rsid w:val="7E5D031B"/>
    <w:rsid w:val="7E747B3F"/>
    <w:rsid w:val="7E8B48A1"/>
    <w:rsid w:val="7EB05F55"/>
    <w:rsid w:val="7ECF3FA0"/>
    <w:rsid w:val="7ECF6CCC"/>
    <w:rsid w:val="7EEC102B"/>
    <w:rsid w:val="7F712AF3"/>
    <w:rsid w:val="7FB421BD"/>
    <w:rsid w:val="7FD40F23"/>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 w:type="paragraph" w:customStyle="1" w:styleId="284">
    <w:name w:val="参考文献"/>
    <w:next w:val="264"/>
    <w:qFormat/>
    <w:uiPriority w:val="0"/>
    <w:pPr>
      <w:keepNext/>
      <w:pageBreakBefore/>
      <w:widowControl/>
      <w:shd w:val="clear" w:color="FFFFFF" w:fill="FFFFFF"/>
      <w:adjustRightInd w:val="0"/>
      <w:spacing w:before="640" w:after="200" w:line="400" w:lineRule="exact"/>
      <w:jc w:val="center"/>
      <w:outlineLvl w:val="0"/>
    </w:pPr>
    <w:rPr>
      <w:rFonts w:ascii="黑体" w:hAnsi="Calibri" w:eastAsia="黑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15</Pages>
  <Words>2214</Words>
  <Characters>2624</Characters>
  <Lines>28</Lines>
  <Paragraphs>8</Paragraphs>
  <TotalTime>13</TotalTime>
  <ScaleCrop>false</ScaleCrop>
  <LinksUpToDate>false</LinksUpToDate>
  <CharactersWithSpaces>2740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工作组</cp:lastModifiedBy>
  <cp:lastPrinted>2023-10-19T05:03:00Z</cp:lastPrinted>
  <dcterms:modified xsi:type="dcterms:W3CDTF">2026-09-02T01:03:36Z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0E523E3F54514CB48F354FEB8C974D56_13</vt:lpwstr>
  </property>
  <property fmtid="{D5CDD505-2E9C-101B-9397-08002B2CF9AE}" pid="16" name="KSOTemplateDocerSaveRecord">
    <vt:lpwstr>eyJoZGlkIjoiZjg4ZGUzMmU5ZDk0M2FjMzAzOTBhZmQxMjNkNTk0NTYiLCJ1c2VySWQiOiI0MDgwOTI1NzcifQ==</vt:lpwstr>
  </property>
</Properties>
</file>