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298937152"/>
      <w:bookmarkStart w:id="1" w:name="_Toc298936924"/>
      <w:bookmarkStart w:id="2" w:name="_Toc298938783"/>
      <w:bookmarkStart w:id="3" w:name="_Toc298937100"/>
      <w:bookmarkStart w:id="4" w:name="_Toc298937357"/>
      <w:bookmarkStart w:id="5" w:name="_Toc309997040"/>
      <w:bookmarkStart w:id="6" w:name="_Toc37234703"/>
      <w:bookmarkStart w:id="7" w:name="_Toc298937201"/>
      <w:bookmarkStart w:id="8" w:name="_Toc309995472"/>
      <w:bookmarkStart w:id="9" w:name="_Toc304824969"/>
      <w:bookmarkStart w:id="10" w:name="_Toc298937322"/>
      <w:bookmarkStart w:id="11" w:name="_Toc298937167"/>
      <w:bookmarkStart w:id="12" w:name="_Toc304402664"/>
      <w:bookmarkStart w:id="13" w:name="_Toc298937276"/>
      <w:bookmarkStart w:id="14" w:name="_Toc309993180"/>
      <w:bookmarkStart w:id="15" w:name="_Toc298937188"/>
      <w:bookmarkStart w:id="16" w:name="_Toc298937609"/>
      <w:bookmarkStart w:id="17" w:name="_Toc310002637"/>
      <w:bookmarkStart w:id="18" w:name="_Toc298938635"/>
      <w:bookmarkStart w:id="19" w:name="_Toc499110426"/>
      <w:bookmarkStart w:id="20" w:name="_Toc298937419"/>
      <w:bookmarkStart w:id="21" w:name="_Toc6138"/>
      <w:bookmarkStart w:id="22" w:name="_Toc304825081"/>
      <w:bookmarkStart w:id="23" w:name="_Toc298936801"/>
      <w:bookmarkStart w:id="24" w:name="_Toc309995999"/>
      <w:bookmarkStart w:id="25" w:name="_Toc298923383"/>
      <w:bookmarkStart w:id="26" w:name="_Toc298937462"/>
      <w:bookmarkStart w:id="27" w:name="_Toc309995390"/>
      <w:bookmarkStart w:id="28" w:name="_Toc304825008"/>
      <w:bookmarkStart w:id="29" w:name="_Toc304828066"/>
      <w:bookmarkStart w:id="30" w:name="_Toc309995578"/>
      <w:bookmarkStart w:id="31" w:name="_Toc309994551"/>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《不同体质人群用中药贴膏剂安全技术规范》</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2026年7月22日，中国西部开发促进会发布《不同体质人群用中药贴膏剂安全技术规范》团体标准立项通知,开展团体标准的编制工作。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BT1"/>
      <w:bookmarkEnd w:id="32"/>
      <w:bookmarkStart w:id="33" w:name="_Toc298937549"/>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不同体质人群用中药贴膏剂安全技术规范》旨在规范不同体质人群使用中药贴膏剂的适用范围、安全要求、技术准则及评价方法，确保中药贴膏剂体质适配使用体系科学、流程清晰、管控规范，满足不同体质人群用药安全、使用适配、风险防控及健康养护需求。通过统一体质辨识标准、用药安全规范和质量评价方法，可提升中药贴膏剂临床及日常应用的安全性和规范性，降低用药风险和不当使用造成的健康隐患，推动中药贴膏剂体质化应用的规范化和专业化发展。同时，本规范为生产企业、医疗机构及使用者提供安全使用准则、技术标准及风险管控指导，推动精准适配、规范化用药手段应用，支持中医药健康服务标准化和可持续发展。规范实施有助于建立不同体质人群中药贴膏剂安全应用行业标杆，提高安全管控水平和使用适配效率，为各类体质人群安全、合理使用中药贴膏剂提供可靠保障，推动中药贴膏剂健康应用体系有序、高质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标准具有重要的行业与应用意义。一方面，统一不同体质人群中药贴膏剂的体质辨识依据、安全使用标准及风险评价方法，可规范中药贴膏剂的人群适配使用行为，提升用药适配性与安全性，保障不同体质人群用药健康、规避适配不当风险、规范产品应用管理，推动中药贴膏剂体质化应用整体水平提升。另一方面，规范实施有助于优化用药管控流程、降低不当使用引发的安全隐患、提升精准用药服务效率，推动中医药规范化应用和健康产业可持续发展战略落实。同时，本规范为中药贴膏剂生产研发、临床应用及市场服务提供制度化、可执行的技术与安全指导，提升产品安全质量与市场规范化水平，形成可推广、标准化的体质适配用药管理体系，促进行业规范化应用水平提升与技术创新，为中药贴膏剂精准、安全、智能化适配应用发展奠定基础。</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AC14C80">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当前不同体质人群使用中药贴膏剂面临体质适配标准不统一、安全使用规范差异大、临床及日常应用安全隐患突出等问题。一方面，中药贴膏剂的适用体质界定、使用禁忌、操作流程、安全考核标准缺乏统一规范，难以全面匹配不同体质人群的生理特征与用药需求，导致产品使用安全性难以稳定、风险管控效率难以保障。另一方面，市面中药贴膏剂针对体质适配的研发标准、应用准则、风险管控手段及评价体系差异显著，缺乏通用、可复用的人群适配安全技术标准，不利于中药贴膏剂行业规范化、专业化发展。同时，国家及药监、中医药主管部门高度重视中医药产品安全管控、精准用药及规范化应用，政策层面对中医药标准化、安全化发展提出明确要求，因此制定本统一规范具有迫切性和必要性。本规范的实施将有效填补不同体质人群中药贴膏剂安全应用的标准空白，提升产品应用管控可控性、用药安全性与临床应用可靠性。</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不同体质人群用中药贴膏剂安全技术规范》将统一体质适配准则和安全使用标准，提升中药贴膏剂安全应用质量与管控效率，保障不同体质人群用药安全与合理适配使用，推动中药贴膏剂应用规范化、专业化和精准化发展，建立行业应用标杆，支持中医药标准化发展和健康服务行业综合竞争力提升。</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0"/>
        <w:gridCol w:w="5218"/>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default"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根据项目要求，于2026年7月组织开展起草工作，成立《</w:t>
      </w:r>
      <w:r>
        <w:rPr>
          <w:rFonts w:hint="eastAsia" w:ascii="仿宋" w:hAnsi="仿宋" w:eastAsia="仿宋" w:cs="仿宋"/>
          <w:kern w:val="0"/>
          <w:sz w:val="21"/>
          <w:szCs w:val="21"/>
          <w:lang w:val="en-US" w:eastAsia="zh-CN" w:bidi="ar-SA"/>
        </w:rPr>
        <w:t>不同体质人群用中药贴膏剂安全技术规范</w:t>
      </w:r>
      <w:r>
        <w:rPr>
          <w:rFonts w:hint="eastAsia" w:ascii="仿宋" w:hAnsi="仿宋" w:eastAsia="仿宋" w:cs="仿宋"/>
          <w:sz w:val="21"/>
          <w:szCs w:val="21"/>
          <w:lang w:val="en-US" w:eastAsia="zh-CN"/>
        </w:rPr>
        <w:t>》团体标准起草小组。</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2026年7月22日团体标准正式立项</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文献梳理、行业调研和临床应用分析的基础上，搭建《不同体质人群用中药贴膏剂安全技术规范》标准框架，结合不同体质人群用药特征、贴膏剂安全使用要求及产业实际情况，明确本标准核心技术条款，于2026年9月完成标准草案编制工作。</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为确保本标准技术要求的科学性和可操作性，起草小组结合产品应用场景、不同人群体质特征开展了系统试验验证工作。试验内容包括各类体质人群中药贴膏剂适配性、耐受度、使用禁忌及不良反应防控测试。通过不同体质类型、不同使用时长及不同应用场景的重复试验，分析体质差异对贴膏剂使用安全性、适配性的影响规律，验证了标准中体质判定、安全管控及使用规范的可行性与准确性。试验结果表明，标准规定的技术要求、适配准则和安全评价指标能够精准判定不同人群用药适配情况，有效规避体质不适配引发的用药风险，满足各类人群安全、规范使用中药贴膏剂的核心需求，为标准的科学制定提供可靠依据。</w:t>
      </w:r>
    </w:p>
    <w:p w14:paraId="0CCF6F6F">
      <w:pPr>
        <w:pStyle w:val="30"/>
        <w:keepNext w:val="0"/>
        <w:keepLines w:val="0"/>
        <w:pageBreakBefore w:val="0"/>
        <w:widowControl/>
        <w:numPr>
          <w:ilvl w:val="0"/>
          <w:numId w:val="15"/>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综述报告</w:t>
      </w:r>
    </w:p>
    <w:p w14:paraId="529056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当前我国中药贴膏剂安全应用与人群适配技术在产业发展中持续完善，但体质适配判定与安全管控评价仍存在明显短板。一是各企业及机构在中药贴膏剂适用体质界定、禁忌人群划分、安全使用规范上缺乏统一标准，导致产品人群适配判定结果无法横向统一；二是行业对不同体质人群用药风险、皮肤耐受差异、不良反应诱因的评价重点不统一，适配判定多依赖经验总结，缺少量化、规范化的评价方法；三是现有标准多聚焦产品本身质量指标，缺乏针对阴虚、阳虚、湿热等不同体质人群的专属安全应用规范和适配评价体系；四是终端市场和临床应用中，贴膏剂体质适配指导资料不完善、安全判定依据不统一，制约产品安全推广与行业规范化发展。随着中医药养生保健产业快速发展、中药外用贴膏普及应用，差异化、精准化的体质安全用药需求持续攀升，制定本统一标准具备坚实的行业基础与现实需求。</w:t>
      </w:r>
    </w:p>
    <w:p w14:paraId="64D27F7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14EB9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本标准统一不同体质人群中药贴膏剂的适配判定规则、安全管控指标、使用禁忌要求和风险评价方法，降低企业产品适配研发、人群安全验证的技术难度，缩短企业研发人员、临床服务人员的培训周期，减少盲目试验、适配判定失误带来的技术偏差。经济层面，标准化的体质适配与安全管控体系，可优化产品研发验证、市场合规、临床应用管控流程，大幅降低企业人力、试验及合规成本，实现行业整体降本增效。同时，标准为国内中药贴膏生产企业提供人群适配研发、安全风控的规范化指导，推动产品适配性、安全性迭代升级，提升国产中药外用贴膏的市场认可度与核心竞争力，助力中医药外用产业规范化、高质量发展，形成“标准规范提质、品质升级增效”的良性循环，技术可行性与经济合理性均得到充分论证。</w:t>
      </w:r>
    </w:p>
    <w:p w14:paraId="1A9C34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110D685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实施后，可通过统一体质适配标准与安全管控规范，提升中药贴膏剂人群适配判定、安全风险评估的准确性与稳定性，降低企业研发验证、合规检测的物料、人力及时间成本，优化产品开发与市场备案效率；推动企业依据体质特征优化产品配方、改良适配工艺，针对性提升产品人群适配性与使用安全性，助力国产中药贴膏提质升级，进一步抢占健康养护、理疗康复市场份额；标准化的适配评价与安全管控体系，可缩短新产品人群验证、市场落地及人员培训周期，减少无效研发与重复整改成本；同时，标准可推动中药贴膏剂在不同体质人群中的精准、安全普及应用，拓展产品应用场景与市场规模，为中药外用制剂行业带来稳定可观的经济效益，持续夯实产业标准化发展根基。</w:t>
      </w:r>
    </w:p>
    <w:p w14:paraId="4F982925">
      <w:pPr>
        <w:pStyle w:val="30"/>
        <w:keepNext w:val="0"/>
        <w:keepLines w:val="0"/>
        <w:pageBreakBefore w:val="0"/>
        <w:widowControl/>
        <w:numPr>
          <w:ilvl w:val="0"/>
          <w:numId w:val="16"/>
        </w:numPr>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社会效益和生态效益</w:t>
      </w:r>
    </w:p>
    <w:p w14:paraId="1C1AA63B">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的制定与实施将带来显著的社会效益和生态效益。一方面，通过统一不同体质人群用中药贴膏剂安全技术规范，完善行业人群适配与安全用药评价体系，有效规避体质错配引发的皮肤过敏、耐受不良等用药风险，切实保障广大消费者用药安全与健康权益，推动中药贴膏剂行业标准化、规范化、精细化高质量发展，提升我国中医药外用制剂产业的技术水平与行业公信力，同时助力企业开展精准化技术研发，培育中医药安全管控、体质适配专业人才，带动中医药大健康上下游产业协同发展。另一方面，标准化的研发验证与安全管控体系，可有效减少企业盲目配方调试、重复人群试验造成的物料资源损耗，降低产品整改、低效生产带来的资源浪费与能耗消耗，引导企业开展绿色研发、合规生产、精准提质，推动中药贴膏剂产业绿色低碳发展，实现产业提质升级与生态保护协同共进，为构建安全、规范、高效、绿色的中医药外用产业体系提供有力支撑。</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通过对比分析国内外外用贴剂安全使用、人群适配及风险管控同类标准发现，国外相关标准多聚焦化学外用贴剂的皮肤安全性、通用使用禁忌、普通人群耐受度检测，未针对不同体质人群的差异化用药特征制定规范，且不适用于中药复方贴膏剂的草本属性与辨证使用特点，缺乏针对性的体质适配判定与个体化安全管控要求。国内现有标准主要侧重中药贴膏剂理化质量、卫生指标、通用安全性能检测，针对不同体质人群差异化适配规则、专属安全使用规范、体质风险量化评价的系统化标准体系尚存在空白。本标准在参考国内外外用贴剂安全管控先进技术基础上，立足中医药辨证施养、体质差异化应用的核心特点，结合中药贴膏剂复方草本特性、不同体质人群皮肤耐受差异、多场景使用需求，统一了体质适配判定准则、安全使用技术规范、风险评价方法及管控要求，实现了人群差异化安全用药、产品规范化管控、产业化落地应用的有机统一，有效弥补了国内外标准在中药贴膏剂体质适配、个体化安全应用领域的技术空白，凸显了中医药标准化、精准化应用的本土特色与行业优势。</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00AFCA7C">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17233326"/>
      <w:bookmarkStart w:id="36" w:name="_Toc24884212"/>
      <w:bookmarkStart w:id="37" w:name="_Toc26648466"/>
      <w:bookmarkStart w:id="38" w:name="_Toc17233334"/>
      <w:bookmarkStart w:id="39" w:name="_Toc24884219"/>
      <w:r>
        <w:rPr>
          <w:rFonts w:hint="eastAsia" w:ascii="仿宋" w:hAnsi="仿宋" w:eastAsia="仿宋" w:cs="仿宋"/>
          <w:sz w:val="21"/>
          <w:szCs w:val="21"/>
          <w:lang w:val="en-US" w:eastAsia="zh-CN"/>
        </w:rPr>
        <w:t>本文件规定了不同体质人群用中药贴膏剂的体质分类与辨识、安全技术要求、试验方法、安全使用规范、标签与说明书等内容。</w:t>
      </w:r>
    </w:p>
    <w:p w14:paraId="571A5D27">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本文件适用于以中药材、中药提取物或中药细粉为主要原料，经加工制成的供不同体质人群贴敷于皮肤表面的中药贴膏剂（包括橡胶膏剂、凝胶膏剂、黑膏药及热熔胶贴膏剂等）的生产、质量控制和安全使用。</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26986531"/>
      <w:bookmarkStart w:id="41" w:name="_Toc113282591"/>
      <w:bookmarkStart w:id="42" w:name="_Toc26986772"/>
      <w:bookmarkStart w:id="43" w:name="_Toc97192965"/>
      <w:bookmarkStart w:id="44" w:name="_Toc11915"/>
      <w:bookmarkStart w:id="45" w:name="_Toc26718931"/>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55B16BB1">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191  包装储运图形符号标志</w:t>
      </w:r>
    </w:p>
    <w:p w14:paraId="1B5ED667">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2792  胶粘带剥离强度的试验方法</w:t>
      </w:r>
    </w:p>
    <w:p w14:paraId="304C55E3">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 15979  一次性使用卫生用品卫生要求</w:t>
      </w:r>
    </w:p>
    <w:p w14:paraId="39E2F12B">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16886.5  医疗器械生物学评价　第5部分：体外细胞毒性试验</w:t>
      </w:r>
    </w:p>
    <w:p w14:paraId="759147CA">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16886.10  医疗器械生物学评价　第10部分：皮肤致敏试验</w:t>
      </w:r>
    </w:p>
    <w:p w14:paraId="2B55EE34">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46939  中医体质分类与判定</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2484"/>
      <w:bookmarkStart w:id="47" w:name="_Toc97192966"/>
      <w:bookmarkStart w:id="48" w:name="_Toc113282592"/>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明确了不同体质人群用中药贴膏剂的相关术语定义。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体质分类与辨识</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明确了不同体质人群用中药贴膏剂的体质分类与辨识。</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.安全技术要求</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明确了不同体质人群用中药贴膏剂的安全技术要求。</w:t>
      </w:r>
    </w:p>
    <w:p w14:paraId="4DE079B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2" w:name="_Toc11466"/>
      <w:r>
        <w:rPr>
          <w:rFonts w:hint="eastAsia" w:ascii="仿宋" w:hAnsi="仿宋" w:eastAsia="仿宋" w:cs="仿宋"/>
          <w:b/>
          <w:bCs/>
          <w:sz w:val="21"/>
          <w:szCs w:val="21"/>
          <w:lang w:val="en-US" w:eastAsia="zh-CN"/>
        </w:rPr>
        <w:t>7.</w:t>
      </w:r>
      <w:bookmarkEnd w:id="52"/>
      <w:r>
        <w:rPr>
          <w:rFonts w:hint="eastAsia" w:ascii="仿宋" w:hAnsi="仿宋" w:eastAsia="仿宋" w:cs="仿宋"/>
          <w:b/>
          <w:bCs/>
          <w:sz w:val="21"/>
          <w:szCs w:val="21"/>
          <w:lang w:val="en-US" w:eastAsia="zh-CN"/>
        </w:rPr>
        <w:t>试验方法</w:t>
      </w:r>
    </w:p>
    <w:p w14:paraId="6397AAC7">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包括了技术要求的试验方法。</w:t>
      </w:r>
    </w:p>
    <w:p w14:paraId="5D28B2A7">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8.</w:t>
      </w:r>
      <w:r>
        <w:rPr>
          <w:rFonts w:hint="eastAsia" w:ascii="仿宋" w:hAnsi="仿宋" w:eastAsia="仿宋" w:cs="仿宋"/>
          <w:b/>
          <w:bCs/>
          <w:sz w:val="21"/>
          <w:szCs w:val="21"/>
          <w:lang w:val="en-US" w:eastAsia="zh-CN" w:bidi="ar-SA"/>
        </w:rPr>
        <w:t>安全使用规范</w:t>
      </w:r>
    </w:p>
    <w:p w14:paraId="02B974E1">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明确了不同体质人群用中药贴膏剂的安全使用规范。</w:t>
      </w:r>
    </w:p>
    <w:p w14:paraId="43C1DDC2">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9.标签与说明书</w:t>
      </w:r>
    </w:p>
    <w:p w14:paraId="1B1C2786">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明确了不同体质人群用中药贴膏剂的标签与说明书。</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bookmarkStart w:id="53" w:name="_GoBack"/>
      <w:bookmarkEnd w:id="53"/>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2026年9月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64D1A"/>
    <w:multiLevelType w:val="singleLevel"/>
    <w:tmpl w:val="CCF64D1A"/>
    <w:lvl w:ilvl="0" w:tentative="0">
      <w:start w:val="5"/>
      <w:numFmt w:val="decimal"/>
      <w:suff w:val="space"/>
      <w:lvlText w:val="%1."/>
      <w:lvlJc w:val="left"/>
    </w:lvl>
  </w:abstractNum>
  <w:abstractNum w:abstractNumId="1">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2">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6">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9">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1">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B6A9639"/>
    <w:multiLevelType w:val="singleLevel"/>
    <w:tmpl w:val="6B6A9639"/>
    <w:lvl w:ilvl="0" w:tentative="0">
      <w:start w:val="2"/>
      <w:numFmt w:val="decimal"/>
      <w:suff w:val="space"/>
      <w:lvlText w:val="%1."/>
      <w:lvlJc w:val="left"/>
    </w:lvl>
  </w:abstractNum>
  <w:abstractNum w:abstractNumId="1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5"/>
  </w:num>
  <w:num w:numId="2">
    <w:abstractNumId w:val="2"/>
  </w:num>
  <w:num w:numId="3">
    <w:abstractNumId w:val="12"/>
  </w:num>
  <w:num w:numId="4">
    <w:abstractNumId w:val="15"/>
  </w:num>
  <w:num w:numId="5">
    <w:abstractNumId w:val="3"/>
  </w:num>
  <w:num w:numId="6">
    <w:abstractNumId w:val="10"/>
  </w:num>
  <w:num w:numId="7">
    <w:abstractNumId w:val="1"/>
  </w:num>
  <w:num w:numId="8">
    <w:abstractNumId w:val="4"/>
  </w:num>
  <w:num w:numId="9">
    <w:abstractNumId w:val="6"/>
  </w:num>
  <w:num w:numId="10">
    <w:abstractNumId w:val="14"/>
  </w:num>
  <w:num w:numId="11">
    <w:abstractNumId w:val="8"/>
  </w:num>
  <w:num w:numId="12">
    <w:abstractNumId w:val="11"/>
  </w:num>
  <w:num w:numId="13">
    <w:abstractNumId w:val="7"/>
  </w:num>
  <w:num w:numId="14">
    <w:abstractNumId w:val="9"/>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48E0186"/>
    <w:rsid w:val="0537491E"/>
    <w:rsid w:val="057B5C57"/>
    <w:rsid w:val="060774EA"/>
    <w:rsid w:val="066162C0"/>
    <w:rsid w:val="06EB3D51"/>
    <w:rsid w:val="07634114"/>
    <w:rsid w:val="07D4164E"/>
    <w:rsid w:val="083D0E5B"/>
    <w:rsid w:val="08966B4A"/>
    <w:rsid w:val="08F63AE4"/>
    <w:rsid w:val="094B2BCC"/>
    <w:rsid w:val="095E6352"/>
    <w:rsid w:val="09D01CF6"/>
    <w:rsid w:val="0AA14B1F"/>
    <w:rsid w:val="0ACE05D7"/>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4C29E0"/>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28B6AB8"/>
    <w:rsid w:val="232B1F73"/>
    <w:rsid w:val="237D604C"/>
    <w:rsid w:val="23F135A1"/>
    <w:rsid w:val="23FE39BD"/>
    <w:rsid w:val="245F4818"/>
    <w:rsid w:val="24786C81"/>
    <w:rsid w:val="255D282B"/>
    <w:rsid w:val="256A59C8"/>
    <w:rsid w:val="267E4497"/>
    <w:rsid w:val="268E3C87"/>
    <w:rsid w:val="27AD772F"/>
    <w:rsid w:val="27B564C5"/>
    <w:rsid w:val="27D551EF"/>
    <w:rsid w:val="2802590C"/>
    <w:rsid w:val="281D775F"/>
    <w:rsid w:val="28A16ED3"/>
    <w:rsid w:val="29236BB2"/>
    <w:rsid w:val="29287901"/>
    <w:rsid w:val="2935321D"/>
    <w:rsid w:val="2A677F6B"/>
    <w:rsid w:val="2BBA5A9A"/>
    <w:rsid w:val="2C386CC9"/>
    <w:rsid w:val="2CE00993"/>
    <w:rsid w:val="2D830B39"/>
    <w:rsid w:val="2E257B1B"/>
    <w:rsid w:val="2E677AE4"/>
    <w:rsid w:val="2F0106CB"/>
    <w:rsid w:val="2F4635EA"/>
    <w:rsid w:val="2FD87AD3"/>
    <w:rsid w:val="30CA5BDB"/>
    <w:rsid w:val="30E86825"/>
    <w:rsid w:val="311961A0"/>
    <w:rsid w:val="31D236D5"/>
    <w:rsid w:val="326655EE"/>
    <w:rsid w:val="327B69E7"/>
    <w:rsid w:val="33C34EFC"/>
    <w:rsid w:val="34366F6E"/>
    <w:rsid w:val="344F3C87"/>
    <w:rsid w:val="34790D04"/>
    <w:rsid w:val="34A15065"/>
    <w:rsid w:val="35AB7232"/>
    <w:rsid w:val="35D61655"/>
    <w:rsid w:val="361A2073"/>
    <w:rsid w:val="362A1092"/>
    <w:rsid w:val="36461B5D"/>
    <w:rsid w:val="3690287C"/>
    <w:rsid w:val="36AD56C5"/>
    <w:rsid w:val="36DC5408"/>
    <w:rsid w:val="376B4D89"/>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1F2EEA"/>
    <w:rsid w:val="42397461"/>
    <w:rsid w:val="42943327"/>
    <w:rsid w:val="431F3CCE"/>
    <w:rsid w:val="4476626D"/>
    <w:rsid w:val="44A361F7"/>
    <w:rsid w:val="45126EB0"/>
    <w:rsid w:val="4539127E"/>
    <w:rsid w:val="4571647E"/>
    <w:rsid w:val="465D414E"/>
    <w:rsid w:val="46641814"/>
    <w:rsid w:val="46FB1126"/>
    <w:rsid w:val="47303087"/>
    <w:rsid w:val="47503B46"/>
    <w:rsid w:val="4770243A"/>
    <w:rsid w:val="47A27D2C"/>
    <w:rsid w:val="47FF5164"/>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B400F"/>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8EB1921"/>
    <w:rsid w:val="592316E9"/>
    <w:rsid w:val="59E0617E"/>
    <w:rsid w:val="59FE7432"/>
    <w:rsid w:val="5A790E13"/>
    <w:rsid w:val="5A9329EF"/>
    <w:rsid w:val="5B076365"/>
    <w:rsid w:val="5BD72D72"/>
    <w:rsid w:val="5C10118B"/>
    <w:rsid w:val="5C2A169D"/>
    <w:rsid w:val="5C495A77"/>
    <w:rsid w:val="5CA05EB7"/>
    <w:rsid w:val="5DD13F05"/>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49C18DF"/>
    <w:rsid w:val="7524023C"/>
    <w:rsid w:val="75605DEF"/>
    <w:rsid w:val="75F705EE"/>
    <w:rsid w:val="76276979"/>
    <w:rsid w:val="767173B7"/>
    <w:rsid w:val="76896320"/>
    <w:rsid w:val="76A154AD"/>
    <w:rsid w:val="76A74C81"/>
    <w:rsid w:val="76AC5DF9"/>
    <w:rsid w:val="76DD695E"/>
    <w:rsid w:val="77DC6BAC"/>
    <w:rsid w:val="77F17B85"/>
    <w:rsid w:val="78202F3D"/>
    <w:rsid w:val="784813C5"/>
    <w:rsid w:val="786C45B6"/>
    <w:rsid w:val="78A07E1A"/>
    <w:rsid w:val="78AB3FAF"/>
    <w:rsid w:val="790F4618"/>
    <w:rsid w:val="795456E5"/>
    <w:rsid w:val="79C25BC5"/>
    <w:rsid w:val="79DF5F38"/>
    <w:rsid w:val="7A86111E"/>
    <w:rsid w:val="7AAF34A6"/>
    <w:rsid w:val="7B0E0703"/>
    <w:rsid w:val="7B223D6B"/>
    <w:rsid w:val="7C260CFC"/>
    <w:rsid w:val="7C413482"/>
    <w:rsid w:val="7C4B4301"/>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4697</Words>
  <Characters>4793</Characters>
  <Lines>17</Lines>
  <Paragraphs>4</Paragraphs>
  <TotalTime>1</TotalTime>
  <ScaleCrop>false</ScaleCrop>
  <LinksUpToDate>false</LinksUpToDate>
  <CharactersWithSpaces>4822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2026-09-02T01:03:31Z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E8CBBA1077E7489987E31FBE6047C2D4_13</vt:lpwstr>
  </property>
  <property fmtid="{D5CDD505-2E9C-101B-9397-08002B2CF9AE}" pid="4" name="KSOTemplateDocerSaveRecord">
    <vt:lpwstr>eyJoZGlkIjoiZjg4ZGUzMmU5ZDk0M2FjMzAzOTBhZmQxMjNkNTk0NTYiLCJ1c2VySWQiOiI0MDgwOTI1NzcifQ==</vt:lpwstr>
  </property>
</Properties>
</file>