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default" w:ascii="黑体" w:hAnsi="黑体" w:eastAsia="黑体" w:cs="Times New Roman"/>
                <w:kern w:val="2"/>
                <w:sz w:val="21"/>
                <w:szCs w:val="21"/>
                <w:lang w:val="en-US" w:eastAsia="zh-CN" w:bidi="ar-SA"/>
              </w:rPr>
              <w:fldChar w:fldCharType="begin">
                <w:ffData>
                  <w:name w:val="ICS"/>
                  <w:enabled/>
                  <w:calcOnExit w:val="0"/>
                  <w:textInput>
                    <w:default w:val="11.020"/>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11.020</w:t>
            </w:r>
            <w:r>
              <w:rPr>
                <w:rFonts w:hint="default"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default" w:ascii="黑体" w:hAnsi="黑体" w:eastAsia="黑体" w:cs="Times New Roman"/>
                <w:kern w:val="2"/>
                <w:sz w:val="21"/>
                <w:szCs w:val="21"/>
                <w:lang w:val="en-US" w:eastAsia="zh-CN" w:bidi="ar-SA"/>
              </w:rPr>
              <w:fldChar w:fldCharType="begin">
                <w:ffData>
                  <w:name w:val="CSDN"/>
                  <w:enabled/>
                  <w:calcOnExit w:val="0"/>
                  <w:textInput>
                    <w:default w:val="C 05"/>
                  </w:textInput>
                </w:ffData>
              </w:fldChar>
            </w:r>
            <w:r>
              <w:rPr>
                <w:rFonts w:hint="default" w:ascii="黑体" w:hAnsi="黑体" w:eastAsia="黑体" w:cs="Times New Roman"/>
                <w:kern w:val="2"/>
                <w:sz w:val="21"/>
                <w:szCs w:val="21"/>
                <w:lang w:val="en-US" w:eastAsia="zh-CN" w:bidi="ar-SA"/>
              </w:rPr>
              <w:instrText xml:space="preserve">FORMTEXT</w:instrText>
            </w:r>
            <w:r>
              <w:rPr>
                <w:rFonts w:hint="default" w:ascii="黑体" w:hAnsi="黑体" w:eastAsia="黑体" w:cs="Times New Roman"/>
                <w:kern w:val="2"/>
                <w:sz w:val="21"/>
                <w:szCs w:val="21"/>
                <w:lang w:val="en-US" w:eastAsia="zh-CN" w:bidi="ar-SA"/>
              </w:rPr>
              <w:fldChar w:fldCharType="separate"/>
            </w:r>
            <w:r>
              <w:rPr>
                <w:rFonts w:hint="default" w:ascii="黑体" w:hAnsi="黑体" w:eastAsia="黑体" w:cs="Times New Roman"/>
                <w:kern w:val="2"/>
                <w:sz w:val="21"/>
                <w:szCs w:val="21"/>
                <w:lang w:val="en-US" w:eastAsia="zh-CN" w:bidi="ar-SA"/>
              </w:rPr>
              <w:t>C 05</w:t>
            </w:r>
            <w:r>
              <w:rPr>
                <w:rFonts w:hint="default"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default" w:ascii="黑体" w:hAnsi="Times New Roman" w:eastAsia="黑体" w:cs="Times New Roman"/>
          <w:bCs/>
          <w:sz w:val="28"/>
          <w:szCs w:val="28"/>
          <w:lang w:val="en-US" w:eastAsia="zh-CN" w:bidi="ar-SA"/>
        </w:rPr>
        <w:t>     </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中药贴膏剂透皮吸收效率评价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中药贴膏剂透皮吸收效率评价规范</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Evaluation specification for transdermal absorption efficiency of traditional Chinese medicine plasters"/>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Evaluation specification for transdermal absorption efficiency of traditional Chinese medicine plasters</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  </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9" w:type="first"/>
          <w:headerReference r:id="rId5" w:type="default"/>
          <w:footerReference r:id="rId7" w:type="default"/>
          <w:footerReference r:id="rId8" w:type="even"/>
          <w:type w:val="continuous"/>
          <w:pgSz w:w="11906" w:h="16838"/>
          <w:pgMar w:top="567" w:right="1134" w:bottom="1134" w:left="1417" w:header="1418" w:footer="1134" w:gutter="283"/>
          <w:pgNumType w:fmt="upperRoman"/>
          <w:cols w:space="0" w:num="1"/>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50158766"/>
      <w:bookmarkStart w:id="21" w:name="_Toc148612844"/>
      <w:bookmarkStart w:id="22" w:name="_Toc150158739"/>
      <w:r>
        <w:rPr>
          <w:rFonts w:hint="eastAsia"/>
          <w:spacing w:val="320"/>
        </w:rPr>
        <w:t>目次</w:t>
      </w:r>
    </w:p>
    <w:p w14:paraId="058739BC">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_Toc21570 </w:instrText>
      </w:r>
      <w:r>
        <w:fldChar w:fldCharType="separate"/>
      </w:r>
      <w:r>
        <w:rPr>
          <w:rFonts w:hint="eastAsia"/>
          <w:spacing w:val="320"/>
        </w:rPr>
        <w:t>前言</w:t>
      </w:r>
      <w:r>
        <w:tab/>
      </w:r>
      <w:r>
        <w:fldChar w:fldCharType="begin"/>
      </w:r>
      <w:r>
        <w:instrText xml:space="preserve"> PAGEREF _Toc21570 \h </w:instrText>
      </w:r>
      <w:r>
        <w:fldChar w:fldCharType="separate"/>
      </w:r>
      <w:r>
        <w:t>II</w:t>
      </w:r>
      <w:r>
        <w:fldChar w:fldCharType="end"/>
      </w:r>
      <w:r>
        <w:fldChar w:fldCharType="end"/>
      </w:r>
    </w:p>
    <w:p w14:paraId="72C15A25">
      <w:pPr>
        <w:pStyle w:val="20"/>
        <w:tabs>
          <w:tab w:val="right" w:leader="dot" w:pos="9355"/>
        </w:tabs>
      </w:pPr>
      <w:r>
        <w:fldChar w:fldCharType="begin"/>
      </w:r>
      <w:r>
        <w:instrText xml:space="preserve"> HYPERLINK \l _Toc15399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_Toc15399 \h </w:instrText>
      </w:r>
      <w:r>
        <w:fldChar w:fldCharType="separate"/>
      </w:r>
      <w:r>
        <w:t>1</w:t>
      </w:r>
      <w:r>
        <w:fldChar w:fldCharType="end"/>
      </w:r>
      <w:r>
        <w:fldChar w:fldCharType="end"/>
      </w:r>
    </w:p>
    <w:p w14:paraId="36ADB925">
      <w:pPr>
        <w:pStyle w:val="20"/>
        <w:tabs>
          <w:tab w:val="right" w:leader="dot" w:pos="9355"/>
        </w:tabs>
      </w:pPr>
      <w:r>
        <w:fldChar w:fldCharType="begin"/>
      </w:r>
      <w:r>
        <w:instrText xml:space="preserve"> HYPERLINK \l _Toc19878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_Toc19878 \h </w:instrText>
      </w:r>
      <w:r>
        <w:fldChar w:fldCharType="separate"/>
      </w:r>
      <w:r>
        <w:t>1</w:t>
      </w:r>
      <w:r>
        <w:fldChar w:fldCharType="end"/>
      </w:r>
      <w:r>
        <w:fldChar w:fldCharType="end"/>
      </w:r>
    </w:p>
    <w:p w14:paraId="6DB6F085">
      <w:pPr>
        <w:pStyle w:val="20"/>
        <w:tabs>
          <w:tab w:val="right" w:leader="dot" w:pos="9355"/>
        </w:tabs>
      </w:pPr>
      <w:r>
        <w:fldChar w:fldCharType="begin"/>
      </w:r>
      <w:r>
        <w:instrText xml:space="preserve"> HYPERLINK \l _Toc28755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_Toc28755 \h </w:instrText>
      </w:r>
      <w:r>
        <w:fldChar w:fldCharType="separate"/>
      </w:r>
      <w:r>
        <w:t>1</w:t>
      </w:r>
      <w:r>
        <w:fldChar w:fldCharType="end"/>
      </w:r>
      <w:r>
        <w:fldChar w:fldCharType="end"/>
      </w:r>
    </w:p>
    <w:p w14:paraId="2DAD277D">
      <w:pPr>
        <w:pStyle w:val="20"/>
        <w:tabs>
          <w:tab w:val="right" w:leader="dot" w:pos="9355"/>
        </w:tabs>
      </w:pPr>
      <w:r>
        <w:fldChar w:fldCharType="begin"/>
      </w:r>
      <w:r>
        <w:instrText xml:space="preserve"> HYPERLINK \l _Toc18345 </w:instrText>
      </w:r>
      <w:r>
        <w:fldChar w:fldCharType="separate"/>
      </w:r>
      <w:r>
        <w:rPr>
          <w:rFonts w:hint="eastAsia" w:ascii="黑体" w:eastAsia="黑体"/>
          <w:i w:val="0"/>
        </w:rPr>
        <w:t xml:space="preserve">4 </w:t>
      </w:r>
      <w:r>
        <w:rPr>
          <w:rFonts w:hint="eastAsia"/>
        </w:rPr>
        <w:t>评价原则与基本要求</w:t>
      </w:r>
      <w:r>
        <w:tab/>
      </w:r>
      <w:r>
        <w:fldChar w:fldCharType="begin"/>
      </w:r>
      <w:r>
        <w:instrText xml:space="preserve"> PAGEREF _Toc18345 \h </w:instrText>
      </w:r>
      <w:r>
        <w:fldChar w:fldCharType="separate"/>
      </w:r>
      <w:r>
        <w:t>2</w:t>
      </w:r>
      <w:r>
        <w:fldChar w:fldCharType="end"/>
      </w:r>
      <w:r>
        <w:fldChar w:fldCharType="end"/>
      </w:r>
    </w:p>
    <w:p w14:paraId="552DA4A1">
      <w:pPr>
        <w:pStyle w:val="25"/>
        <w:tabs>
          <w:tab w:val="right" w:leader="dot" w:pos="9355"/>
          <w:tab w:val="clear" w:pos="9344"/>
        </w:tabs>
      </w:pPr>
      <w:r>
        <w:fldChar w:fldCharType="begin"/>
      </w:r>
      <w:r>
        <w:instrText xml:space="preserve"> HYPERLINK \l _Toc6029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rPr>
        <w:t>评价原则</w:t>
      </w:r>
      <w:r>
        <w:tab/>
      </w:r>
      <w:r>
        <w:fldChar w:fldCharType="begin"/>
      </w:r>
      <w:r>
        <w:instrText xml:space="preserve"> PAGEREF _Toc6029 \h </w:instrText>
      </w:r>
      <w:r>
        <w:fldChar w:fldCharType="separate"/>
      </w:r>
      <w:r>
        <w:t>2</w:t>
      </w:r>
      <w:r>
        <w:fldChar w:fldCharType="end"/>
      </w:r>
      <w:r>
        <w:fldChar w:fldCharType="end"/>
      </w:r>
    </w:p>
    <w:p w14:paraId="02355A7F">
      <w:pPr>
        <w:pStyle w:val="25"/>
        <w:tabs>
          <w:tab w:val="right" w:leader="dot" w:pos="9355"/>
          <w:tab w:val="clear" w:pos="9344"/>
        </w:tabs>
      </w:pPr>
      <w:r>
        <w:fldChar w:fldCharType="begin"/>
      </w:r>
      <w:r>
        <w:instrText xml:space="preserve"> HYPERLINK \l _Toc2694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lang w:val="en-US" w:eastAsia="zh-CN"/>
        </w:rPr>
        <w:t>试验样品</w:t>
      </w:r>
      <w:r>
        <w:rPr>
          <w:rFonts w:hint="eastAsia"/>
        </w:rPr>
        <w:t>要求</w:t>
      </w:r>
      <w:r>
        <w:tab/>
      </w:r>
      <w:r>
        <w:fldChar w:fldCharType="begin"/>
      </w:r>
      <w:r>
        <w:instrText xml:space="preserve"> PAGEREF _Toc2694 \h </w:instrText>
      </w:r>
      <w:r>
        <w:fldChar w:fldCharType="separate"/>
      </w:r>
      <w:r>
        <w:t>2</w:t>
      </w:r>
      <w:r>
        <w:fldChar w:fldCharType="end"/>
      </w:r>
      <w:r>
        <w:fldChar w:fldCharType="end"/>
      </w:r>
    </w:p>
    <w:p w14:paraId="56E199C1">
      <w:pPr>
        <w:pStyle w:val="25"/>
        <w:tabs>
          <w:tab w:val="right" w:leader="dot" w:pos="9355"/>
          <w:tab w:val="clear" w:pos="9344"/>
        </w:tabs>
      </w:pPr>
      <w:r>
        <w:fldChar w:fldCharType="begin"/>
      </w:r>
      <w:r>
        <w:instrText xml:space="preserve"> HYPERLINK \l _Toc31970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4.3 </w:t>
      </w:r>
      <w:r>
        <w:rPr>
          <w:rFonts w:hint="eastAsia"/>
          <w:lang w:val="en-US" w:eastAsia="zh-CN"/>
        </w:rPr>
        <w:t>试验</w:t>
      </w:r>
      <w:r>
        <w:rPr>
          <w:rFonts w:hint="eastAsia"/>
        </w:rPr>
        <w:t>环境要求</w:t>
      </w:r>
      <w:r>
        <w:tab/>
      </w:r>
      <w:r>
        <w:fldChar w:fldCharType="begin"/>
      </w:r>
      <w:r>
        <w:instrText xml:space="preserve"> PAGEREF _Toc31970 \h </w:instrText>
      </w:r>
      <w:r>
        <w:fldChar w:fldCharType="separate"/>
      </w:r>
      <w:r>
        <w:t>2</w:t>
      </w:r>
      <w:r>
        <w:fldChar w:fldCharType="end"/>
      </w:r>
      <w:r>
        <w:fldChar w:fldCharType="end"/>
      </w:r>
    </w:p>
    <w:p w14:paraId="7E4A65E0">
      <w:pPr>
        <w:pStyle w:val="25"/>
        <w:tabs>
          <w:tab w:val="right" w:leader="dot" w:pos="9355"/>
          <w:tab w:val="clear" w:pos="9344"/>
        </w:tabs>
      </w:pPr>
      <w:r>
        <w:fldChar w:fldCharType="begin"/>
      </w:r>
      <w:r>
        <w:instrText xml:space="preserve"> HYPERLINK \l _Toc10858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4.4 </w:t>
      </w:r>
      <w:r>
        <w:rPr>
          <w:rFonts w:hint="eastAsia"/>
        </w:rPr>
        <w:t>仪器设备要求</w:t>
      </w:r>
      <w:bookmarkStart w:id="184" w:name="_GoBack"/>
      <w:bookmarkEnd w:id="184"/>
      <w:r>
        <w:tab/>
      </w:r>
      <w:r>
        <w:fldChar w:fldCharType="begin"/>
      </w:r>
      <w:r>
        <w:instrText xml:space="preserve"> PAGEREF _Toc10858 \h </w:instrText>
      </w:r>
      <w:r>
        <w:fldChar w:fldCharType="separate"/>
      </w:r>
      <w:r>
        <w:t>2</w:t>
      </w:r>
      <w:r>
        <w:fldChar w:fldCharType="end"/>
      </w:r>
      <w:r>
        <w:fldChar w:fldCharType="end"/>
      </w:r>
    </w:p>
    <w:p w14:paraId="34665005">
      <w:pPr>
        <w:pStyle w:val="25"/>
        <w:tabs>
          <w:tab w:val="right" w:leader="dot" w:pos="9355"/>
          <w:tab w:val="clear" w:pos="9344"/>
        </w:tabs>
      </w:pPr>
      <w:r>
        <w:fldChar w:fldCharType="begin"/>
      </w:r>
      <w:r>
        <w:instrText xml:space="preserve"> HYPERLINK \l _Toc8367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4.5 </w:t>
      </w:r>
      <w:r>
        <w:rPr>
          <w:rFonts w:hint="eastAsia"/>
          <w:lang w:val="en-US" w:eastAsia="zh-CN"/>
        </w:rPr>
        <w:t>人员资质要求</w:t>
      </w:r>
      <w:r>
        <w:tab/>
      </w:r>
      <w:r>
        <w:fldChar w:fldCharType="begin"/>
      </w:r>
      <w:r>
        <w:instrText xml:space="preserve"> PAGEREF _Toc8367 \h </w:instrText>
      </w:r>
      <w:r>
        <w:fldChar w:fldCharType="separate"/>
      </w:r>
      <w:r>
        <w:t>3</w:t>
      </w:r>
      <w:r>
        <w:fldChar w:fldCharType="end"/>
      </w:r>
      <w:r>
        <w:fldChar w:fldCharType="end"/>
      </w:r>
    </w:p>
    <w:p w14:paraId="6007A28E">
      <w:pPr>
        <w:pStyle w:val="20"/>
        <w:tabs>
          <w:tab w:val="right" w:leader="dot" w:pos="9355"/>
        </w:tabs>
      </w:pPr>
      <w:r>
        <w:fldChar w:fldCharType="begin"/>
      </w:r>
      <w:r>
        <w:instrText xml:space="preserve"> HYPERLINK \l _Toc23351 </w:instrText>
      </w:r>
      <w:r>
        <w:fldChar w:fldCharType="separate"/>
      </w:r>
      <w:r>
        <w:rPr>
          <w:rFonts w:hint="eastAsia" w:ascii="黑体" w:eastAsia="黑体"/>
          <w:i w:val="0"/>
          <w:lang w:val="en-US" w:eastAsia="zh-CN"/>
        </w:rPr>
        <w:t xml:space="preserve">5 </w:t>
      </w:r>
      <w:r>
        <w:rPr>
          <w:rFonts w:hint="eastAsia"/>
          <w:lang w:val="en-US" w:eastAsia="zh-CN"/>
        </w:rPr>
        <w:t>评价指标体系</w:t>
      </w:r>
      <w:r>
        <w:tab/>
      </w:r>
      <w:r>
        <w:fldChar w:fldCharType="begin"/>
      </w:r>
      <w:r>
        <w:instrText xml:space="preserve"> PAGEREF _Toc23351 \h </w:instrText>
      </w:r>
      <w:r>
        <w:fldChar w:fldCharType="separate"/>
      </w:r>
      <w:r>
        <w:t>3</w:t>
      </w:r>
      <w:r>
        <w:fldChar w:fldCharType="end"/>
      </w:r>
      <w:r>
        <w:fldChar w:fldCharType="end"/>
      </w:r>
    </w:p>
    <w:p w14:paraId="78783069">
      <w:pPr>
        <w:pStyle w:val="20"/>
        <w:tabs>
          <w:tab w:val="right" w:leader="dot" w:pos="9355"/>
        </w:tabs>
      </w:pPr>
      <w:r>
        <w:fldChar w:fldCharType="begin"/>
      </w:r>
      <w:r>
        <w:instrText xml:space="preserve"> HYPERLINK \l _Toc17866 </w:instrText>
      </w:r>
      <w:r>
        <w:fldChar w:fldCharType="separate"/>
      </w:r>
      <w:r>
        <w:rPr>
          <w:rFonts w:hint="eastAsia" w:ascii="黑体" w:eastAsia="黑体"/>
          <w:i w:val="0"/>
          <w:lang w:val="en-US" w:eastAsia="zh-CN"/>
        </w:rPr>
        <w:t xml:space="preserve">6 </w:t>
      </w:r>
      <w:r>
        <w:rPr>
          <w:rFonts w:hint="eastAsia"/>
          <w:lang w:val="en-US" w:eastAsia="zh-CN"/>
        </w:rPr>
        <w:t>试验方法</w:t>
      </w:r>
      <w:r>
        <w:tab/>
      </w:r>
      <w:r>
        <w:fldChar w:fldCharType="begin"/>
      </w:r>
      <w:r>
        <w:instrText xml:space="preserve"> PAGEREF _Toc17866 \h </w:instrText>
      </w:r>
      <w:r>
        <w:fldChar w:fldCharType="separate"/>
      </w:r>
      <w:r>
        <w:t>3</w:t>
      </w:r>
      <w:r>
        <w:fldChar w:fldCharType="end"/>
      </w:r>
      <w:r>
        <w:fldChar w:fldCharType="end"/>
      </w:r>
    </w:p>
    <w:p w14:paraId="1B7A2962">
      <w:pPr>
        <w:pStyle w:val="25"/>
        <w:tabs>
          <w:tab w:val="right" w:leader="dot" w:pos="9355"/>
          <w:tab w:val="clear" w:pos="9344"/>
        </w:tabs>
      </w:pPr>
      <w:r>
        <w:fldChar w:fldCharType="begin"/>
      </w:r>
      <w:r>
        <w:instrText xml:space="preserve"> HYPERLINK \l _Toc8445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试验原理</w:t>
      </w:r>
      <w:r>
        <w:tab/>
      </w:r>
      <w:r>
        <w:fldChar w:fldCharType="begin"/>
      </w:r>
      <w:r>
        <w:instrText xml:space="preserve"> PAGEREF _Toc8445 \h </w:instrText>
      </w:r>
      <w:r>
        <w:fldChar w:fldCharType="separate"/>
      </w:r>
      <w:r>
        <w:t>3</w:t>
      </w:r>
      <w:r>
        <w:fldChar w:fldCharType="end"/>
      </w:r>
      <w:r>
        <w:fldChar w:fldCharType="end"/>
      </w:r>
    </w:p>
    <w:p w14:paraId="64C2F84F">
      <w:pPr>
        <w:pStyle w:val="25"/>
        <w:tabs>
          <w:tab w:val="right" w:leader="dot" w:pos="9355"/>
          <w:tab w:val="clear" w:pos="9344"/>
        </w:tabs>
      </w:pPr>
      <w:r>
        <w:fldChar w:fldCharType="begin"/>
      </w:r>
      <w:r>
        <w:instrText xml:space="preserve"> HYPERLINK \l _Toc16974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Franz扩散池装置</w:t>
      </w:r>
      <w:r>
        <w:tab/>
      </w:r>
      <w:r>
        <w:fldChar w:fldCharType="begin"/>
      </w:r>
      <w:r>
        <w:instrText xml:space="preserve"> PAGEREF _Toc16974 \h </w:instrText>
      </w:r>
      <w:r>
        <w:fldChar w:fldCharType="separate"/>
      </w:r>
      <w:r>
        <w:t>3</w:t>
      </w:r>
      <w:r>
        <w:fldChar w:fldCharType="end"/>
      </w:r>
      <w:r>
        <w:fldChar w:fldCharType="end"/>
      </w:r>
    </w:p>
    <w:p w14:paraId="0A4AD961">
      <w:pPr>
        <w:pStyle w:val="25"/>
        <w:tabs>
          <w:tab w:val="right" w:leader="dot" w:pos="9355"/>
          <w:tab w:val="clear" w:pos="9344"/>
        </w:tabs>
      </w:pPr>
      <w:r>
        <w:fldChar w:fldCharType="begin"/>
      </w:r>
      <w:r>
        <w:instrText xml:space="preserve"> HYPERLINK \l _Toc31376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lang w:val="en-US" w:eastAsia="zh-CN"/>
        </w:rPr>
        <w:t>皮肤模型选择</w:t>
      </w:r>
      <w:r>
        <w:tab/>
      </w:r>
      <w:r>
        <w:fldChar w:fldCharType="begin"/>
      </w:r>
      <w:r>
        <w:instrText xml:space="preserve"> PAGEREF _Toc31376 \h </w:instrText>
      </w:r>
      <w:r>
        <w:fldChar w:fldCharType="separate"/>
      </w:r>
      <w:r>
        <w:t>4</w:t>
      </w:r>
      <w:r>
        <w:fldChar w:fldCharType="end"/>
      </w:r>
      <w:r>
        <w:fldChar w:fldCharType="end"/>
      </w:r>
    </w:p>
    <w:p w14:paraId="7875EAD7">
      <w:pPr>
        <w:pStyle w:val="25"/>
        <w:tabs>
          <w:tab w:val="right" w:leader="dot" w:pos="9355"/>
          <w:tab w:val="clear" w:pos="9344"/>
        </w:tabs>
      </w:pPr>
      <w:r>
        <w:fldChar w:fldCharType="begin"/>
      </w:r>
      <w:r>
        <w:instrText xml:space="preserve"> HYPERLINK \l _Toc7767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lang w:val="en-US" w:eastAsia="zh-CN"/>
        </w:rPr>
        <w:t>接收液选择</w:t>
      </w:r>
      <w:r>
        <w:tab/>
      </w:r>
      <w:r>
        <w:fldChar w:fldCharType="begin"/>
      </w:r>
      <w:r>
        <w:instrText xml:space="preserve"> PAGEREF _Toc7767 \h </w:instrText>
      </w:r>
      <w:r>
        <w:fldChar w:fldCharType="separate"/>
      </w:r>
      <w:r>
        <w:t>4</w:t>
      </w:r>
      <w:r>
        <w:fldChar w:fldCharType="end"/>
      </w:r>
      <w:r>
        <w:fldChar w:fldCharType="end"/>
      </w:r>
    </w:p>
    <w:p w14:paraId="5CA1183B">
      <w:pPr>
        <w:pStyle w:val="25"/>
        <w:tabs>
          <w:tab w:val="right" w:leader="dot" w:pos="9355"/>
          <w:tab w:val="clear" w:pos="9344"/>
        </w:tabs>
      </w:pPr>
      <w:r>
        <w:fldChar w:fldCharType="begin"/>
      </w:r>
      <w:r>
        <w:instrText xml:space="preserve"> HYPERLINK \l _Toc10700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eastAsia"/>
          <w:lang w:val="en-US" w:eastAsia="zh-CN"/>
        </w:rPr>
        <w:t>试验条件</w:t>
      </w:r>
      <w:r>
        <w:tab/>
      </w:r>
      <w:r>
        <w:fldChar w:fldCharType="begin"/>
      </w:r>
      <w:r>
        <w:instrText xml:space="preserve"> PAGEREF _Toc10700 \h </w:instrText>
      </w:r>
      <w:r>
        <w:fldChar w:fldCharType="separate"/>
      </w:r>
      <w:r>
        <w:t>4</w:t>
      </w:r>
      <w:r>
        <w:fldChar w:fldCharType="end"/>
      </w:r>
      <w:r>
        <w:fldChar w:fldCharType="end"/>
      </w:r>
    </w:p>
    <w:p w14:paraId="249E34B7">
      <w:pPr>
        <w:pStyle w:val="25"/>
        <w:tabs>
          <w:tab w:val="right" w:leader="dot" w:pos="9355"/>
          <w:tab w:val="clear" w:pos="9344"/>
        </w:tabs>
      </w:pPr>
      <w:r>
        <w:fldChar w:fldCharType="begin"/>
      </w:r>
      <w:r>
        <w:instrText xml:space="preserve"> HYPERLINK \l _Toc19902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6.6 </w:t>
      </w:r>
      <w:r>
        <w:rPr>
          <w:rFonts w:hint="eastAsia"/>
          <w:lang w:val="en-US" w:eastAsia="zh-CN"/>
        </w:rPr>
        <w:t>试验步骤</w:t>
      </w:r>
      <w:r>
        <w:tab/>
      </w:r>
      <w:r>
        <w:fldChar w:fldCharType="begin"/>
      </w:r>
      <w:r>
        <w:instrText xml:space="preserve"> PAGEREF _Toc19902 \h </w:instrText>
      </w:r>
      <w:r>
        <w:fldChar w:fldCharType="separate"/>
      </w:r>
      <w:r>
        <w:t>4</w:t>
      </w:r>
      <w:r>
        <w:fldChar w:fldCharType="end"/>
      </w:r>
      <w:r>
        <w:fldChar w:fldCharType="end"/>
      </w:r>
    </w:p>
    <w:p w14:paraId="6573CA2B">
      <w:pPr>
        <w:pStyle w:val="25"/>
        <w:tabs>
          <w:tab w:val="right" w:leader="dot" w:pos="9355"/>
          <w:tab w:val="clear" w:pos="9344"/>
        </w:tabs>
      </w:pPr>
      <w:r>
        <w:fldChar w:fldCharType="begin"/>
      </w:r>
      <w:r>
        <w:instrText xml:space="preserve"> HYPERLINK \l _Toc20202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6.7 </w:t>
      </w:r>
      <w:r>
        <w:rPr>
          <w:rFonts w:hint="eastAsia"/>
          <w:lang w:val="en-US" w:eastAsia="zh-CN"/>
        </w:rPr>
        <w:t>取样时间点设计</w:t>
      </w:r>
      <w:r>
        <w:tab/>
      </w:r>
      <w:r>
        <w:fldChar w:fldCharType="begin"/>
      </w:r>
      <w:r>
        <w:instrText xml:space="preserve"> PAGEREF _Toc20202 \h </w:instrText>
      </w:r>
      <w:r>
        <w:fldChar w:fldCharType="separate"/>
      </w:r>
      <w:r>
        <w:t>4</w:t>
      </w:r>
      <w:r>
        <w:fldChar w:fldCharType="end"/>
      </w:r>
      <w:r>
        <w:fldChar w:fldCharType="end"/>
      </w:r>
    </w:p>
    <w:p w14:paraId="139288BF">
      <w:pPr>
        <w:pStyle w:val="25"/>
        <w:tabs>
          <w:tab w:val="right" w:leader="dot" w:pos="9355"/>
          <w:tab w:val="clear" w:pos="9344"/>
        </w:tabs>
      </w:pPr>
      <w:r>
        <w:fldChar w:fldCharType="begin"/>
      </w:r>
      <w:r>
        <w:instrText xml:space="preserve"> HYPERLINK \l _Toc1166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6.8 </w:t>
      </w:r>
      <w:r>
        <w:rPr>
          <w:rFonts w:hint="eastAsia"/>
          <w:lang w:val="en-US" w:eastAsia="zh-CN"/>
        </w:rPr>
        <w:t>含量测定方法</w:t>
      </w:r>
      <w:r>
        <w:tab/>
      </w:r>
      <w:r>
        <w:fldChar w:fldCharType="begin"/>
      </w:r>
      <w:r>
        <w:instrText xml:space="preserve"> PAGEREF _Toc1166 \h </w:instrText>
      </w:r>
      <w:r>
        <w:fldChar w:fldCharType="separate"/>
      </w:r>
      <w:r>
        <w:t>4</w:t>
      </w:r>
      <w:r>
        <w:fldChar w:fldCharType="end"/>
      </w:r>
      <w:r>
        <w:fldChar w:fldCharType="end"/>
      </w:r>
    </w:p>
    <w:p w14:paraId="6324A725">
      <w:pPr>
        <w:pStyle w:val="20"/>
        <w:tabs>
          <w:tab w:val="right" w:leader="dot" w:pos="9355"/>
        </w:tabs>
      </w:pPr>
      <w:r>
        <w:fldChar w:fldCharType="begin"/>
      </w:r>
      <w:r>
        <w:instrText xml:space="preserve"> HYPERLINK \l _Toc30617 </w:instrText>
      </w:r>
      <w:r>
        <w:fldChar w:fldCharType="separate"/>
      </w:r>
      <w:r>
        <w:rPr>
          <w:rFonts w:hint="eastAsia" w:ascii="黑体" w:eastAsia="黑体"/>
          <w:i w:val="0"/>
          <w:lang w:val="en-US" w:eastAsia="zh-CN"/>
        </w:rPr>
        <w:t xml:space="preserve">7 </w:t>
      </w:r>
      <w:r>
        <w:rPr>
          <w:rFonts w:hint="eastAsia"/>
          <w:lang w:val="en-US" w:eastAsia="zh-CN"/>
        </w:rPr>
        <w:t>数据计算与处理</w:t>
      </w:r>
      <w:r>
        <w:tab/>
      </w:r>
      <w:r>
        <w:fldChar w:fldCharType="begin"/>
      </w:r>
      <w:r>
        <w:instrText xml:space="preserve"> PAGEREF _Toc30617 \h </w:instrText>
      </w:r>
      <w:r>
        <w:fldChar w:fldCharType="separate"/>
      </w:r>
      <w:r>
        <w:t>5</w:t>
      </w:r>
      <w:r>
        <w:fldChar w:fldCharType="end"/>
      </w:r>
      <w:r>
        <w:fldChar w:fldCharType="end"/>
      </w:r>
    </w:p>
    <w:p w14:paraId="70625840">
      <w:pPr>
        <w:pStyle w:val="25"/>
        <w:tabs>
          <w:tab w:val="right" w:leader="dot" w:pos="9355"/>
          <w:tab w:val="clear" w:pos="9344"/>
        </w:tabs>
      </w:pPr>
      <w:r>
        <w:fldChar w:fldCharType="begin"/>
      </w:r>
      <w:r>
        <w:instrText xml:space="preserve"> HYPERLINK \l _Toc25674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累积渗透量</w:t>
      </w:r>
      <w:r>
        <w:tab/>
      </w:r>
      <w:r>
        <w:fldChar w:fldCharType="begin"/>
      </w:r>
      <w:r>
        <w:instrText xml:space="preserve"> PAGEREF _Toc25674 \h </w:instrText>
      </w:r>
      <w:r>
        <w:fldChar w:fldCharType="separate"/>
      </w:r>
      <w:r>
        <w:t>5</w:t>
      </w:r>
      <w:r>
        <w:fldChar w:fldCharType="end"/>
      </w:r>
      <w:r>
        <w:fldChar w:fldCharType="end"/>
      </w:r>
    </w:p>
    <w:p w14:paraId="048A8E60">
      <w:pPr>
        <w:pStyle w:val="25"/>
        <w:tabs>
          <w:tab w:val="right" w:leader="dot" w:pos="9355"/>
          <w:tab w:val="clear" w:pos="9344"/>
        </w:tabs>
      </w:pPr>
      <w:r>
        <w:fldChar w:fldCharType="begin"/>
      </w:r>
      <w:r>
        <w:instrText xml:space="preserve"> HYPERLINK \l _Toc1968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lang w:val="en-US" w:eastAsia="zh-CN"/>
        </w:rPr>
        <w:t>稳态渗透速率</w:t>
      </w:r>
      <w:r>
        <w:tab/>
      </w:r>
      <w:r>
        <w:fldChar w:fldCharType="begin"/>
      </w:r>
      <w:r>
        <w:instrText xml:space="preserve"> PAGEREF _Toc1968 \h </w:instrText>
      </w:r>
      <w:r>
        <w:fldChar w:fldCharType="separate"/>
      </w:r>
      <w:r>
        <w:t>5</w:t>
      </w:r>
      <w:r>
        <w:fldChar w:fldCharType="end"/>
      </w:r>
      <w:r>
        <w:fldChar w:fldCharType="end"/>
      </w:r>
    </w:p>
    <w:p w14:paraId="2CA01FB8">
      <w:pPr>
        <w:pStyle w:val="25"/>
        <w:tabs>
          <w:tab w:val="right" w:leader="dot" w:pos="9355"/>
          <w:tab w:val="clear" w:pos="9344"/>
        </w:tabs>
      </w:pPr>
      <w:r>
        <w:fldChar w:fldCharType="begin"/>
      </w:r>
      <w:r>
        <w:instrText xml:space="preserve"> HYPERLINK \l _Toc28734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滞后时间</w:t>
      </w:r>
      <w:r>
        <w:tab/>
      </w:r>
      <w:r>
        <w:fldChar w:fldCharType="begin"/>
      </w:r>
      <w:r>
        <w:instrText xml:space="preserve"> PAGEREF _Toc28734 \h </w:instrText>
      </w:r>
      <w:r>
        <w:fldChar w:fldCharType="separate"/>
      </w:r>
      <w:r>
        <w:t>5</w:t>
      </w:r>
      <w:r>
        <w:fldChar w:fldCharType="end"/>
      </w:r>
      <w:r>
        <w:fldChar w:fldCharType="end"/>
      </w:r>
    </w:p>
    <w:p w14:paraId="50E2440B">
      <w:pPr>
        <w:pStyle w:val="25"/>
        <w:tabs>
          <w:tab w:val="right" w:leader="dot" w:pos="9355"/>
          <w:tab w:val="clear" w:pos="9344"/>
        </w:tabs>
      </w:pPr>
      <w:r>
        <w:fldChar w:fldCharType="begin"/>
      </w:r>
      <w:r>
        <w:instrText xml:space="preserve"> HYPERLINK \l _Toc20671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lang w:val="en-US" w:eastAsia="zh-CN"/>
        </w:rPr>
        <w:t>渗透系数</w:t>
      </w:r>
      <w:r>
        <w:tab/>
      </w:r>
      <w:r>
        <w:fldChar w:fldCharType="begin"/>
      </w:r>
      <w:r>
        <w:instrText xml:space="preserve"> PAGEREF _Toc20671 \h </w:instrText>
      </w:r>
      <w:r>
        <w:fldChar w:fldCharType="separate"/>
      </w:r>
      <w:r>
        <w:t>5</w:t>
      </w:r>
      <w:r>
        <w:fldChar w:fldCharType="end"/>
      </w:r>
      <w:r>
        <w:fldChar w:fldCharType="end"/>
      </w:r>
    </w:p>
    <w:p w14:paraId="40F624B2">
      <w:pPr>
        <w:pStyle w:val="25"/>
        <w:tabs>
          <w:tab w:val="right" w:leader="dot" w:pos="9355"/>
          <w:tab w:val="clear" w:pos="9344"/>
        </w:tabs>
      </w:pPr>
      <w:r>
        <w:fldChar w:fldCharType="begin"/>
      </w:r>
      <w:r>
        <w:instrText xml:space="preserve"> HYPERLINK \l _Toc26989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7.5 </w:t>
      </w:r>
      <w:r>
        <w:rPr>
          <w:rFonts w:hint="eastAsia"/>
          <w:lang w:val="en-US" w:eastAsia="zh-CN"/>
        </w:rPr>
        <w:t>皮肤滞留量</w:t>
      </w:r>
      <w:r>
        <w:tab/>
      </w:r>
      <w:r>
        <w:fldChar w:fldCharType="begin"/>
      </w:r>
      <w:r>
        <w:instrText xml:space="preserve"> PAGEREF _Toc26989 \h </w:instrText>
      </w:r>
      <w:r>
        <w:fldChar w:fldCharType="separate"/>
      </w:r>
      <w:r>
        <w:t>5</w:t>
      </w:r>
      <w:r>
        <w:fldChar w:fldCharType="end"/>
      </w:r>
      <w:r>
        <w:fldChar w:fldCharType="end"/>
      </w:r>
    </w:p>
    <w:p w14:paraId="1FD2F805">
      <w:pPr>
        <w:pStyle w:val="25"/>
        <w:tabs>
          <w:tab w:val="right" w:leader="dot" w:pos="9355"/>
          <w:tab w:val="clear" w:pos="9344"/>
        </w:tabs>
      </w:pPr>
      <w:r>
        <w:fldChar w:fldCharType="begin"/>
      </w:r>
      <w:r>
        <w:instrText xml:space="preserve"> HYPERLINK \l _Toc5825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7.6 </w:t>
      </w:r>
      <w:r>
        <w:rPr>
          <w:rFonts w:hint="eastAsia"/>
          <w:lang w:val="en-US" w:eastAsia="zh-CN"/>
        </w:rPr>
        <w:t>透皮百分率</w:t>
      </w:r>
      <w:r>
        <w:tab/>
      </w:r>
      <w:r>
        <w:fldChar w:fldCharType="begin"/>
      </w:r>
      <w:r>
        <w:instrText xml:space="preserve"> PAGEREF _Toc5825 \h </w:instrText>
      </w:r>
      <w:r>
        <w:fldChar w:fldCharType="separate"/>
      </w:r>
      <w:r>
        <w:t>6</w:t>
      </w:r>
      <w:r>
        <w:fldChar w:fldCharType="end"/>
      </w:r>
      <w:r>
        <w:fldChar w:fldCharType="end"/>
      </w:r>
    </w:p>
    <w:p w14:paraId="3EBF8087">
      <w:pPr>
        <w:pStyle w:val="25"/>
        <w:tabs>
          <w:tab w:val="right" w:leader="dot" w:pos="9355"/>
          <w:tab w:val="clear" w:pos="9344"/>
        </w:tabs>
      </w:pPr>
      <w:r>
        <w:fldChar w:fldCharType="begin"/>
      </w:r>
      <w:r>
        <w:instrText xml:space="preserve"> HYPERLINK \l _Toc30427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7.7 </w:t>
      </w:r>
      <w:r>
        <w:rPr>
          <w:rFonts w:hint="eastAsia"/>
          <w:lang w:val="en-US" w:eastAsia="zh-CN"/>
        </w:rPr>
        <w:t>数据处理</w:t>
      </w:r>
      <w:r>
        <w:tab/>
      </w:r>
      <w:r>
        <w:fldChar w:fldCharType="begin"/>
      </w:r>
      <w:r>
        <w:instrText xml:space="preserve"> PAGEREF _Toc30427 \h </w:instrText>
      </w:r>
      <w:r>
        <w:fldChar w:fldCharType="separate"/>
      </w:r>
      <w:r>
        <w:t>6</w:t>
      </w:r>
      <w:r>
        <w:fldChar w:fldCharType="end"/>
      </w:r>
      <w:r>
        <w:fldChar w:fldCharType="end"/>
      </w:r>
    </w:p>
    <w:p w14:paraId="7C41436D">
      <w:pPr>
        <w:pStyle w:val="20"/>
        <w:tabs>
          <w:tab w:val="right" w:leader="dot" w:pos="9355"/>
        </w:tabs>
      </w:pPr>
      <w:r>
        <w:fldChar w:fldCharType="begin"/>
      </w:r>
      <w:r>
        <w:instrText xml:space="preserve"> HYPERLINK \l _Toc29627 </w:instrText>
      </w:r>
      <w:r>
        <w:fldChar w:fldCharType="separate"/>
      </w:r>
      <w:r>
        <w:rPr>
          <w:rFonts w:hint="eastAsia" w:ascii="黑体" w:eastAsia="黑体"/>
          <w:i w:val="0"/>
          <w:lang w:val="en-US" w:eastAsia="zh-CN"/>
        </w:rPr>
        <w:t xml:space="preserve">8 </w:t>
      </w:r>
      <w:r>
        <w:rPr>
          <w:rFonts w:hint="eastAsia"/>
          <w:lang w:val="en-US" w:eastAsia="zh-CN"/>
        </w:rPr>
        <w:t>评价结果</w:t>
      </w:r>
      <w:r>
        <w:tab/>
      </w:r>
      <w:r>
        <w:fldChar w:fldCharType="begin"/>
      </w:r>
      <w:r>
        <w:instrText xml:space="preserve"> PAGEREF _Toc29627 \h </w:instrText>
      </w:r>
      <w:r>
        <w:fldChar w:fldCharType="separate"/>
      </w:r>
      <w:r>
        <w:t>6</w:t>
      </w:r>
      <w:r>
        <w:fldChar w:fldCharType="end"/>
      </w:r>
      <w:r>
        <w:fldChar w:fldCharType="end"/>
      </w:r>
    </w:p>
    <w:p w14:paraId="21FEDF37">
      <w:pPr>
        <w:pStyle w:val="25"/>
        <w:tabs>
          <w:tab w:val="right" w:leader="dot" w:pos="9355"/>
          <w:tab w:val="clear" w:pos="9344"/>
        </w:tabs>
      </w:pPr>
      <w:r>
        <w:fldChar w:fldCharType="begin"/>
      </w:r>
      <w:r>
        <w:instrText xml:space="preserve"> HYPERLINK \l _Toc25925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lang w:val="en-US" w:eastAsia="zh-CN"/>
        </w:rPr>
        <w:t>结果判定</w:t>
      </w:r>
      <w:r>
        <w:tab/>
      </w:r>
      <w:r>
        <w:fldChar w:fldCharType="begin"/>
      </w:r>
      <w:r>
        <w:instrText xml:space="preserve"> PAGEREF _Toc25925 \h </w:instrText>
      </w:r>
      <w:r>
        <w:fldChar w:fldCharType="separate"/>
      </w:r>
      <w:r>
        <w:t>6</w:t>
      </w:r>
      <w:r>
        <w:fldChar w:fldCharType="end"/>
      </w:r>
      <w:r>
        <w:fldChar w:fldCharType="end"/>
      </w:r>
    </w:p>
    <w:p w14:paraId="6762706D">
      <w:pPr>
        <w:pStyle w:val="25"/>
        <w:tabs>
          <w:tab w:val="right" w:leader="dot" w:pos="9355"/>
          <w:tab w:val="clear" w:pos="9344"/>
        </w:tabs>
      </w:pPr>
      <w:r>
        <w:fldChar w:fldCharType="begin"/>
      </w:r>
      <w:r>
        <w:instrText xml:space="preserve"> HYPERLINK \l _Toc22806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评价报告</w:t>
      </w:r>
      <w:r>
        <w:tab/>
      </w:r>
      <w:r>
        <w:fldChar w:fldCharType="begin"/>
      </w:r>
      <w:r>
        <w:instrText xml:space="preserve"> PAGEREF _Toc22806 \h </w:instrText>
      </w:r>
      <w:r>
        <w:fldChar w:fldCharType="separate"/>
      </w:r>
      <w:r>
        <w:t>6</w:t>
      </w:r>
      <w:r>
        <w:fldChar w:fldCharType="end"/>
      </w:r>
      <w:r>
        <w:fldChar w:fldCharType="end"/>
      </w:r>
    </w:p>
    <w:p w14:paraId="1B61000A">
      <w:pPr>
        <w:pStyle w:val="25"/>
        <w:tabs>
          <w:tab w:val="right" w:leader="dot" w:pos="9355"/>
          <w:tab w:val="clear" w:pos="9344"/>
        </w:tabs>
      </w:pPr>
      <w:r>
        <w:fldChar w:fldCharType="begin"/>
      </w:r>
      <w:r>
        <w:instrText xml:space="preserve"> HYPERLINK \l _Toc24968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报告管理</w:t>
      </w:r>
      <w:r>
        <w:tab/>
      </w:r>
      <w:r>
        <w:fldChar w:fldCharType="begin"/>
      </w:r>
      <w:r>
        <w:instrText xml:space="preserve"> PAGEREF _Toc24968 \h </w:instrText>
      </w:r>
      <w:r>
        <w:fldChar w:fldCharType="separate"/>
      </w:r>
      <w:r>
        <w:t>6</w:t>
      </w:r>
      <w:r>
        <w:fldChar w:fldCharType="end"/>
      </w:r>
      <w:r>
        <w:fldChar w:fldCharType="end"/>
      </w:r>
    </w:p>
    <w:p w14:paraId="46EB1504">
      <w:pPr>
        <w:pStyle w:val="20"/>
        <w:tabs>
          <w:tab w:val="right" w:leader="dot" w:pos="9355"/>
        </w:tabs>
      </w:pPr>
      <w:r>
        <w:fldChar w:fldCharType="begin"/>
      </w:r>
      <w:r>
        <w:instrText xml:space="preserve"> HYPERLINK \l _Toc9452 </w:instrText>
      </w:r>
      <w:r>
        <w:fldChar w:fldCharType="separate"/>
      </w:r>
      <w:r>
        <w:rPr>
          <w:rFonts w:hint="eastAsia"/>
        </w:rPr>
        <w:t>参</w:t>
      </w:r>
      <w:r>
        <w:rPr>
          <w:rFonts w:hint="eastAsia" w:ascii="MS Mincho" w:hAnsi="MS Mincho" w:eastAsia="MS Mincho" w:cs="MS Mincho"/>
        </w:rPr>
        <w:t> </w:t>
      </w:r>
      <w:r>
        <w:rPr>
          <w:rFonts w:hint="eastAsia"/>
        </w:rPr>
        <w:t>考</w:t>
      </w:r>
      <w:r>
        <w:rPr>
          <w:rFonts w:hint="eastAsia" w:ascii="MS Mincho" w:hAnsi="MS Mincho" w:eastAsia="MS Mincho" w:cs="MS Mincho"/>
        </w:rPr>
        <w:t> </w:t>
      </w:r>
      <w:r>
        <w:rPr>
          <w:rFonts w:hint="eastAsia"/>
        </w:rPr>
        <w:t>文</w:t>
      </w:r>
      <w:r>
        <w:rPr>
          <w:rFonts w:hint="eastAsia" w:ascii="MS Mincho" w:hAnsi="MS Mincho" w:eastAsia="MS Mincho" w:cs="MS Mincho"/>
        </w:rPr>
        <w:t> </w:t>
      </w:r>
      <w:r>
        <w:rPr>
          <w:rFonts w:hint="eastAsia"/>
        </w:rPr>
        <w:t>献</w:t>
      </w:r>
      <w:r>
        <w:tab/>
      </w:r>
      <w:r>
        <w:fldChar w:fldCharType="begin"/>
      </w:r>
      <w:r>
        <w:instrText xml:space="preserve"> PAGEREF _Toc9452 \h </w:instrText>
      </w:r>
      <w:r>
        <w:fldChar w:fldCharType="separate"/>
      </w:r>
      <w:r>
        <w:t>7</w:t>
      </w:r>
      <w:r>
        <w:fldChar w:fldCharType="end"/>
      </w:r>
      <w:r>
        <w:fldChar w:fldCharType="end"/>
      </w:r>
    </w:p>
    <w:p w14:paraId="1C8D9C67">
      <w:pPr>
        <w:pStyle w:val="20"/>
        <w:tabs>
          <w:tab w:val="right" w:leader="dot" w:pos="9355"/>
        </w:tabs>
        <w:sectPr>
          <w:headerReference r:id="rId10" w:type="default"/>
          <w:footerReference r:id="rId12" w:type="default"/>
          <w:headerReference r:id="rId11" w:type="even"/>
          <w:footerReference r:id="rId13"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22953"/>
      <w:bookmarkStart w:id="24" w:name="_Toc21570"/>
      <w:bookmarkStart w:id="25" w:name="_Toc6409"/>
      <w:bookmarkStart w:id="26" w:name="_Toc24248"/>
      <w:bookmarkStart w:id="27" w:name="_Toc10339"/>
      <w:bookmarkStart w:id="28" w:name="_Toc4119"/>
      <w:bookmarkStart w:id="29" w:name="_Toc12023"/>
      <w:bookmarkStart w:id="30" w:name="_Toc1089"/>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5" w:type="default"/>
          <w:headerReference r:id="rId14" w:type="even"/>
          <w:footerReference r:id="rId16" w:type="even"/>
          <w:pgSz w:w="11906" w:h="16838"/>
          <w:pgMar w:top="1928" w:right="1134" w:bottom="1134" w:left="1134" w:header="1418" w:footer="1134" w:gutter="283"/>
          <w:pgNumType w:fmt="upperRoman"/>
          <w:cols w:space="0" w:num="1"/>
          <w:formProt w:val="0"/>
          <w:docGrid w:linePitch="312" w:charSpace="0"/>
        </w:sectPr>
      </w:pPr>
    </w:p>
    <w:bookmarkEnd w:id="31"/>
    <w:sdt>
      <w:sdtPr>
        <w:tag w:val="NEW_STAND_NAME"/>
        <w:id w:val="595910757"/>
        <w:lock w:val="sdtLocked"/>
        <w:placeholder>
          <w:docPart w:val="D33580E5DEE94A56B4AA6E6699E4C1B2"/>
        </w:placeholder>
      </w:sdtPr>
      <w:sdtEndPr>
        <w:rPr>
          <w:rFonts w:hint="eastAsia"/>
        </w:rPr>
      </w:sdtEndPr>
      <w:sdtContent>
        <w:p w14:paraId="044C92CA">
          <w:pPr>
            <w:pStyle w:val="181"/>
            <w:keepNext w:val="0"/>
            <w:keepLines w:val="0"/>
            <w:pageBreakBefore w:val="0"/>
            <w:kinsoku/>
            <w:wordWrap/>
            <w:overflowPunct/>
            <w:topLinePunct w:val="0"/>
            <w:bidi w:val="0"/>
            <w:snapToGrid/>
            <w:spacing w:before="850" w:after="680" w:line="240" w:lineRule="auto"/>
            <w:textAlignment w:val="auto"/>
          </w:pPr>
          <w:bookmarkStart w:id="32" w:name="NEW_STAND_NAME"/>
          <w:bookmarkStart w:id="33" w:name="BookMark4"/>
          <w:r>
            <w:rPr>
              <w:rFonts w:hint="eastAsia"/>
            </w:rPr>
            <w:t>中药贴膏剂透皮吸收效率评价规范</w:t>
          </w:r>
        </w:p>
      </w:sdtContent>
    </w:sdt>
    <w:bookmarkEnd w:id="32"/>
    <w:p w14:paraId="1B252E94">
      <w:pPr>
        <w:pStyle w:val="108"/>
        <w:keepNext w:val="0"/>
        <w:keepLines w:val="0"/>
        <w:pageBreakBefore w:val="0"/>
        <w:kinsoku/>
        <w:wordWrap/>
        <w:overflowPunct/>
        <w:topLinePunct w:val="0"/>
        <w:bidi w:val="0"/>
        <w:snapToGrid/>
        <w:spacing w:line="240" w:lineRule="auto"/>
        <w:textAlignment w:val="auto"/>
      </w:pPr>
      <w:bookmarkStart w:id="34" w:name="_Toc150158767"/>
      <w:bookmarkStart w:id="35" w:name="_Toc17233325"/>
      <w:bookmarkStart w:id="36" w:name="_Toc17233333"/>
      <w:bookmarkStart w:id="37" w:name="_Toc28437"/>
      <w:bookmarkStart w:id="38" w:name="_Toc24884218"/>
      <w:bookmarkStart w:id="39" w:name="_Toc31759"/>
      <w:bookmarkStart w:id="40" w:name="_Toc32303"/>
      <w:bookmarkStart w:id="41" w:name="_Toc95920558"/>
      <w:bookmarkStart w:id="42" w:name="_Toc26648465"/>
      <w:bookmarkStart w:id="43" w:name="_Toc26718930"/>
      <w:bookmarkStart w:id="44" w:name="_Toc26986771"/>
      <w:bookmarkStart w:id="45" w:name="_Toc95723355"/>
      <w:bookmarkStart w:id="46" w:name="_Toc3015"/>
      <w:bookmarkStart w:id="47" w:name="_Toc148612845"/>
      <w:bookmarkStart w:id="48" w:name="_Toc95920575"/>
      <w:bookmarkStart w:id="49" w:name="_Toc31963"/>
      <w:bookmarkStart w:id="50" w:name="_Toc8165"/>
      <w:bookmarkStart w:id="51" w:name="_Toc24884211"/>
      <w:bookmarkStart w:id="52" w:name="_Toc16952"/>
      <w:bookmarkStart w:id="53" w:name="_Toc150158740"/>
      <w:bookmarkStart w:id="54" w:name="_Toc15399"/>
      <w:bookmarkStart w:id="55" w:name="_Toc26986530"/>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7A312AD1">
      <w:pPr>
        <w:pStyle w:val="60"/>
        <w:keepNext w:val="0"/>
        <w:keepLines w:val="0"/>
        <w:pageBreakBefore w:val="0"/>
        <w:kinsoku/>
        <w:wordWrap/>
        <w:overflowPunct/>
        <w:topLinePunct w:val="0"/>
        <w:bidi w:val="0"/>
        <w:snapToGrid/>
        <w:spacing w:line="240" w:lineRule="auto"/>
        <w:ind w:firstLine="420"/>
        <w:textAlignment w:val="auto"/>
        <w:rPr>
          <w:rFonts w:hint="eastAsia"/>
        </w:rPr>
      </w:pPr>
      <w:r>
        <w:rPr>
          <w:rFonts w:hint="eastAsia"/>
        </w:rPr>
        <w:t>本文件规定了中药贴膏剂透皮吸收效率评价的评价原则与基本要求、</w:t>
      </w:r>
      <w:r>
        <w:rPr>
          <w:rFonts w:hint="eastAsia"/>
          <w:lang w:val="en-US" w:eastAsia="zh-CN"/>
        </w:rPr>
        <w:t>评价指标体系、</w:t>
      </w:r>
      <w:r>
        <w:rPr>
          <w:rFonts w:hint="eastAsia"/>
        </w:rPr>
        <w:t>试验方法、</w:t>
      </w:r>
      <w:r>
        <w:rPr>
          <w:rFonts w:hint="eastAsia"/>
          <w:lang w:val="en-US" w:eastAsia="zh-CN"/>
        </w:rPr>
        <w:t>数据计算与处理</w:t>
      </w:r>
      <w:r>
        <w:rPr>
          <w:rFonts w:hint="eastAsia"/>
        </w:rPr>
        <w:t>以及</w:t>
      </w:r>
      <w:r>
        <w:rPr>
          <w:rFonts w:hint="eastAsia"/>
          <w:lang w:val="en-US" w:eastAsia="zh-CN"/>
        </w:rPr>
        <w:t>评价结果</w:t>
      </w:r>
      <w:r>
        <w:rPr>
          <w:rFonts w:hint="eastAsia"/>
        </w:rPr>
        <w:t>。</w:t>
      </w:r>
    </w:p>
    <w:p w14:paraId="7EFB3324">
      <w:pPr>
        <w:pStyle w:val="60"/>
        <w:keepNext w:val="0"/>
        <w:keepLines w:val="0"/>
        <w:pageBreakBefore w:val="0"/>
        <w:kinsoku/>
        <w:wordWrap/>
        <w:overflowPunct/>
        <w:topLinePunct w:val="0"/>
        <w:bidi w:val="0"/>
        <w:snapToGrid/>
        <w:spacing w:line="240" w:lineRule="auto"/>
        <w:ind w:firstLine="420"/>
        <w:textAlignment w:val="auto"/>
      </w:pPr>
      <w:r>
        <w:rPr>
          <w:rFonts w:hint="eastAsia"/>
        </w:rPr>
        <w:t>本文件适用于中药橡胶膏剂、凝胶膏剂（巴布膏剂）、贴剂等以皮肤给药为主要途径的中药贴膏剂产品的透皮吸收效率体外评价。</w:t>
      </w:r>
    </w:p>
    <w:p w14:paraId="720FAAF1">
      <w:pPr>
        <w:pStyle w:val="108"/>
        <w:keepNext w:val="0"/>
        <w:keepLines w:val="0"/>
        <w:pageBreakBefore w:val="0"/>
        <w:kinsoku/>
        <w:wordWrap/>
        <w:overflowPunct/>
        <w:topLinePunct w:val="0"/>
        <w:bidi w:val="0"/>
        <w:snapToGrid/>
        <w:spacing w:line="240" w:lineRule="auto"/>
        <w:textAlignment w:val="auto"/>
      </w:pPr>
      <w:bookmarkStart w:id="56" w:name="_Toc221"/>
      <w:bookmarkStart w:id="57" w:name="_Toc150158768"/>
      <w:bookmarkStart w:id="58" w:name="_Toc12693"/>
      <w:bookmarkStart w:id="59" w:name="_Toc10750"/>
      <w:bookmarkStart w:id="60" w:name="_Toc95920576"/>
      <w:bookmarkStart w:id="61" w:name="_Toc24884219"/>
      <w:bookmarkStart w:id="62" w:name="_Toc23549"/>
      <w:bookmarkStart w:id="63" w:name="_Toc26986531"/>
      <w:bookmarkStart w:id="64" w:name="_Toc150158741"/>
      <w:bookmarkStart w:id="65" w:name="_Toc148612846"/>
      <w:bookmarkStart w:id="66" w:name="_Toc26986772"/>
      <w:bookmarkStart w:id="67" w:name="_Toc3515"/>
      <w:bookmarkStart w:id="68" w:name="_Toc31578"/>
      <w:bookmarkStart w:id="69" w:name="_Toc26648466"/>
      <w:bookmarkStart w:id="70" w:name="_Toc19878"/>
      <w:bookmarkStart w:id="71" w:name="_Toc95920559"/>
      <w:bookmarkStart w:id="72" w:name="_Toc7083"/>
      <w:bookmarkStart w:id="73" w:name="_Toc17233326"/>
      <w:bookmarkStart w:id="74" w:name="_Toc24884212"/>
      <w:bookmarkStart w:id="75" w:name="_Toc95723356"/>
      <w:bookmarkStart w:id="76" w:name="_Toc17233334"/>
      <w:bookmarkStart w:id="77" w:name="_Toc26718931"/>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7ED3F5F">
          <w:pPr>
            <w:pStyle w:val="60"/>
            <w:keepNext w:val="0"/>
            <w:keepLines w:val="0"/>
            <w:pageBreakBefore w:val="0"/>
            <w:kinsoku/>
            <w:wordWrap/>
            <w:overflowPunct/>
            <w:topLinePunct w:val="0"/>
            <w:bidi w:val="0"/>
            <w:snapToGrid/>
            <w:spacing w:line="240" w:lineRule="auto"/>
            <w:ind w:firstLine="420"/>
            <w:textAlignment w:val="auto"/>
            <w:rPr>
              <w:rFonts w:hint="eastAsia" w:ascii="宋体" w:hAnsi="宋体" w:eastAsia="宋体" w:cs="宋体"/>
              <w:szCs w:val="21"/>
              <w:highlight w:val="none"/>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59967405">
      <w:pPr>
        <w:pStyle w:val="60"/>
        <w:keepNext w:val="0"/>
        <w:keepLines w:val="0"/>
        <w:pageBreakBefore w:val="0"/>
        <w:kinsoku/>
        <w:wordWrap/>
        <w:overflowPunct/>
        <w:topLinePunct w:val="0"/>
        <w:bidi w:val="0"/>
        <w:snapToGrid/>
        <w:spacing w:line="240" w:lineRule="auto"/>
        <w:ind w:firstLine="420"/>
        <w:jc w:val="left"/>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GB/T 27818</w:t>
      </w:r>
      <w:r>
        <w:rPr>
          <w:rFonts w:hint="eastAsia" w:hAnsi="宋体" w:cs="宋体"/>
          <w:szCs w:val="21"/>
          <w:highlight w:val="none"/>
          <w:lang w:val="en-US" w:eastAsia="zh-CN"/>
        </w:rPr>
        <w:t xml:space="preserve">  化学品 皮肤吸收 体外试验方法</w:t>
      </w:r>
    </w:p>
    <w:p w14:paraId="33B04CE7">
      <w:pPr>
        <w:pStyle w:val="108"/>
        <w:keepNext w:val="0"/>
        <w:keepLines w:val="0"/>
        <w:pageBreakBefore w:val="0"/>
        <w:kinsoku/>
        <w:wordWrap/>
        <w:overflowPunct/>
        <w:topLinePunct w:val="0"/>
        <w:bidi w:val="0"/>
        <w:snapToGrid/>
        <w:spacing w:line="240" w:lineRule="auto"/>
        <w:textAlignment w:val="auto"/>
      </w:pPr>
      <w:bookmarkStart w:id="79" w:name="_Toc1462"/>
      <w:bookmarkStart w:id="80" w:name="_Toc522"/>
      <w:bookmarkStart w:id="81" w:name="_Toc27619"/>
      <w:bookmarkStart w:id="82" w:name="_Toc7797"/>
      <w:bookmarkStart w:id="83" w:name="_Toc18478"/>
      <w:bookmarkStart w:id="84" w:name="_Toc3185"/>
      <w:bookmarkStart w:id="85" w:name="_Toc20221"/>
      <w:bookmarkStart w:id="86" w:name="_Toc28755"/>
      <w:r>
        <w:rPr>
          <w:rFonts w:hint="eastAsia"/>
        </w:rPr>
        <w:t>术语和定义</w:t>
      </w:r>
      <w:bookmarkEnd w:id="79"/>
      <w:bookmarkEnd w:id="80"/>
      <w:bookmarkEnd w:id="81"/>
      <w:bookmarkEnd w:id="82"/>
      <w:bookmarkEnd w:id="83"/>
      <w:bookmarkEnd w:id="84"/>
      <w:bookmarkEnd w:id="85"/>
      <w:bookmarkEnd w:id="86"/>
    </w:p>
    <w:p w14:paraId="156DE3C3">
      <w:pPr>
        <w:pStyle w:val="60"/>
        <w:keepNext w:val="0"/>
        <w:keepLines w:val="0"/>
        <w:pageBreakBefore w:val="0"/>
        <w:kinsoku/>
        <w:wordWrap/>
        <w:overflowPunct/>
        <w:topLinePunct w:val="0"/>
        <w:bidi w:val="0"/>
        <w:snapToGrid/>
        <w:spacing w:line="240" w:lineRule="auto"/>
        <w:textAlignment w:val="auto"/>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9732"/>
      <w:bookmarkEnd w:id="87"/>
      <w:bookmarkStart w:id="88" w:name="_Toc23256"/>
      <w:bookmarkEnd w:id="88"/>
      <w:bookmarkStart w:id="89" w:name="_Toc11463"/>
      <w:bookmarkEnd w:id="89"/>
      <w:bookmarkStart w:id="90" w:name="_Toc22396"/>
      <w:bookmarkEnd w:id="90"/>
      <w:bookmarkStart w:id="91" w:name="_Toc30596"/>
      <w:bookmarkEnd w:id="91"/>
      <w:bookmarkStart w:id="92" w:name="_Toc27383"/>
      <w:bookmarkEnd w:id="92"/>
      <w:bookmarkStart w:id="93" w:name="_Toc12163"/>
      <w:bookmarkEnd w:id="93"/>
      <w:bookmarkStart w:id="94" w:name="_Toc12732"/>
      <w:bookmarkEnd w:id="94"/>
      <w:bookmarkStart w:id="95" w:name="_Toc14446"/>
      <w:bookmarkEnd w:id="95"/>
      <w:bookmarkStart w:id="96" w:name="_Toc28571"/>
      <w:bookmarkEnd w:id="96"/>
    </w:p>
    <w:p w14:paraId="45E3AC7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eastAsia"/>
        </w:rPr>
      </w:pPr>
      <w:bookmarkStart w:id="97" w:name="_Toc986"/>
      <w:bookmarkEnd w:id="97"/>
      <w:bookmarkStart w:id="98" w:name="_Toc28150"/>
      <w:bookmarkEnd w:id="98"/>
      <w:bookmarkStart w:id="99" w:name="_Toc10945"/>
      <w:bookmarkEnd w:id="99"/>
      <w:bookmarkStart w:id="100" w:name="_Toc8578"/>
      <w:bookmarkEnd w:id="100"/>
      <w:bookmarkStart w:id="101" w:name="_Toc8333"/>
      <w:bookmarkEnd w:id="101"/>
      <w:bookmarkStart w:id="102" w:name="_Toc32297"/>
      <w:bookmarkEnd w:id="102"/>
      <w:bookmarkStart w:id="103" w:name="_Toc24048"/>
    </w:p>
    <w:p w14:paraId="25693C6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eastAsia" w:eastAsia="黑体"/>
          <w:lang w:val="en-US" w:eastAsia="zh-CN"/>
        </w:rPr>
      </w:pPr>
      <w:bookmarkStart w:id="104" w:name="_Toc23625"/>
      <w:bookmarkStart w:id="105" w:name="_Toc31347"/>
      <w:bookmarkStart w:id="106" w:name="_Toc22812"/>
      <w:r>
        <w:rPr>
          <w:rFonts w:hint="eastAsia" w:eastAsia="黑体"/>
          <w:lang w:val="en-US" w:eastAsia="zh-CN"/>
        </w:rPr>
        <w:t>中药贴膏剂 traditional Chinese medicine plaster</w:t>
      </w:r>
      <w:bookmarkEnd w:id="104"/>
      <w:bookmarkEnd w:id="105"/>
      <w:bookmarkEnd w:id="106"/>
    </w:p>
    <w:p w14:paraId="6C35FAFE">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将中药材、中药提取物或中药细粉与适宜基质（如橡胶、热熔胶、亲水凝胶、植物油与红丹炼制的膏药基质等）混合，均匀涂布于背衬材料（如无纺布、弹力布、纸、皮革等）上，覆以盖衬，供贴敷于皮肤表面的外用制剂。</w:t>
      </w:r>
    </w:p>
    <w:p w14:paraId="0F0658C8">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07" w:name="_Toc16167"/>
      <w:bookmarkEnd w:id="107"/>
      <w:bookmarkStart w:id="108" w:name="_Toc26626"/>
      <w:bookmarkEnd w:id="108"/>
      <w:bookmarkStart w:id="109" w:name="_Toc767"/>
      <w:bookmarkEnd w:id="109"/>
      <w:bookmarkStart w:id="110" w:name="_Toc3241"/>
      <w:bookmarkEnd w:id="110"/>
    </w:p>
    <w:p w14:paraId="5D9D690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11" w:name="_Toc13909"/>
      <w:r>
        <w:rPr>
          <w:rFonts w:hint="default" w:hAnsi="Times New Roman" w:eastAsia="黑体" w:cs="Times New Roman"/>
          <w:lang w:val="en-US" w:eastAsia="zh-CN"/>
        </w:rPr>
        <w:t>透皮吸收 transdermal absorption</w:t>
      </w:r>
      <w:bookmarkEnd w:id="111"/>
    </w:p>
    <w:p w14:paraId="0E9613E2">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药物经皮肤给药后，通过角质层、活性表皮层及真皮层，最终进入体循环的过程。</w:t>
      </w:r>
    </w:p>
    <w:p w14:paraId="4FEE1A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12" w:name="_Toc10566"/>
      <w:bookmarkEnd w:id="112"/>
      <w:bookmarkStart w:id="113" w:name="_Toc28705"/>
      <w:bookmarkEnd w:id="113"/>
      <w:bookmarkStart w:id="114" w:name="_Toc11228"/>
      <w:bookmarkEnd w:id="114"/>
      <w:bookmarkStart w:id="115" w:name="_Toc26237"/>
      <w:bookmarkEnd w:id="115"/>
    </w:p>
    <w:p w14:paraId="16BAA3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16" w:name="_Toc19154"/>
      <w:r>
        <w:rPr>
          <w:rFonts w:hint="default" w:hAnsi="Times New Roman" w:eastAsia="黑体" w:cs="Times New Roman"/>
          <w:lang w:val="en-US" w:eastAsia="zh-CN"/>
        </w:rPr>
        <w:t>体外透皮试验  invitro transdermal permeation test</w:t>
      </w:r>
      <w:bookmarkEnd w:id="116"/>
    </w:p>
    <w:p w14:paraId="20D1A2D6">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采用离体皮肤或人工膜作为渗透屏障，利用扩散池装置在体外模拟生理条件下测定药物透过皮肤的速率和程度的试验方法。</w:t>
      </w:r>
    </w:p>
    <w:p w14:paraId="564C04D1">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17" w:name="_Toc26066"/>
      <w:bookmarkEnd w:id="117"/>
      <w:bookmarkStart w:id="118" w:name="_Toc10685"/>
      <w:bookmarkEnd w:id="118"/>
      <w:bookmarkStart w:id="119" w:name="_Toc20986"/>
      <w:bookmarkEnd w:id="119"/>
      <w:bookmarkStart w:id="120" w:name="_Toc30089"/>
      <w:bookmarkEnd w:id="120"/>
    </w:p>
    <w:p w14:paraId="70A5D08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1" w:name="_Toc27207"/>
      <w:r>
        <w:rPr>
          <w:rFonts w:hint="default" w:hAnsi="Times New Roman" w:eastAsia="黑体" w:cs="Times New Roman"/>
          <w:lang w:val="en-US" w:eastAsia="zh-CN"/>
        </w:rPr>
        <w:t>Franz扩散池  Franz diffusion cell</w:t>
      </w:r>
      <w:bookmarkEnd w:id="121"/>
    </w:p>
    <w:p w14:paraId="585C3AF7">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一种由供给室和接收室组成、以皮肤或人工膜分隔的静态立式扩散装置，用于测定药物经皮渗透行为。</w:t>
      </w:r>
    </w:p>
    <w:p w14:paraId="3188A6C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2" w:name="_Toc29783"/>
      <w:bookmarkEnd w:id="122"/>
      <w:bookmarkStart w:id="123" w:name="_Toc22654"/>
      <w:bookmarkEnd w:id="123"/>
      <w:bookmarkStart w:id="124" w:name="_Toc7865"/>
      <w:bookmarkEnd w:id="124"/>
    </w:p>
    <w:p w14:paraId="1ADA7CE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5" w:name="_Toc13667"/>
      <w:r>
        <w:rPr>
          <w:rFonts w:hint="default" w:hAnsi="Times New Roman" w:eastAsia="黑体" w:cs="Times New Roman"/>
          <w:lang w:val="en-US" w:eastAsia="zh-CN"/>
        </w:rPr>
        <w:t>累积渗透量  cumulative permeation amount</w:t>
      </w:r>
      <w:bookmarkEnd w:id="125"/>
    </w:p>
    <w:p w14:paraId="6DCE6D54">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单位面积皮肤在各取样时间点累计透过的药物总量，单位为微克每平方厘米（μg/cm</w:t>
      </w:r>
      <w:r>
        <w:rPr>
          <w:rFonts w:hint="eastAsia" w:ascii="宋体" w:hAnsi="宋体" w:eastAsia="宋体" w:cs="宋体"/>
          <w:vertAlign w:val="superscript"/>
          <w:lang w:val="en-US" w:eastAsia="zh-CN"/>
        </w:rPr>
        <w:t>2</w:t>
      </w:r>
      <w:r>
        <w:rPr>
          <w:rFonts w:hint="eastAsia" w:ascii="宋体" w:hAnsi="宋体" w:eastAsia="宋体" w:cs="宋体"/>
          <w:lang w:val="en-US" w:eastAsia="zh-CN"/>
        </w:rPr>
        <w:t>）或毫克每平方厘米（mg/cm</w:t>
      </w:r>
      <w:r>
        <w:rPr>
          <w:rFonts w:hint="eastAsia" w:ascii="宋体" w:hAnsi="宋体" w:eastAsia="宋体" w:cs="宋体"/>
          <w:vertAlign w:val="superscript"/>
          <w:lang w:val="en-US" w:eastAsia="zh-CN"/>
        </w:rPr>
        <w:t>2</w:t>
      </w:r>
      <w:r>
        <w:rPr>
          <w:rFonts w:hint="eastAsia" w:ascii="宋体" w:hAnsi="宋体" w:eastAsia="宋体" w:cs="宋体"/>
          <w:lang w:val="en-US" w:eastAsia="zh-CN"/>
        </w:rPr>
        <w:t>）。</w:t>
      </w:r>
    </w:p>
    <w:p w14:paraId="5EA1A89A">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26" w:name="_Toc8330"/>
      <w:bookmarkEnd w:id="126"/>
      <w:bookmarkStart w:id="127" w:name="_Toc21205"/>
      <w:bookmarkEnd w:id="127"/>
      <w:bookmarkStart w:id="128" w:name="_Toc23114"/>
      <w:bookmarkEnd w:id="128"/>
    </w:p>
    <w:p w14:paraId="0D6F094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29" w:name="_Toc7652"/>
      <w:r>
        <w:rPr>
          <w:rFonts w:hint="default" w:hAnsi="Times New Roman" w:eastAsia="黑体" w:cs="Times New Roman"/>
          <w:lang w:val="en-US" w:eastAsia="zh-CN"/>
        </w:rPr>
        <w:t>稳态渗透速率  steady-state permeation rate</w:t>
      </w:r>
      <w:bookmarkEnd w:id="129"/>
    </w:p>
    <w:p w14:paraId="70A6C754">
      <w:pPr>
        <w:pStyle w:val="60"/>
        <w:keepNext w:val="0"/>
        <w:keepLines w:val="0"/>
        <w:pageBreakBefore w:val="0"/>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药物透过皮肤达到稳态后，单位时间内单位面积皮肤透过的药物量，单位为微克每平方厘米每小时[μg/(cm</w:t>
      </w:r>
      <w:r>
        <w:rPr>
          <w:rFonts w:hint="eastAsia" w:ascii="宋体" w:hAnsi="宋体" w:eastAsia="宋体" w:cs="宋体"/>
          <w:vertAlign w:val="superscript"/>
          <w:lang w:val="en-US" w:eastAsia="zh-CN"/>
        </w:rPr>
        <w:t>2</w:t>
      </w:r>
      <w:r>
        <w:rPr>
          <w:rFonts w:hint="eastAsia" w:ascii="宋体" w:hAnsi="宋体" w:eastAsia="宋体" w:cs="宋体"/>
          <w:lang w:val="en-US" w:eastAsia="zh-CN"/>
        </w:rPr>
        <w:t>·h)]。</w:t>
      </w:r>
    </w:p>
    <w:p w14:paraId="60BA445F">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30" w:name="_Toc11844"/>
      <w:bookmarkEnd w:id="130"/>
      <w:bookmarkStart w:id="131" w:name="_Toc15223"/>
      <w:bookmarkEnd w:id="131"/>
      <w:bookmarkStart w:id="132" w:name="_Toc6302"/>
      <w:bookmarkEnd w:id="132"/>
    </w:p>
    <w:p w14:paraId="7B70B9AD">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3" w:name="_Toc27566"/>
      <w:r>
        <w:rPr>
          <w:rFonts w:hint="default" w:hAnsi="Times New Roman" w:eastAsia="黑体" w:cs="Times New Roman"/>
          <w:lang w:val="en-US" w:eastAsia="zh-CN"/>
        </w:rPr>
        <w:t>滞后时间  lag time</w:t>
      </w:r>
      <w:bookmarkEnd w:id="133"/>
    </w:p>
    <w:p w14:paraId="33497C5F">
      <w:pPr>
        <w:pStyle w:val="60"/>
        <w:keepNext w:val="0"/>
        <w:keepLines w:val="0"/>
        <w:pageBreakBefore w:val="0"/>
        <w:kinsoku/>
        <w:wordWrap/>
        <w:overflowPunct/>
        <w:topLinePunct w:val="0"/>
        <w:bidi w:val="0"/>
        <w:snapToGrid/>
        <w:spacing w:line="240" w:lineRule="auto"/>
        <w:textAlignment w:val="auto"/>
        <w:rPr>
          <w:rFonts w:hint="default"/>
          <w:lang w:val="en-US" w:eastAsia="zh-CN"/>
        </w:rPr>
      </w:pPr>
      <w:r>
        <w:rPr>
          <w:rFonts w:hint="default"/>
          <w:lang w:val="en-US" w:eastAsia="zh-CN"/>
        </w:rPr>
        <w:t>从试验开始到药物透过皮肤达到稳态渗透所需的时间，单位为小时（h）。</w:t>
      </w:r>
    </w:p>
    <w:p w14:paraId="6EF72862">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34" w:name="_Toc28837"/>
      <w:bookmarkEnd w:id="134"/>
    </w:p>
    <w:p w14:paraId="4A75640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5" w:name="_Toc20380"/>
      <w:r>
        <w:rPr>
          <w:rFonts w:hint="default" w:hAnsi="Times New Roman" w:eastAsia="黑体" w:cs="Times New Roman"/>
          <w:lang w:val="en-US" w:eastAsia="zh-CN"/>
        </w:rPr>
        <w:t>渗透系数  permeability coefficient</w:t>
      </w:r>
      <w:bookmarkEnd w:id="135"/>
    </w:p>
    <w:p w14:paraId="550B51CC">
      <w:pPr>
        <w:pStyle w:val="60"/>
        <w:rPr>
          <w:rFonts w:hint="default"/>
          <w:lang w:val="en-US" w:eastAsia="zh-CN"/>
        </w:rPr>
      </w:pPr>
      <w:r>
        <w:rPr>
          <w:rFonts w:hint="default"/>
          <w:lang w:val="en-US" w:eastAsia="zh-CN"/>
        </w:rPr>
        <w:t>稳态渗透速率与供给室中药物浓度的比值，单位为厘米每小时（cm/h），反映药物透过皮肤的固有能力。</w:t>
      </w:r>
    </w:p>
    <w:p w14:paraId="11CA4B09">
      <w:pPr>
        <w:pStyle w:val="109"/>
        <w:keepNext w:val="0"/>
        <w:keepLines w:val="0"/>
        <w:pageBreakBefore w:val="0"/>
        <w:kinsoku/>
        <w:wordWrap/>
        <w:overflowPunct/>
        <w:topLinePunct w:val="0"/>
        <w:bidi w:val="0"/>
        <w:snapToGrid/>
        <w:spacing w:after="120" w:afterLines="50" w:line="240" w:lineRule="auto"/>
        <w:ind w:left="0"/>
        <w:jc w:val="both"/>
        <w:textAlignment w:val="auto"/>
        <w:rPr>
          <w:rFonts w:hint="default"/>
          <w:lang w:val="en-US" w:eastAsia="zh-CN"/>
        </w:rPr>
      </w:pPr>
      <w:bookmarkStart w:id="136" w:name="_Toc7441"/>
      <w:bookmarkEnd w:id="136"/>
    </w:p>
    <w:p w14:paraId="552A1FE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240" w:lineRule="auto"/>
        <w:ind w:left="0" w:leftChars="0" w:firstLine="420" w:firstLineChars="200"/>
        <w:jc w:val="both"/>
        <w:textAlignment w:val="auto"/>
        <w:rPr>
          <w:rFonts w:hint="default" w:hAnsi="Times New Roman" w:eastAsia="黑体" w:cs="Times New Roman"/>
          <w:lang w:val="en-US" w:eastAsia="zh-CN"/>
        </w:rPr>
      </w:pPr>
      <w:bookmarkStart w:id="137" w:name="_Toc6608"/>
      <w:r>
        <w:rPr>
          <w:rFonts w:hint="default" w:hAnsi="Times New Roman" w:eastAsia="黑体" w:cs="Times New Roman"/>
          <w:lang w:val="en-US" w:eastAsia="zh-CN"/>
        </w:rPr>
        <w:t>皮肤滞留量  skin retention amount</w:t>
      </w:r>
      <w:bookmarkEnd w:id="137"/>
    </w:p>
    <w:p w14:paraId="4EDA57E2">
      <w:pPr>
        <w:pStyle w:val="60"/>
        <w:rPr>
          <w:rFonts w:hint="default"/>
          <w:lang w:val="en-US" w:eastAsia="zh-CN"/>
        </w:rPr>
      </w:pPr>
      <w:r>
        <w:rPr>
          <w:rFonts w:hint="eastAsia" w:ascii="宋体" w:hAnsi="宋体" w:eastAsia="宋体" w:cs="宋体"/>
          <w:lang w:val="en-US" w:eastAsia="zh-CN"/>
        </w:rPr>
        <w:t>试验结束后，滞留在皮肤各层（角质层、活性表皮和真皮）中的药物总量，单位为微克每平方厘米（μg/cm</w:t>
      </w:r>
      <w:r>
        <w:rPr>
          <w:rFonts w:hint="eastAsia" w:ascii="宋体" w:hAnsi="宋体" w:eastAsia="宋体" w:cs="宋体"/>
          <w:vertAlign w:val="superscript"/>
          <w:lang w:val="en-US" w:eastAsia="zh-CN"/>
        </w:rPr>
        <w:t>2</w:t>
      </w:r>
      <w:r>
        <w:rPr>
          <w:rFonts w:hint="eastAsia" w:ascii="宋体" w:hAnsi="宋体" w:eastAsia="宋体" w:cs="宋体"/>
          <w:lang w:val="en-US" w:eastAsia="zh-CN"/>
        </w:rPr>
        <w:t>）。</w:t>
      </w:r>
    </w:p>
    <w:p w14:paraId="3588B628">
      <w:pPr>
        <w:pStyle w:val="108"/>
        <w:keepNext w:val="0"/>
        <w:keepLines w:val="0"/>
        <w:pageBreakBefore w:val="0"/>
        <w:kinsoku/>
        <w:wordWrap/>
        <w:overflowPunct/>
        <w:topLinePunct w:val="0"/>
        <w:bidi w:val="0"/>
        <w:snapToGrid/>
        <w:spacing w:line="240" w:lineRule="auto"/>
        <w:textAlignment w:val="auto"/>
      </w:pPr>
      <w:bookmarkStart w:id="138" w:name="_Toc18345"/>
      <w:r>
        <w:rPr>
          <w:rFonts w:hint="eastAsia"/>
        </w:rPr>
        <w:t>评价原则与基本要求</w:t>
      </w:r>
      <w:bookmarkEnd w:id="138"/>
    </w:p>
    <w:bookmarkEnd w:id="78"/>
    <w:bookmarkEnd w:id="103"/>
    <w:p w14:paraId="46CE3BE7">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pPr>
      <w:bookmarkStart w:id="139" w:name="_Toc6029"/>
      <w:r>
        <w:rPr>
          <w:rFonts w:hint="eastAsia"/>
        </w:rPr>
        <w:t>评价原则</w:t>
      </w:r>
      <w:bookmarkEnd w:id="139"/>
    </w:p>
    <w:p w14:paraId="57E6E92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科学性原则：试验设计应遵循Fick第一扩散定律，选择与人体皮肤渗透性相近的皮肤模型，确保试验结果能够真实反映药物的透皮行为。</w:t>
      </w:r>
    </w:p>
    <w:p w14:paraId="1AD75D7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规范性原则：试验操作应严格按照本文件及GB/T 27818的规定执行，仪器设备应经计量检定合格，试验条件应保持稳定可控。</w:t>
      </w:r>
    </w:p>
    <w:p w14:paraId="6EE145B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可重复性原则：同一批</w:t>
      </w:r>
      <w:r>
        <w:rPr>
          <w:rFonts w:hint="eastAsia" w:ascii="宋体" w:eastAsia="宋体" w:cs="Times New Roman"/>
          <w:sz w:val="21"/>
          <w:lang w:val="en-US" w:eastAsia="zh-CN" w:bidi="ar-SA"/>
        </w:rPr>
        <w:t>样</w:t>
      </w:r>
      <w:r>
        <w:rPr>
          <w:rFonts w:hint="eastAsia" w:ascii="宋体" w:hAnsi="Times New Roman" w:eastAsia="宋体" w:cs="Times New Roman"/>
          <w:sz w:val="21"/>
          <w:lang w:val="en-US" w:eastAsia="zh-CN" w:bidi="ar-SA"/>
        </w:rPr>
        <w:t>品在相同条件下重复测定</w:t>
      </w:r>
      <w:r>
        <w:rPr>
          <w:rFonts w:hint="eastAsia" w:ascii="宋体" w:eastAsia="宋体" w:cs="Times New Roman"/>
          <w:sz w:val="21"/>
          <w:lang w:val="en-US" w:eastAsia="zh-CN" w:bidi="ar-SA"/>
        </w:rPr>
        <w:t>，稳态渗透速率的相对标准偏差（RSD）应不大于15%，累积渗透量的RSD应不大于10%。</w:t>
      </w:r>
    </w:p>
    <w:p w14:paraId="52F9BD01">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安全性原则：试验过程中应注意皮肤模型的完整性检查，避免皮肤破损导致渗透数据失真；涉及动物皮肤的获取和处理应符合实验动物伦理相关规定。</w:t>
      </w:r>
    </w:p>
    <w:p w14:paraId="6A1772AB">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40" w:name="_Toc2694"/>
      <w:r>
        <w:rPr>
          <w:rFonts w:hint="eastAsia"/>
          <w:lang w:val="en-US" w:eastAsia="zh-CN"/>
        </w:rPr>
        <w:t>试验样品</w:t>
      </w:r>
      <w:r>
        <w:rPr>
          <w:rFonts w:hint="eastAsia"/>
        </w:rPr>
        <w:t>要求</w:t>
      </w:r>
      <w:bookmarkEnd w:id="140"/>
    </w:p>
    <w:p w14:paraId="73F98DA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样品应为中试或工业化生产规模的产品，应具有明确的处方、工艺规程及质量标准。</w:t>
      </w:r>
    </w:p>
    <w:p w14:paraId="5C1B29A7">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样品应在有效期内，包装完整，性状符合《中华人民共和国药典</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2020年版</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》四部通则0122项下相应剂型的规定。</w:t>
      </w:r>
    </w:p>
    <w:p w14:paraId="61CE711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样品应标明品名、规格、批号、生产日期、有效期及生产单位。同一试验应使用同一批号的</w:t>
      </w:r>
      <w:r>
        <w:rPr>
          <w:rFonts w:hint="eastAsia" w:ascii="宋体" w:eastAsia="宋体" w:cs="Times New Roman"/>
          <w:sz w:val="21"/>
          <w:lang w:val="en-US" w:eastAsia="zh-CN" w:bidi="ar-SA"/>
        </w:rPr>
        <w:t>样品</w:t>
      </w:r>
      <w:r>
        <w:rPr>
          <w:rFonts w:hint="eastAsia" w:ascii="宋体" w:hAnsi="Times New Roman" w:eastAsia="宋体" w:cs="Times New Roman"/>
          <w:sz w:val="21"/>
          <w:lang w:val="en-US" w:eastAsia="zh-CN" w:bidi="ar-SA"/>
        </w:rPr>
        <w:t>。</w:t>
      </w:r>
    </w:p>
    <w:p w14:paraId="3D6A5D2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样品的储存条件应符合产品质量标准的规定，试验前应检查外观，不</w:t>
      </w:r>
      <w:r>
        <w:rPr>
          <w:rFonts w:hint="eastAsia" w:ascii="宋体" w:eastAsia="宋体" w:cs="Times New Roman"/>
          <w:sz w:val="21"/>
          <w:lang w:val="en-US" w:eastAsia="zh-CN" w:bidi="ar-SA"/>
        </w:rPr>
        <w:t>应</w:t>
      </w:r>
      <w:r>
        <w:rPr>
          <w:rFonts w:hint="eastAsia" w:ascii="宋体" w:hAnsi="Times New Roman" w:eastAsia="宋体" w:cs="Times New Roman"/>
          <w:sz w:val="21"/>
          <w:lang w:val="en-US" w:eastAsia="zh-CN" w:bidi="ar-SA"/>
        </w:rPr>
        <w:t>有脱膏、渗油、干裂、变色等异常现象。</w:t>
      </w:r>
    </w:p>
    <w:p w14:paraId="3DBF6D91">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rPr>
      </w:pPr>
      <w:bookmarkStart w:id="141" w:name="_Toc31970"/>
      <w:r>
        <w:rPr>
          <w:rFonts w:hint="eastAsia"/>
          <w:lang w:val="en-US" w:eastAsia="zh-CN"/>
        </w:rPr>
        <w:t>试验</w:t>
      </w:r>
      <w:r>
        <w:rPr>
          <w:rFonts w:hint="eastAsia"/>
        </w:rPr>
        <w:t>环境要求</w:t>
      </w:r>
      <w:bookmarkEnd w:id="141"/>
    </w:p>
    <w:p w14:paraId="68FAD98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试验室温度应控制在20</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℃～26</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℃，相对湿度应控制在40%～60%。</w:t>
      </w:r>
    </w:p>
    <w:p w14:paraId="171DB94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试验区域应保持清洁，无挥发性有机溶剂及其他可能干扰测定的物质。</w:t>
      </w:r>
    </w:p>
    <w:p w14:paraId="107F052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pPr>
      <w:r>
        <w:rPr>
          <w:rFonts w:hint="eastAsia" w:ascii="宋体" w:hAnsi="Times New Roman" w:eastAsia="宋体" w:cs="Times New Roman"/>
          <w:sz w:val="21"/>
          <w:lang w:val="en-US" w:eastAsia="zh-CN" w:bidi="ar-SA"/>
        </w:rPr>
        <w:t>皮肤模型制备区域应配备生物安全柜或超净工作台，防止微生物污染。</w:t>
      </w:r>
    </w:p>
    <w:p w14:paraId="59E165B9">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pPr>
      <w:bookmarkStart w:id="142" w:name="_Toc10858"/>
      <w:r>
        <w:rPr>
          <w:rFonts w:hint="eastAsia"/>
        </w:rPr>
        <w:t>仪器设备要求</w:t>
      </w:r>
      <w:bookmarkEnd w:id="142"/>
    </w:p>
    <w:bookmarkEnd w:id="33"/>
    <w:p w14:paraId="2512B2F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Franz扩散池：应具有恒温水浴夹套、磁力搅拌装置和取样口。</w:t>
      </w:r>
    </w:p>
    <w:p w14:paraId="6191C7B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恒温水浴系统：控温精度应为±0.5</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℃，温度波动范围应不大于±0.2</w:t>
      </w:r>
      <w:r>
        <w:rPr>
          <w:rFonts w:hint="eastAsia" w:ascii="宋体" w:eastAsia="宋体" w:cs="Times New Roman"/>
          <w:sz w:val="21"/>
          <w:lang w:val="en-US" w:eastAsia="zh-CN" w:bidi="ar-SA"/>
        </w:rPr>
        <w:t xml:space="preserve"> </w:t>
      </w:r>
      <w:r>
        <w:rPr>
          <w:rFonts w:hint="eastAsia" w:ascii="宋体" w:hAnsi="Times New Roman" w:eastAsia="宋体" w:cs="Times New Roman"/>
          <w:sz w:val="21"/>
          <w:lang w:val="en-US" w:eastAsia="zh-CN" w:bidi="ar-SA"/>
        </w:rPr>
        <w:t>℃/h。</w:t>
      </w:r>
    </w:p>
    <w:p w14:paraId="172DBB0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磁力搅拌器：转速可调范围应为100 r/min～1000 r/min，转速精度应为±10 r/min。</w:t>
      </w:r>
    </w:p>
    <w:p w14:paraId="509E6BF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分析仪器：高效液相色谱仪（HPLC）应符合《中华人民共和国药典</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2020年版</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》四部通则0512的要求，配备紫外检测器或二极管阵列检测器。</w:t>
      </w:r>
    </w:p>
    <w:p w14:paraId="18BD6BD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其他设备：分析天平（感量0.1 mg）、pH计（精度±0.01）、超声波清洗器、涡旋混合器、高速离心机（转速不低于10000 r/min）。</w:t>
      </w:r>
    </w:p>
    <w:p w14:paraId="1B0CE81A">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3" w:name="_Toc8367"/>
      <w:r>
        <w:rPr>
          <w:rFonts w:hint="eastAsia"/>
          <w:lang w:val="en-US" w:eastAsia="zh-CN"/>
        </w:rPr>
        <w:t>人员资质要求</w:t>
      </w:r>
      <w:bookmarkEnd w:id="143"/>
    </w:p>
    <w:p w14:paraId="658D642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试验操作人员应具有药学、中药学或相关专业大专及以上学历，经岗位培训并考核合格。</w:t>
      </w:r>
    </w:p>
    <w:p w14:paraId="2D0B97A8">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lang w:val="en-US" w:eastAsia="zh-CN"/>
        </w:rPr>
      </w:pPr>
      <w:r>
        <w:rPr>
          <w:rFonts w:hint="eastAsia" w:ascii="宋体" w:hAnsi="Times New Roman" w:eastAsia="宋体" w:cs="Times New Roman"/>
          <w:sz w:val="21"/>
          <w:lang w:val="en-US" w:eastAsia="zh-CN" w:bidi="ar-SA"/>
        </w:rPr>
        <w:t>试验负责人应具有中级及以上专业技术职称，具有3年以上药物制剂或药物分析工作经验。</w:t>
      </w:r>
    </w:p>
    <w:p w14:paraId="7E0ED0CE">
      <w:pPr>
        <w:pStyle w:val="108"/>
        <w:keepNext w:val="0"/>
        <w:keepLines w:val="0"/>
        <w:pageBreakBefore w:val="0"/>
        <w:kinsoku/>
        <w:wordWrap/>
        <w:overflowPunct/>
        <w:topLinePunct w:val="0"/>
        <w:bidi w:val="0"/>
        <w:snapToGrid/>
        <w:spacing w:line="240" w:lineRule="auto"/>
        <w:textAlignment w:val="auto"/>
        <w:rPr>
          <w:rFonts w:hint="eastAsia"/>
          <w:lang w:val="en-US" w:eastAsia="zh-CN"/>
        </w:rPr>
      </w:pPr>
      <w:bookmarkStart w:id="144" w:name="_Toc23351"/>
      <w:r>
        <w:rPr>
          <w:rFonts w:hint="eastAsia"/>
          <w:lang w:val="en-US" w:eastAsia="zh-CN"/>
        </w:rPr>
        <w:t>评价指标体系</w:t>
      </w:r>
      <w:bookmarkEnd w:id="144"/>
    </w:p>
    <w:p w14:paraId="6A96DD41">
      <w:pPr>
        <w:pStyle w:val="60"/>
        <w:rPr>
          <w:rFonts w:hint="eastAsia"/>
          <w:lang w:val="en-US" w:eastAsia="zh-CN"/>
        </w:rPr>
      </w:pPr>
      <w:r>
        <w:rPr>
          <w:rFonts w:hint="eastAsia"/>
          <w:lang w:val="en-US" w:eastAsia="zh-CN"/>
        </w:rPr>
        <w:t>中药贴膏剂透皮吸收效率的评价指标见表1。</w:t>
      </w:r>
    </w:p>
    <w:p w14:paraId="0DBBBF8B">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lang w:val="en-US" w:eastAsia="zh-CN"/>
        </w:rPr>
      </w:pPr>
      <w:r>
        <w:rPr>
          <w:rFonts w:hint="eastAsia" w:hAnsi="Times New Roman" w:cs="Times New Roman"/>
          <w:lang w:val="en-US" w:eastAsia="zh-CN"/>
        </w:rPr>
        <w:t>中药贴膏剂透皮吸收效率评价指标</w:t>
      </w:r>
    </w:p>
    <w:tbl>
      <w:tblPr>
        <w:tblStyle w:val="3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2"/>
        <w:gridCol w:w="1524"/>
        <w:gridCol w:w="1525"/>
        <w:gridCol w:w="1633"/>
        <w:gridCol w:w="1956"/>
      </w:tblGrid>
      <w:tr w14:paraId="58C3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14384315">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评价指标</w:t>
            </w:r>
          </w:p>
        </w:tc>
        <w:tc>
          <w:tcPr>
            <w:tcW w:w="817" w:type="pct"/>
            <w:vAlign w:val="center"/>
          </w:tcPr>
          <w:p w14:paraId="7A68EA44">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单位</w:t>
            </w:r>
          </w:p>
        </w:tc>
        <w:tc>
          <w:tcPr>
            <w:tcW w:w="817" w:type="pct"/>
            <w:vAlign w:val="center"/>
          </w:tcPr>
          <w:p w14:paraId="79A3EB4C">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速释型贴膏剂</w:t>
            </w:r>
          </w:p>
        </w:tc>
        <w:tc>
          <w:tcPr>
            <w:tcW w:w="875" w:type="pct"/>
            <w:vAlign w:val="center"/>
          </w:tcPr>
          <w:p w14:paraId="797B8157">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缓释型贴膏剂</w:t>
            </w:r>
          </w:p>
        </w:tc>
        <w:tc>
          <w:tcPr>
            <w:tcW w:w="1045" w:type="pct"/>
            <w:vAlign w:val="center"/>
          </w:tcPr>
          <w:p w14:paraId="212816BD">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局部作用型贴膏剂</w:t>
            </w:r>
          </w:p>
        </w:tc>
      </w:tr>
      <w:tr w14:paraId="6BBA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12A5BF00">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24 h累积渗透量（Q</w:t>
            </w:r>
            <w:r>
              <w:rPr>
                <w:rFonts w:hint="eastAsia" w:ascii="宋体" w:hAnsi="宋体" w:eastAsia="宋体" w:cs="宋体"/>
                <w:sz w:val="18"/>
                <w:szCs w:val="18"/>
                <w:vertAlign w:val="subscript"/>
                <w:lang w:val="en-US" w:eastAsia="zh-CN"/>
              </w:rPr>
              <w:t>24</w:t>
            </w:r>
            <w:r>
              <w:rPr>
                <w:rFonts w:hint="eastAsia" w:ascii="宋体" w:hAnsi="宋体" w:eastAsia="宋体" w:cs="宋体"/>
                <w:sz w:val="18"/>
                <w:szCs w:val="18"/>
                <w:lang w:val="en-US" w:eastAsia="zh-CN"/>
              </w:rPr>
              <w:t>）</w:t>
            </w:r>
          </w:p>
        </w:tc>
        <w:tc>
          <w:tcPr>
            <w:tcW w:w="817" w:type="pct"/>
            <w:vAlign w:val="center"/>
          </w:tcPr>
          <w:p w14:paraId="042D17F4">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μg/cm²</w:t>
            </w:r>
          </w:p>
        </w:tc>
        <w:tc>
          <w:tcPr>
            <w:tcW w:w="817" w:type="pct"/>
            <w:vAlign w:val="center"/>
          </w:tcPr>
          <w:p w14:paraId="69366682">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≥100</w:t>
            </w:r>
          </w:p>
        </w:tc>
        <w:tc>
          <w:tcPr>
            <w:tcW w:w="875" w:type="pct"/>
            <w:vAlign w:val="center"/>
          </w:tcPr>
          <w:p w14:paraId="15DAB8B4">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≥50</w:t>
            </w:r>
          </w:p>
        </w:tc>
        <w:tc>
          <w:tcPr>
            <w:tcW w:w="1045" w:type="pct"/>
            <w:vAlign w:val="center"/>
          </w:tcPr>
          <w:p w14:paraId="79CDCB5C">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≥20</w:t>
            </w:r>
          </w:p>
        </w:tc>
      </w:tr>
      <w:tr w14:paraId="6D9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2DF48D91">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稳态渗透速率（J</w:t>
            </w:r>
            <w:r>
              <w:rPr>
                <w:rFonts w:hint="eastAsia" w:ascii="宋体" w:hAnsi="宋体" w:eastAsia="宋体" w:cs="宋体"/>
                <w:sz w:val="18"/>
                <w:szCs w:val="18"/>
                <w:vertAlign w:val="subscript"/>
                <w:lang w:val="en-US" w:eastAsia="zh-CN"/>
              </w:rPr>
              <w:t>ss</w:t>
            </w:r>
            <w:r>
              <w:rPr>
                <w:rFonts w:hint="eastAsia" w:ascii="宋体" w:hAnsi="宋体" w:eastAsia="宋体" w:cs="宋体"/>
                <w:sz w:val="18"/>
                <w:szCs w:val="18"/>
                <w:lang w:val="en-US" w:eastAsia="zh-CN"/>
              </w:rPr>
              <w:t>）</w:t>
            </w:r>
          </w:p>
        </w:tc>
        <w:tc>
          <w:tcPr>
            <w:tcW w:w="817" w:type="pct"/>
            <w:vAlign w:val="center"/>
          </w:tcPr>
          <w:p w14:paraId="4B18495D">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μg/(cm²·h)</w:t>
            </w:r>
          </w:p>
        </w:tc>
        <w:tc>
          <w:tcPr>
            <w:tcW w:w="817" w:type="pct"/>
            <w:vAlign w:val="center"/>
          </w:tcPr>
          <w:p w14:paraId="2C3E3633">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≥10</w:t>
            </w:r>
          </w:p>
        </w:tc>
        <w:tc>
          <w:tcPr>
            <w:tcW w:w="875" w:type="pct"/>
            <w:vAlign w:val="center"/>
          </w:tcPr>
          <w:p w14:paraId="0630396D">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≥3</w:t>
            </w:r>
          </w:p>
        </w:tc>
        <w:tc>
          <w:tcPr>
            <w:tcW w:w="1045" w:type="pct"/>
            <w:vAlign w:val="center"/>
          </w:tcPr>
          <w:p w14:paraId="761506A0">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r>
      <w:tr w14:paraId="2177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6A75D26B">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滞后时间（T</w:t>
            </w:r>
            <w:r>
              <w:rPr>
                <w:rFonts w:hint="eastAsia" w:ascii="宋体" w:hAnsi="宋体" w:eastAsia="宋体" w:cs="宋体"/>
                <w:sz w:val="18"/>
                <w:szCs w:val="18"/>
                <w:vertAlign w:val="subscript"/>
                <w:lang w:val="en-US" w:eastAsia="zh-CN"/>
              </w:rPr>
              <w:t>lag</w:t>
            </w:r>
            <w:r>
              <w:rPr>
                <w:rFonts w:hint="eastAsia" w:ascii="宋体" w:hAnsi="宋体" w:eastAsia="宋体" w:cs="宋体"/>
                <w:sz w:val="18"/>
                <w:szCs w:val="18"/>
                <w:lang w:val="en-US" w:eastAsia="zh-CN"/>
              </w:rPr>
              <w:t>）</w:t>
            </w:r>
          </w:p>
        </w:tc>
        <w:tc>
          <w:tcPr>
            <w:tcW w:w="817" w:type="pct"/>
            <w:vAlign w:val="center"/>
          </w:tcPr>
          <w:p w14:paraId="20D503E8">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h</w:t>
            </w:r>
          </w:p>
        </w:tc>
        <w:tc>
          <w:tcPr>
            <w:tcW w:w="817" w:type="pct"/>
            <w:vAlign w:val="center"/>
          </w:tcPr>
          <w:p w14:paraId="46DDF4AF">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≤1.0</w:t>
            </w:r>
          </w:p>
        </w:tc>
        <w:tc>
          <w:tcPr>
            <w:tcW w:w="875" w:type="pct"/>
            <w:vAlign w:val="center"/>
          </w:tcPr>
          <w:p w14:paraId="4A80DF63">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≤2.0</w:t>
            </w:r>
          </w:p>
        </w:tc>
        <w:tc>
          <w:tcPr>
            <w:tcW w:w="1045" w:type="pct"/>
            <w:vAlign w:val="center"/>
          </w:tcPr>
          <w:p w14:paraId="2E8DF0E7">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≤3.0</w:t>
            </w:r>
          </w:p>
        </w:tc>
      </w:tr>
      <w:tr w14:paraId="150F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113AC6D0">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渗透系数（K</w:t>
            </w:r>
            <w:r>
              <w:rPr>
                <w:rFonts w:hint="eastAsia" w:ascii="宋体" w:hAnsi="宋体" w:eastAsia="宋体" w:cs="宋体"/>
                <w:sz w:val="18"/>
                <w:szCs w:val="18"/>
                <w:vertAlign w:val="subscript"/>
                <w:lang w:val="en-US" w:eastAsia="zh-CN"/>
              </w:rPr>
              <w:t>p</w:t>
            </w:r>
            <w:r>
              <w:rPr>
                <w:rFonts w:hint="eastAsia" w:ascii="宋体" w:hAnsi="宋体" w:eastAsia="宋体" w:cs="宋体"/>
                <w:sz w:val="18"/>
                <w:szCs w:val="18"/>
                <w:lang w:val="en-US" w:eastAsia="zh-CN"/>
              </w:rPr>
              <w:t>）</w:t>
            </w:r>
          </w:p>
        </w:tc>
        <w:tc>
          <w:tcPr>
            <w:tcW w:w="817" w:type="pct"/>
            <w:vAlign w:val="center"/>
          </w:tcPr>
          <w:p w14:paraId="7998EB2E">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cm/h</w:t>
            </w:r>
          </w:p>
        </w:tc>
        <w:tc>
          <w:tcPr>
            <w:tcW w:w="817" w:type="pct"/>
            <w:vAlign w:val="center"/>
          </w:tcPr>
          <w:p w14:paraId="12CA6AF5">
            <w:pPr>
              <w:pStyle w:val="60"/>
              <w:ind w:left="0" w:leftChars="0" w:firstLine="0" w:firstLineChars="0"/>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≥1.0×10</w:t>
            </w:r>
            <w:r>
              <w:rPr>
                <w:rFonts w:hint="eastAsia" w:ascii="宋体" w:hAnsi="宋体" w:eastAsia="宋体" w:cs="宋体"/>
                <w:sz w:val="18"/>
                <w:szCs w:val="18"/>
                <w:vertAlign w:val="superscript"/>
                <w:lang w:val="en-US" w:eastAsia="zh-CN"/>
              </w:rPr>
              <w:t>-3</w:t>
            </w:r>
          </w:p>
        </w:tc>
        <w:tc>
          <w:tcPr>
            <w:tcW w:w="875" w:type="pct"/>
            <w:vAlign w:val="center"/>
          </w:tcPr>
          <w:p w14:paraId="2BD28502">
            <w:pPr>
              <w:pStyle w:val="60"/>
              <w:ind w:left="0" w:leftChars="0" w:firstLine="0" w:firstLineChars="0"/>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≥3.0×10</w:t>
            </w:r>
            <w:r>
              <w:rPr>
                <w:rFonts w:hint="eastAsia" w:ascii="宋体" w:hAnsi="宋体" w:eastAsia="宋体" w:cs="宋体"/>
                <w:sz w:val="18"/>
                <w:szCs w:val="18"/>
                <w:vertAlign w:val="superscript"/>
                <w:lang w:val="en-US" w:eastAsia="zh-CN"/>
              </w:rPr>
              <w:t>-4</w:t>
            </w:r>
          </w:p>
        </w:tc>
        <w:tc>
          <w:tcPr>
            <w:tcW w:w="1045" w:type="pct"/>
            <w:vAlign w:val="center"/>
          </w:tcPr>
          <w:p w14:paraId="7B12D179">
            <w:pPr>
              <w:pStyle w:val="60"/>
              <w:ind w:left="0" w:leftChars="0" w:firstLine="0" w:firstLineChars="0"/>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≥1.0×10</w:t>
            </w:r>
            <w:r>
              <w:rPr>
                <w:rFonts w:hint="eastAsia" w:ascii="宋体" w:hAnsi="宋体" w:eastAsia="宋体" w:cs="宋体"/>
                <w:sz w:val="18"/>
                <w:szCs w:val="18"/>
                <w:vertAlign w:val="superscript"/>
                <w:lang w:val="en-US" w:eastAsia="zh-CN"/>
              </w:rPr>
              <w:t>-4</w:t>
            </w:r>
          </w:p>
        </w:tc>
      </w:tr>
      <w:tr w14:paraId="2145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0A291901">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24 h透皮百分率（P</w:t>
            </w:r>
            <w:r>
              <w:rPr>
                <w:rFonts w:hint="eastAsia" w:ascii="宋体" w:hAnsi="宋体" w:eastAsia="宋体" w:cs="宋体"/>
                <w:sz w:val="18"/>
                <w:szCs w:val="18"/>
                <w:vertAlign w:val="subscript"/>
                <w:lang w:val="en-US" w:eastAsia="zh-CN"/>
              </w:rPr>
              <w:t>24</w:t>
            </w:r>
            <w:r>
              <w:rPr>
                <w:rFonts w:hint="eastAsia" w:ascii="宋体" w:hAnsi="宋体" w:eastAsia="宋体" w:cs="宋体"/>
                <w:sz w:val="18"/>
                <w:szCs w:val="18"/>
                <w:lang w:val="en-US" w:eastAsia="zh-CN"/>
              </w:rPr>
              <w:t>）</w:t>
            </w:r>
          </w:p>
        </w:tc>
        <w:tc>
          <w:tcPr>
            <w:tcW w:w="817" w:type="pct"/>
            <w:vAlign w:val="center"/>
          </w:tcPr>
          <w:p w14:paraId="5CC4F339">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w:t>
            </w:r>
          </w:p>
        </w:tc>
        <w:tc>
          <w:tcPr>
            <w:tcW w:w="817" w:type="pct"/>
            <w:vAlign w:val="center"/>
          </w:tcPr>
          <w:p w14:paraId="0CF32479">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≥30</w:t>
            </w:r>
          </w:p>
        </w:tc>
        <w:tc>
          <w:tcPr>
            <w:tcW w:w="875" w:type="pct"/>
            <w:vAlign w:val="center"/>
          </w:tcPr>
          <w:p w14:paraId="6AAD0B8D">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≥15</w:t>
            </w:r>
          </w:p>
        </w:tc>
        <w:tc>
          <w:tcPr>
            <w:tcW w:w="1045" w:type="pct"/>
            <w:vAlign w:val="center"/>
          </w:tcPr>
          <w:p w14:paraId="6D013BF2">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w:t>
            </w:r>
          </w:p>
        </w:tc>
      </w:tr>
      <w:tr w14:paraId="30C5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43" w:type="pct"/>
            <w:vAlign w:val="center"/>
          </w:tcPr>
          <w:p w14:paraId="1CAC0BD7">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皮肤滞留量（Q</w:t>
            </w:r>
            <w:r>
              <w:rPr>
                <w:rFonts w:hint="eastAsia" w:ascii="宋体" w:hAnsi="宋体" w:eastAsia="宋体" w:cs="宋体"/>
                <w:sz w:val="18"/>
                <w:szCs w:val="18"/>
                <w:vertAlign w:val="subscript"/>
                <w:lang w:val="en-US" w:eastAsia="zh-CN"/>
              </w:rPr>
              <w:t>skin</w:t>
            </w:r>
            <w:r>
              <w:rPr>
                <w:rFonts w:hint="eastAsia" w:ascii="宋体" w:hAnsi="宋体" w:eastAsia="宋体" w:cs="宋体"/>
                <w:sz w:val="18"/>
                <w:szCs w:val="18"/>
                <w:lang w:val="en-US" w:eastAsia="zh-CN"/>
              </w:rPr>
              <w:t>）</w:t>
            </w:r>
          </w:p>
        </w:tc>
        <w:tc>
          <w:tcPr>
            <w:tcW w:w="817" w:type="pct"/>
            <w:vAlign w:val="center"/>
          </w:tcPr>
          <w:p w14:paraId="4C14B252">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μg/cm²</w:t>
            </w:r>
          </w:p>
        </w:tc>
        <w:tc>
          <w:tcPr>
            <w:tcW w:w="817" w:type="pct"/>
            <w:vAlign w:val="center"/>
          </w:tcPr>
          <w:p w14:paraId="2BB73B3E">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≥20</w:t>
            </w:r>
          </w:p>
        </w:tc>
        <w:tc>
          <w:tcPr>
            <w:tcW w:w="875" w:type="pct"/>
            <w:vAlign w:val="center"/>
          </w:tcPr>
          <w:p w14:paraId="135CE5D5">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≥30</w:t>
            </w:r>
          </w:p>
        </w:tc>
        <w:tc>
          <w:tcPr>
            <w:tcW w:w="1045" w:type="pct"/>
            <w:vAlign w:val="center"/>
          </w:tcPr>
          <w:p w14:paraId="7E7BCB49">
            <w:pPr>
              <w:pStyle w:val="60"/>
              <w:ind w:left="0" w:leftChars="0" w:firstLine="0" w:firstLineChars="0"/>
              <w:jc w:val="center"/>
              <w:rPr>
                <w:rFonts w:hint="eastAsia" w:ascii="宋体" w:hAnsi="宋体" w:eastAsia="宋体" w:cs="宋体"/>
                <w:sz w:val="18"/>
                <w:szCs w:val="18"/>
              </w:rPr>
            </w:pPr>
            <w:r>
              <w:rPr>
                <w:rFonts w:hint="eastAsia" w:ascii="宋体" w:hAnsi="宋体" w:eastAsia="宋体" w:cs="宋体"/>
                <w:sz w:val="18"/>
                <w:szCs w:val="18"/>
                <w:lang w:val="en-US" w:eastAsia="zh-CN"/>
              </w:rPr>
              <w:t>≥50</w:t>
            </w:r>
          </w:p>
        </w:tc>
      </w:tr>
      <w:tr w14:paraId="7ACB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5"/>
            <w:vAlign w:val="center"/>
          </w:tcPr>
          <w:p w14:paraId="6350233A">
            <w:pPr>
              <w:pStyle w:val="60"/>
              <w:keepNext w:val="0"/>
              <w:keepLines w:val="0"/>
              <w:pageBreakBefore w:val="0"/>
              <w:widowControl/>
              <w:kinsoku/>
              <w:wordWrap/>
              <w:overflowPunct/>
              <w:topLinePunct w:val="0"/>
              <w:autoSpaceDE w:val="0"/>
              <w:autoSpaceDN w:val="0"/>
              <w:bidi w:val="0"/>
              <w:adjustRightInd/>
              <w:snapToGrid/>
              <w:ind w:left="0" w:leftChars="0" w:firstLine="360" w:firstLineChars="200"/>
              <w:jc w:val="both"/>
              <w:textAlignment w:val="auto"/>
              <w:rPr>
                <w:rFonts w:hint="eastAsia" w:ascii="宋体" w:hAnsi="宋体" w:eastAsia="宋体" w:cs="宋体"/>
                <w:sz w:val="18"/>
                <w:szCs w:val="18"/>
                <w:lang w:val="en-US" w:eastAsia="zh-CN"/>
              </w:rPr>
            </w:pPr>
            <w:r>
              <w:rPr>
                <w:rFonts w:hint="eastAsia" w:ascii="黑体" w:hAnsi="黑体" w:eastAsia="黑体" w:cs="黑体"/>
                <w:sz w:val="18"/>
                <w:szCs w:val="18"/>
                <w:lang w:val="en-US" w:eastAsia="zh-CN"/>
              </w:rPr>
              <w:t>注1：</w:t>
            </w:r>
            <w:r>
              <w:rPr>
                <w:rFonts w:hint="eastAsia" w:ascii="宋体" w:hAnsi="宋体" w:eastAsia="宋体" w:cs="宋体"/>
                <w:sz w:val="18"/>
                <w:szCs w:val="18"/>
                <w:lang w:val="en-US" w:eastAsia="zh-CN"/>
              </w:rPr>
              <w:t>以上限值为通用参考值，具体品种应根据临床用药剂量、治疗窗及给药频率制定专属标准。</w:t>
            </w:r>
          </w:p>
          <w:p w14:paraId="1FCFE4AD">
            <w:pPr>
              <w:pStyle w:val="60"/>
              <w:keepNext w:val="0"/>
              <w:keepLines w:val="0"/>
              <w:pageBreakBefore w:val="0"/>
              <w:widowControl/>
              <w:kinsoku/>
              <w:wordWrap/>
              <w:overflowPunct/>
              <w:topLinePunct w:val="0"/>
              <w:autoSpaceDE w:val="0"/>
              <w:autoSpaceDN w:val="0"/>
              <w:bidi w:val="0"/>
              <w:adjustRightInd/>
              <w:snapToGrid/>
              <w:ind w:left="0" w:leftChars="0" w:firstLine="360" w:firstLineChars="200"/>
              <w:jc w:val="both"/>
              <w:textAlignment w:val="auto"/>
              <w:rPr>
                <w:rFonts w:hint="eastAsia" w:ascii="宋体" w:hAnsi="宋体" w:eastAsia="宋体" w:cs="宋体"/>
                <w:sz w:val="18"/>
                <w:szCs w:val="18"/>
                <w:lang w:val="en-US" w:eastAsia="zh-CN"/>
              </w:rPr>
            </w:pPr>
            <w:r>
              <w:rPr>
                <w:rFonts w:hint="eastAsia" w:ascii="黑体" w:hAnsi="黑体" w:eastAsia="黑体" w:cs="黑体"/>
                <w:sz w:val="18"/>
                <w:szCs w:val="18"/>
                <w:lang w:val="en-US" w:eastAsia="zh-CN"/>
              </w:rPr>
              <w:t>注2：</w:t>
            </w:r>
            <w:r>
              <w:rPr>
                <w:rFonts w:hint="eastAsia" w:ascii="宋体" w:hAnsi="宋体" w:eastAsia="宋体" w:cs="宋体"/>
                <w:sz w:val="18"/>
                <w:szCs w:val="18"/>
                <w:lang w:val="en-US" w:eastAsia="zh-CN"/>
              </w:rPr>
              <w:t>局部作用型贴膏剂以皮肤滞留量为主要评价指标，透皮量要求可适当降低。</w:t>
            </w:r>
          </w:p>
          <w:p w14:paraId="3ED680D8">
            <w:pPr>
              <w:pStyle w:val="60"/>
              <w:keepNext w:val="0"/>
              <w:keepLines w:val="0"/>
              <w:pageBreakBefore w:val="0"/>
              <w:widowControl/>
              <w:kinsoku/>
              <w:wordWrap/>
              <w:overflowPunct/>
              <w:topLinePunct w:val="0"/>
              <w:autoSpaceDE w:val="0"/>
              <w:autoSpaceDN w:val="0"/>
              <w:bidi w:val="0"/>
              <w:adjustRightInd/>
              <w:snapToGrid/>
              <w:ind w:left="0" w:leftChars="0" w:firstLine="360" w:firstLineChars="200"/>
              <w:jc w:val="both"/>
              <w:textAlignment w:val="auto"/>
              <w:rPr>
                <w:rFonts w:hint="eastAsia" w:ascii="宋体" w:hAnsi="宋体" w:eastAsia="宋体" w:cs="宋体"/>
                <w:sz w:val="18"/>
                <w:szCs w:val="18"/>
                <w:lang w:val="en-US" w:eastAsia="zh-CN"/>
              </w:rPr>
            </w:pPr>
            <w:r>
              <w:rPr>
                <w:rFonts w:hint="eastAsia" w:ascii="黑体" w:hAnsi="黑体" w:eastAsia="黑体" w:cs="黑体"/>
                <w:sz w:val="18"/>
                <w:szCs w:val="18"/>
                <w:lang w:val="en-US" w:eastAsia="zh-CN"/>
              </w:rPr>
              <w:t>注3：</w:t>
            </w:r>
            <w:r>
              <w:rPr>
                <w:rFonts w:hint="eastAsia" w:ascii="宋体" w:hAnsi="宋体" w:eastAsia="宋体" w:cs="宋体"/>
                <w:sz w:val="18"/>
                <w:szCs w:val="18"/>
                <w:lang w:val="en-US" w:eastAsia="zh-CN"/>
              </w:rPr>
              <w:t>含有毒性药材的贴膏剂应同时设定透皮量上限，防止过量吸收导致不良反应。</w:t>
            </w:r>
          </w:p>
        </w:tc>
      </w:tr>
    </w:tbl>
    <w:p w14:paraId="5B221935">
      <w:pPr>
        <w:pStyle w:val="108"/>
        <w:keepNext w:val="0"/>
        <w:keepLines w:val="0"/>
        <w:pageBreakBefore w:val="0"/>
        <w:kinsoku/>
        <w:wordWrap/>
        <w:overflowPunct/>
        <w:topLinePunct w:val="0"/>
        <w:bidi w:val="0"/>
        <w:snapToGrid/>
        <w:spacing w:line="240" w:lineRule="auto"/>
        <w:textAlignment w:val="auto"/>
        <w:rPr>
          <w:rFonts w:hint="eastAsia"/>
          <w:lang w:val="en-US" w:eastAsia="zh-CN"/>
        </w:rPr>
      </w:pPr>
      <w:bookmarkStart w:id="145" w:name="_Toc17866"/>
      <w:r>
        <w:rPr>
          <w:rFonts w:hint="eastAsia"/>
          <w:lang w:val="en-US" w:eastAsia="zh-CN"/>
        </w:rPr>
        <w:t>试验方法</w:t>
      </w:r>
      <w:bookmarkEnd w:id="145"/>
    </w:p>
    <w:p w14:paraId="72D50383">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6" w:name="_Toc8445"/>
      <w:r>
        <w:rPr>
          <w:rFonts w:hint="eastAsia"/>
          <w:lang w:val="en-US" w:eastAsia="zh-CN"/>
        </w:rPr>
        <w:t>试验原理</w:t>
      </w:r>
      <w:bookmarkEnd w:id="146"/>
    </w:p>
    <w:p w14:paraId="0EAC184E">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本方法以Fick第一扩散定律为理论基础，将皮肤或人工膜固定于供给室与接收室之间，供给室放置中药贴膏剂，接收室加入经脱气处理的接收液，在恒温搅拌条件下，药物从贴膏剂中释放并透过皮肤进入接收液。定时取样测定接收液中药物浓度，计算累积渗透量、稳态渗透速率等参数，评价中药贴膏剂的透皮吸收效率。</w:t>
      </w:r>
    </w:p>
    <w:p w14:paraId="2EB0D420">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7" w:name="_Toc16974"/>
      <w:r>
        <w:rPr>
          <w:rFonts w:hint="eastAsia"/>
          <w:lang w:val="en-US" w:eastAsia="zh-CN"/>
        </w:rPr>
        <w:t>Franz扩散池装置</w:t>
      </w:r>
      <w:bookmarkEnd w:id="147"/>
    </w:p>
    <w:p w14:paraId="13E2882F">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rPr>
          <w:rFonts w:hint="eastAsia"/>
          <w:lang w:val="en-US" w:eastAsia="zh-CN"/>
        </w:rPr>
      </w:pPr>
      <w:r>
        <w:rPr>
          <w:rFonts w:hint="eastAsia"/>
          <w:lang w:val="en-US" w:eastAsia="zh-CN"/>
        </w:rPr>
        <w:t>Franz扩散池由供给室（上池）和接收室（下池）组成，两室之间以皮肤或人工膜密封分隔。接收室设有恒温水浴夹套、磁力搅拌子和取样口。典型Franz扩散池装置的结构参数应符合表2的规定。</w:t>
      </w:r>
    </w:p>
    <w:p w14:paraId="609E5F76">
      <w:pPr>
        <w:pStyle w:val="118"/>
        <w:keepNext w:val="0"/>
        <w:keepLines w:val="0"/>
        <w:pageBreakBefore w:val="0"/>
        <w:kinsoku/>
        <w:wordWrap/>
        <w:overflowPunct/>
        <w:topLinePunct w:val="0"/>
        <w:bidi w:val="0"/>
        <w:snapToGrid/>
        <w:spacing w:line="240" w:lineRule="auto"/>
        <w:ind w:left="0" w:leftChars="0" w:firstLine="0" w:firstLineChars="0"/>
        <w:textAlignment w:val="auto"/>
        <w:rPr>
          <w:rFonts w:hint="eastAsia" w:hAnsi="Times New Roman" w:cs="Times New Roman"/>
          <w:lang w:val="en-US" w:eastAsia="zh-CN"/>
        </w:rPr>
      </w:pPr>
      <w:r>
        <w:rPr>
          <w:rFonts w:hint="eastAsia" w:hAnsi="Times New Roman" w:cs="Times New Roman"/>
          <w:lang w:val="en-US" w:eastAsia="zh-CN"/>
        </w:rPr>
        <w:t>Franz扩散池装置主要参数</w:t>
      </w:r>
    </w:p>
    <w:tbl>
      <w:tblPr>
        <w:tblStyle w:val="30"/>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8"/>
        <w:gridCol w:w="4959"/>
        <w:gridCol w:w="2025"/>
      </w:tblGrid>
      <w:tr w14:paraId="202E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2961691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参数名称</w:t>
            </w:r>
          </w:p>
        </w:tc>
        <w:tc>
          <w:tcPr>
            <w:tcW w:w="2657" w:type="pct"/>
            <w:vAlign w:val="center"/>
          </w:tcPr>
          <w:p w14:paraId="53D66F3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规格要求</w:t>
            </w:r>
          </w:p>
        </w:tc>
        <w:tc>
          <w:tcPr>
            <w:tcW w:w="1084" w:type="pct"/>
            <w:vAlign w:val="center"/>
          </w:tcPr>
          <w:p w14:paraId="7957B479">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允许偏差</w:t>
            </w:r>
          </w:p>
        </w:tc>
      </w:tr>
      <w:tr w14:paraId="7113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7A8B029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有效扩散面积</w:t>
            </w:r>
          </w:p>
        </w:tc>
        <w:tc>
          <w:tcPr>
            <w:tcW w:w="2657" w:type="pct"/>
            <w:vAlign w:val="center"/>
          </w:tcPr>
          <w:p w14:paraId="56D2FD9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1.76 cm²～3.14 cm²</w:t>
            </w:r>
          </w:p>
        </w:tc>
        <w:tc>
          <w:tcPr>
            <w:tcW w:w="1084" w:type="pct"/>
            <w:vAlign w:val="center"/>
          </w:tcPr>
          <w:p w14:paraId="271DDE53">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±0.05 cm²</w:t>
            </w:r>
          </w:p>
        </w:tc>
      </w:tr>
      <w:tr w14:paraId="5B87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28BAAE43">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接收室体积</w:t>
            </w:r>
          </w:p>
        </w:tc>
        <w:tc>
          <w:tcPr>
            <w:tcW w:w="2657" w:type="pct"/>
            <w:vAlign w:val="center"/>
          </w:tcPr>
          <w:p w14:paraId="76FAD58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6.5 mL～12.0 mL</w:t>
            </w:r>
          </w:p>
        </w:tc>
        <w:tc>
          <w:tcPr>
            <w:tcW w:w="1084" w:type="pct"/>
            <w:vAlign w:val="center"/>
          </w:tcPr>
          <w:p w14:paraId="789C9FD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±0.1 mL</w:t>
            </w:r>
          </w:p>
        </w:tc>
      </w:tr>
      <w:tr w14:paraId="79B5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69CBD42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供给室容积</w:t>
            </w:r>
          </w:p>
        </w:tc>
        <w:tc>
          <w:tcPr>
            <w:tcW w:w="2657" w:type="pct"/>
            <w:vAlign w:val="center"/>
          </w:tcPr>
          <w:p w14:paraId="75721800">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≥3.0 mL</w:t>
            </w:r>
          </w:p>
        </w:tc>
        <w:tc>
          <w:tcPr>
            <w:tcW w:w="1084" w:type="pct"/>
            <w:vAlign w:val="center"/>
          </w:tcPr>
          <w:p w14:paraId="296C9C05">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w:t>
            </w:r>
          </w:p>
        </w:tc>
      </w:tr>
      <w:tr w14:paraId="2655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0ECF9494">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水浴控温范围</w:t>
            </w:r>
          </w:p>
        </w:tc>
        <w:tc>
          <w:tcPr>
            <w:tcW w:w="2657" w:type="pct"/>
            <w:vAlign w:val="center"/>
          </w:tcPr>
          <w:p w14:paraId="47C7870F">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25℃～40℃</w:t>
            </w:r>
          </w:p>
        </w:tc>
        <w:tc>
          <w:tcPr>
            <w:tcW w:w="1084" w:type="pct"/>
            <w:vAlign w:val="center"/>
          </w:tcPr>
          <w:p w14:paraId="44F85C72">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±0.5℃</w:t>
            </w:r>
          </w:p>
        </w:tc>
      </w:tr>
      <w:tr w14:paraId="37FF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477545AE">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搅拌转速范围</w:t>
            </w:r>
          </w:p>
        </w:tc>
        <w:tc>
          <w:tcPr>
            <w:tcW w:w="2657" w:type="pct"/>
            <w:vAlign w:val="center"/>
          </w:tcPr>
          <w:p w14:paraId="0595169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100 r/min～1000 r/min</w:t>
            </w:r>
          </w:p>
        </w:tc>
        <w:tc>
          <w:tcPr>
            <w:tcW w:w="1084" w:type="pct"/>
            <w:vAlign w:val="center"/>
          </w:tcPr>
          <w:p w14:paraId="31B3F85D">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±10 r/min</w:t>
            </w:r>
          </w:p>
        </w:tc>
      </w:tr>
      <w:tr w14:paraId="2E3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0B89ACA8">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材质</w:t>
            </w:r>
          </w:p>
        </w:tc>
        <w:tc>
          <w:tcPr>
            <w:tcW w:w="2657" w:type="pct"/>
            <w:vAlign w:val="center"/>
          </w:tcPr>
          <w:p w14:paraId="6F03AC14">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硼硅酸盐玻璃或惰性高分子材料</w:t>
            </w:r>
          </w:p>
        </w:tc>
        <w:tc>
          <w:tcPr>
            <w:tcW w:w="1084" w:type="pct"/>
            <w:vAlign w:val="center"/>
          </w:tcPr>
          <w:p w14:paraId="3C6AE4D7">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w:t>
            </w:r>
          </w:p>
        </w:tc>
      </w:tr>
      <w:tr w14:paraId="442B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8" w:type="pct"/>
            <w:vAlign w:val="center"/>
          </w:tcPr>
          <w:p w14:paraId="1B7EADE1">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密封方式</w:t>
            </w:r>
          </w:p>
        </w:tc>
        <w:tc>
          <w:tcPr>
            <w:tcW w:w="2657" w:type="pct"/>
            <w:vAlign w:val="center"/>
          </w:tcPr>
          <w:p w14:paraId="0B1A65A3">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法兰夹或螺纹旋紧</w:t>
            </w:r>
          </w:p>
        </w:tc>
        <w:tc>
          <w:tcPr>
            <w:tcW w:w="1084" w:type="pct"/>
            <w:vAlign w:val="center"/>
          </w:tcPr>
          <w:p w14:paraId="41BECFFC">
            <w:pPr>
              <w:pStyle w:val="60"/>
              <w:keepNext w:val="0"/>
              <w:keepLines w:val="0"/>
              <w:pageBreakBefore w:val="0"/>
              <w:kinsoku/>
              <w:wordWrap/>
              <w:overflowPunct/>
              <w:topLinePunct w:val="0"/>
              <w:bidi w:val="0"/>
              <w:snapToGrid/>
              <w:spacing w:line="240" w:lineRule="auto"/>
              <w:ind w:left="0" w:leftChars="0" w:firstLine="0" w:firstLineChars="0"/>
              <w:jc w:val="center"/>
              <w:textAlignment w:val="auto"/>
              <w:rPr>
                <w:sz w:val="18"/>
                <w:szCs w:val="18"/>
              </w:rPr>
            </w:pPr>
            <w:r>
              <w:rPr>
                <w:rFonts w:hint="eastAsia"/>
                <w:sz w:val="18"/>
                <w:szCs w:val="18"/>
                <w:lang w:val="en-US" w:eastAsia="zh-CN"/>
              </w:rPr>
              <w:t>—</w:t>
            </w:r>
          </w:p>
        </w:tc>
      </w:tr>
      <w:tr w14:paraId="3B7D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3"/>
            <w:vAlign w:val="center"/>
          </w:tcPr>
          <w:p w14:paraId="62E2A9FF">
            <w:pPr>
              <w:pStyle w:val="60"/>
              <w:keepNext w:val="0"/>
              <w:keepLines w:val="0"/>
              <w:pageBreakBefore w:val="0"/>
              <w:widowControl/>
              <w:kinsoku/>
              <w:wordWrap/>
              <w:overflowPunct/>
              <w:topLinePunct w:val="0"/>
              <w:autoSpaceDE w:val="0"/>
              <w:autoSpaceDN w:val="0"/>
              <w:bidi w:val="0"/>
              <w:adjustRightInd/>
              <w:snapToGrid/>
              <w:spacing w:line="240" w:lineRule="auto"/>
              <w:ind w:left="0" w:leftChars="0" w:firstLine="360" w:firstLineChars="200"/>
              <w:jc w:val="left"/>
              <w:textAlignment w:val="auto"/>
              <w:rPr>
                <w:rFonts w:hint="eastAsia"/>
                <w:sz w:val="18"/>
                <w:szCs w:val="18"/>
                <w:lang w:val="en-US" w:eastAsia="zh-CN"/>
              </w:rPr>
            </w:pPr>
            <w:r>
              <w:rPr>
                <w:rFonts w:hint="eastAsia" w:ascii="黑体" w:hAnsi="黑体" w:eastAsia="黑体" w:cs="黑体"/>
                <w:sz w:val="18"/>
                <w:szCs w:val="18"/>
                <w:lang w:val="en-US" w:eastAsia="zh-CN"/>
              </w:rPr>
              <w:t>注：</w:t>
            </w:r>
            <w:r>
              <w:rPr>
                <w:rFonts w:hint="eastAsia"/>
                <w:sz w:val="18"/>
                <w:szCs w:val="18"/>
                <w:lang w:val="en-US" w:eastAsia="zh-CN"/>
              </w:rPr>
              <w:t>有效扩散面积应根据贴剂规格选择，贴剂面积应不小于有效扩散面积。</w:t>
            </w:r>
          </w:p>
        </w:tc>
      </w:tr>
    </w:tbl>
    <w:p w14:paraId="6D715ECA">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8" w:name="_Toc31376"/>
      <w:r>
        <w:rPr>
          <w:rFonts w:hint="eastAsia"/>
          <w:lang w:val="en-US" w:eastAsia="zh-CN"/>
        </w:rPr>
        <w:t>皮肤模型选择</w:t>
      </w:r>
      <w:bookmarkEnd w:id="148"/>
    </w:p>
    <w:p w14:paraId="603C827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离体猪皮：优先选用出生24 h～72 h的仔猪腹部皮肤，皮肤厚度应修整至200 μm～500 μm。</w:t>
      </w:r>
    </w:p>
    <w:p w14:paraId="333075A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离体大鼠皮：可选用SPF级雄性SD大鼠（体重180 g～220 g）腹部皮肤，脱毛后使用。</w:t>
      </w:r>
    </w:p>
    <w:p w14:paraId="26509C1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人工膜：当动物皮肤来源受限或进行处方初筛时，可使用硝酸纤维素膜、聚碳酸酯膜等。人工膜孔径应为0.45 μm，使用前应按说明书进行预处理。</w:t>
      </w:r>
    </w:p>
    <w:p w14:paraId="0BE9474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皮肤模型的选择应在试验报告中说明理由。不同皮肤模型的试验结果不宜直接比较。</w:t>
      </w:r>
    </w:p>
    <w:p w14:paraId="276099F2">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皮肤完整性检查：试验前应目视检查皮肤有无破损、孔洞，必要时采用电阻法测定皮肤电阻，电阻值应不低于10 kΩ·cm</w:t>
      </w:r>
      <w:r>
        <w:rPr>
          <w:rFonts w:hint="eastAsia" w:ascii="宋体" w:eastAsia="宋体" w:cs="Times New Roman"/>
          <w:sz w:val="21"/>
          <w:vertAlign w:val="superscript"/>
          <w:lang w:val="en-US" w:eastAsia="zh-CN" w:bidi="ar-SA"/>
        </w:rPr>
        <w:t>2</w:t>
      </w:r>
      <w:r>
        <w:rPr>
          <w:rFonts w:hint="eastAsia" w:ascii="宋体" w:eastAsia="宋体" w:cs="Times New Roman"/>
          <w:sz w:val="21"/>
          <w:vertAlign w:val="baseline"/>
          <w:lang w:val="en-US" w:eastAsia="zh-CN" w:bidi="ar-SA"/>
        </w:rPr>
        <w:t>。</w:t>
      </w:r>
    </w:p>
    <w:p w14:paraId="5FDAADF3">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49" w:name="_Toc7767"/>
      <w:r>
        <w:rPr>
          <w:rFonts w:hint="eastAsia"/>
          <w:lang w:val="en-US" w:eastAsia="zh-CN"/>
        </w:rPr>
        <w:t>接收液选择</w:t>
      </w:r>
      <w:bookmarkEnd w:id="149"/>
    </w:p>
    <w:p w14:paraId="0A96060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常用接收液为pH 7.4磷酸盐缓冲液（PBS），其配制方法为：称取氯化钠8.0 g、氯化钾0.2 g、磷酸氢二钠1.44 g、磷酸二氢钾0.24 g，加水溶解并稀释至1000 mL，用氢氧化钠试液或磷酸调节pH值至7.4±0.1。</w:t>
      </w:r>
    </w:p>
    <w:p w14:paraId="167F64BD">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对于脂溶性较强、在PBS中溶解度较低的药物，可在PBS中加入适量乙醇、聚乙二醇400或丙二醇等助溶剂，乙醇体积分数不</w:t>
      </w:r>
      <w:r>
        <w:rPr>
          <w:rFonts w:hint="eastAsia" w:ascii="宋体" w:eastAsia="宋体" w:cs="Times New Roman"/>
          <w:sz w:val="21"/>
          <w:lang w:val="en-US" w:eastAsia="zh-CN" w:bidi="ar-SA"/>
        </w:rPr>
        <w:t>宜</w:t>
      </w:r>
      <w:r>
        <w:rPr>
          <w:rFonts w:hint="eastAsia" w:ascii="宋体" w:hAnsi="Times New Roman" w:eastAsia="宋体" w:cs="Times New Roman"/>
          <w:sz w:val="21"/>
          <w:lang w:val="en-US" w:eastAsia="zh-CN" w:bidi="ar-SA"/>
        </w:rPr>
        <w:t>超过30%。接收液的选择应满足漏槽条件，即接收液中药物浓度应不超过药物饱和溶解度的10%。</w:t>
      </w:r>
    </w:p>
    <w:p w14:paraId="195ED3E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接收液使用前应经超声脱气15 min～30 min，排除溶解气体，防止试验过程中产生气泡影响皮肤接触。</w:t>
      </w:r>
    </w:p>
    <w:p w14:paraId="5828A279">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0" w:name="_Toc10700"/>
      <w:r>
        <w:rPr>
          <w:rFonts w:hint="eastAsia"/>
          <w:lang w:val="en-US" w:eastAsia="zh-CN"/>
        </w:rPr>
        <w:t>试验条件</w:t>
      </w:r>
      <w:bookmarkEnd w:id="150"/>
    </w:p>
    <w:p w14:paraId="3964DBD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温度：接收室水浴温度应设定为32℃±0.5℃</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对于具有温敏特性的贴膏剂，可根据产品特性在32℃～37℃范围内选择，但应在报告中说明。</w:t>
      </w:r>
    </w:p>
    <w:p w14:paraId="195CC46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搅拌转速：磁力搅拌转速应设定为300 r/min～600 r/min，以接收液混合均匀且不产生涡流为宜。接收室体积为6.5 mL时转速</w:t>
      </w:r>
      <w:r>
        <w:rPr>
          <w:rFonts w:hint="eastAsia" w:ascii="宋体" w:eastAsia="宋体" w:cs="Times New Roman"/>
          <w:sz w:val="21"/>
          <w:lang w:val="en-US" w:eastAsia="zh-CN" w:bidi="ar-SA"/>
        </w:rPr>
        <w:t>宜</w:t>
      </w:r>
      <w:r>
        <w:rPr>
          <w:rFonts w:hint="eastAsia" w:ascii="宋体" w:hAnsi="Times New Roman" w:eastAsia="宋体" w:cs="Times New Roman"/>
          <w:sz w:val="21"/>
          <w:lang w:val="en-US" w:eastAsia="zh-CN" w:bidi="ar-SA"/>
        </w:rPr>
        <w:t>为300 r/min，体积为12 mL时转速</w:t>
      </w:r>
      <w:r>
        <w:rPr>
          <w:rFonts w:hint="eastAsia" w:ascii="宋体" w:eastAsia="宋体" w:cs="Times New Roman"/>
          <w:sz w:val="21"/>
          <w:lang w:val="en-US" w:eastAsia="zh-CN" w:bidi="ar-SA"/>
        </w:rPr>
        <w:t>宜</w:t>
      </w:r>
      <w:r>
        <w:rPr>
          <w:rFonts w:hint="eastAsia" w:ascii="宋体" w:hAnsi="Times New Roman" w:eastAsia="宋体" w:cs="Times New Roman"/>
          <w:sz w:val="21"/>
          <w:lang w:val="en-US" w:eastAsia="zh-CN" w:bidi="ar-SA"/>
        </w:rPr>
        <w:t>为600 r/min。</w:t>
      </w:r>
    </w:p>
    <w:p w14:paraId="705FA6C6">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给药剂量：将贴膏剂裁剪至与有效扩散面积相匹配的尺寸，紧贴于皮肤角质层一侧，确保无气泡残留</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贴膏剂的含药量应精确称量并记录。</w:t>
      </w:r>
    </w:p>
    <w:p w14:paraId="525A7BED">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1" w:name="_Toc19902"/>
      <w:r>
        <w:rPr>
          <w:rFonts w:hint="eastAsia"/>
          <w:lang w:val="en-US" w:eastAsia="zh-CN"/>
        </w:rPr>
        <w:t>试验步骤</w:t>
      </w:r>
      <w:bookmarkEnd w:id="151"/>
    </w:p>
    <w:p w14:paraId="08626A0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皮肤制备：取离体皮肤，解冻至室温，用生理盐水冲洗干净，去除皮下脂肪组织，用游标卡尺测定厚度，修整至200 μm～500 μm，置于4℃生理盐水中保存，应在24 h内使用。</w:t>
      </w:r>
    </w:p>
    <w:p w14:paraId="2B52784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装置组装：向接收室中加入经预热至32℃的接收液，排尽气泡。将皮肤固定于供给室与接收室之间，角质层朝向供给室，真皮层朝向接收室，旋紧密封。确认无渗漏后，将扩散池置于恒温水浴装置中，开启搅拌。</w:t>
      </w:r>
    </w:p>
    <w:p w14:paraId="03660A1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给药平衡：系统恒温搅拌平衡30 min后，取零时刻接收液样品0.5 mL作为空白对照，然后</w:t>
      </w:r>
      <w:r>
        <w:rPr>
          <w:rFonts w:hint="eastAsia" w:ascii="宋体" w:eastAsia="宋体" w:cs="Times New Roman"/>
          <w:sz w:val="21"/>
          <w:lang w:val="en-US" w:eastAsia="zh-CN" w:bidi="ar-SA"/>
        </w:rPr>
        <w:t>将样品</w:t>
      </w:r>
      <w:r>
        <w:rPr>
          <w:rFonts w:hint="eastAsia" w:ascii="宋体" w:hAnsi="Times New Roman" w:eastAsia="宋体" w:cs="Times New Roman"/>
          <w:sz w:val="21"/>
          <w:lang w:val="en-US" w:eastAsia="zh-CN" w:bidi="ar-SA"/>
        </w:rPr>
        <w:t>贴膏剂紧贴于皮肤角质层表面，开始计时。</w:t>
      </w:r>
    </w:p>
    <w:p w14:paraId="308D885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取样：分别于1 h、2 h、4 h、6 h、8 h、12 h、24 h从取样口抽取接收液0.5 mL～1.0 mL，同时立即补充等量同温接收液。每次取样后应排尽气泡并记录实际取样体积。</w:t>
      </w:r>
    </w:p>
    <w:p w14:paraId="11F9977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样品处理：取出的接收液样品经0.45 μm微孔滤膜过滤，取续滤液作为</w:t>
      </w:r>
      <w:r>
        <w:rPr>
          <w:rFonts w:hint="eastAsia" w:ascii="宋体" w:eastAsia="宋体" w:cs="Times New Roman"/>
          <w:sz w:val="21"/>
          <w:lang w:val="en-US" w:eastAsia="zh-CN" w:bidi="ar-SA"/>
        </w:rPr>
        <w:t>样</w:t>
      </w:r>
      <w:r>
        <w:rPr>
          <w:rFonts w:hint="eastAsia" w:ascii="宋体" w:hAnsi="Times New Roman" w:eastAsia="宋体" w:cs="Times New Roman"/>
          <w:sz w:val="21"/>
          <w:lang w:val="en-US" w:eastAsia="zh-CN" w:bidi="ar-SA"/>
        </w:rPr>
        <w:t>品溶液，按6.8节规定的方法测定药物浓度。</w:t>
      </w:r>
    </w:p>
    <w:p w14:paraId="13E6206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皮肤滞留量测定：24 h试验结束后，取下皮肤，用生理盐水轻轻漂洗皮肤表面3次，去除未透过的药物。将皮肤角质层与真皮层分离，分别剪碎后加入适量提取溶剂，超声提取30 min，离心取上清液测定各层药物含量。</w:t>
      </w:r>
    </w:p>
    <w:p w14:paraId="3D4166E8">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2" w:name="_Toc20202"/>
      <w:r>
        <w:rPr>
          <w:rFonts w:hint="eastAsia"/>
          <w:lang w:val="en-US" w:eastAsia="zh-CN"/>
        </w:rPr>
        <w:t>取样时间点设计</w:t>
      </w:r>
      <w:bookmarkEnd w:id="152"/>
    </w:p>
    <w:p w14:paraId="49097E80">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常规评价应至少设置7个取样时间点，包括1 h、2 h、4 h、6 h、8 h、12 h、24 h。</w:t>
      </w:r>
    </w:p>
    <w:p w14:paraId="6ED950CA">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对于速释型贴膏剂，可增加0.25 h、0.5 h等早期时间点；对于缓释型贴膏剂，可延长试验至48 h或72 h，并相应增加24 h后的取样点。</w:t>
      </w:r>
    </w:p>
    <w:p w14:paraId="7BBB1E63">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每个取样时间点的样品应至少设置6个平行扩散池（n≥6）。</w:t>
      </w:r>
    </w:p>
    <w:p w14:paraId="313196E5">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3" w:name="_Toc1166"/>
      <w:r>
        <w:rPr>
          <w:rFonts w:hint="eastAsia"/>
          <w:lang w:val="en-US" w:eastAsia="zh-CN"/>
        </w:rPr>
        <w:t>含量测定方法</w:t>
      </w:r>
      <w:bookmarkEnd w:id="153"/>
    </w:p>
    <w:p w14:paraId="463F96DC">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应采用高效液相色谱法（HPLC）测定接收液中目标成分的含量，色谱条件应经过方法学验证。</w:t>
      </w:r>
    </w:p>
    <w:p w14:paraId="44DA7BA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对于多成分中药贴膏剂，应选择至少1个代表性指标成分进行透皮测定。优先选择与药效相关的活性成分或含量较高的特征性成分。</w:t>
      </w:r>
    </w:p>
    <w:p w14:paraId="4F6DF609">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典型色谱条件参考：以十八烷基硅烷键合硅胶为填充剂（C18柱，250 mm×4.6 mm，5 μm）；流动相根据目标成分性质选择甲醇-水或乙腈-水体系，必要时加入磷酸或冰醋酸调节pH；检测波长根据目标成分的紫外最大吸收波长确定；柱温30℃；流速1.0 mL/min；进样量10 μL～20 μL。理论板数按目标成分峰计算应不低于3000。</w:t>
      </w:r>
    </w:p>
    <w:p w14:paraId="3FEB8FF3">
      <w:pPr>
        <w:pStyle w:val="108"/>
        <w:keepNext w:val="0"/>
        <w:keepLines w:val="0"/>
        <w:pageBreakBefore w:val="0"/>
        <w:kinsoku/>
        <w:wordWrap/>
        <w:overflowPunct/>
        <w:topLinePunct w:val="0"/>
        <w:bidi w:val="0"/>
        <w:snapToGrid/>
        <w:spacing w:line="240" w:lineRule="auto"/>
        <w:textAlignment w:val="auto"/>
        <w:rPr>
          <w:rFonts w:hint="eastAsia"/>
          <w:lang w:val="en-US" w:eastAsia="zh-CN"/>
        </w:rPr>
      </w:pPr>
      <w:bookmarkStart w:id="154" w:name="_Toc30617"/>
      <w:r>
        <w:rPr>
          <w:rFonts w:hint="eastAsia"/>
          <w:lang w:val="en-US" w:eastAsia="zh-CN"/>
        </w:rPr>
        <w:t>数据计算与处理</w:t>
      </w:r>
      <w:bookmarkEnd w:id="154"/>
    </w:p>
    <w:p w14:paraId="1D755C3F">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5" w:name="_Toc25674"/>
      <w:r>
        <w:rPr>
          <w:rFonts w:hint="eastAsia"/>
          <w:lang w:val="en-US" w:eastAsia="zh-CN"/>
        </w:rPr>
        <w:t>累积渗透量</w:t>
      </w:r>
      <w:bookmarkEnd w:id="155"/>
    </w:p>
    <w:p w14:paraId="5373D44D">
      <w:pPr>
        <w:pStyle w:val="60"/>
        <w:rPr>
          <w:rFonts w:hint="eastAsia" w:ascii="宋体" w:hAnsi="宋体" w:eastAsia="宋体" w:cs="宋体"/>
          <w:lang w:val="en-US" w:eastAsia="zh-CN"/>
        </w:rPr>
      </w:pPr>
      <w:r>
        <w:rPr>
          <w:rFonts w:hint="eastAsia" w:ascii="宋体" w:hAnsi="宋体" w:eastAsia="宋体" w:cs="宋体"/>
          <w:lang w:val="en-US" w:eastAsia="zh-CN"/>
        </w:rPr>
        <w:t>各时间点的累积渗透量按公式（1）计算：</w:t>
      </w:r>
    </w:p>
    <w:p w14:paraId="34FED9E4">
      <w:pPr>
        <w:pStyle w:val="60"/>
        <w:keepNext w:val="0"/>
        <w:keepLines w:val="0"/>
        <w:pageBreakBefore w:val="0"/>
        <w:kinsoku/>
        <w:wordWrap/>
        <w:overflowPunct/>
        <w:topLinePunct w:val="0"/>
        <w:bidi w:val="0"/>
        <w:snapToGrid/>
        <w:spacing w:line="240" w:lineRule="auto"/>
        <w:ind w:left="0" w:leftChars="0" w:firstLine="0" w:firstLineChars="0"/>
        <w:textAlignment w:val="auto"/>
        <w:rPr>
          <w:rFonts w:hint="default" w:eastAsia="宋体"/>
          <w:lang w:val="en-US" w:eastAsia="zh-CN"/>
        </w:rPr>
      </w:pPr>
      <m:oMathPara>
        <m:oMath>
          <m:eqArr>
            <m:eqArrPr>
              <m:maxDist m:val="1"/>
              <m:ctrlPr>
                <w:rPr>
                  <w:rFonts w:hint="default" w:ascii="Cambria Math" w:hAnsi="Cambria Math"/>
                  <w:i/>
                  <w:lang w:val="en-US" w:eastAsia="zh-CN"/>
                </w:rPr>
              </m:ctrlPr>
            </m:eqArrPr>
            <m:e>
              <m:sSub>
                <m:sSubPr>
                  <m:ctrlPr>
                    <w:rPr>
                      <w:rFonts w:ascii="Cambria Math" w:hAnsi="Cambria Math"/>
                      <w:i/>
                      <w:lang w:val="en-US"/>
                    </w:rPr>
                  </m:ctrlPr>
                </m:sSubPr>
                <m:e>
                  <m:r>
                    <m:rPr/>
                    <w:rPr>
                      <w:rFonts w:hint="default" w:ascii="Cambria Math" w:hAnsi="Cambria Math"/>
                      <w:lang w:val="en-US" w:eastAsia="zh-CN"/>
                    </w:rPr>
                    <m:t>Q</m:t>
                  </m:r>
                  <m:ctrlPr>
                    <w:rPr>
                      <w:rFonts w:ascii="Cambria Math" w:hAnsi="Cambria Math"/>
                      <w:i/>
                      <w:lang w:val="en-US"/>
                    </w:rPr>
                  </m:ctrlPr>
                </m:e>
                <m:sub>
                  <m:r>
                    <m:rPr/>
                    <w:rPr>
                      <w:rFonts w:hint="default" w:ascii="Cambria Math" w:hAnsi="Cambria Math"/>
                      <w:lang w:val="en-US" w:eastAsia="zh-CN"/>
                    </w:rPr>
                    <m:t>n</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n</m:t>
                  </m:r>
                  <m:ctrlPr>
                    <w:rPr>
                      <w:rFonts w:hint="default" w:ascii="Cambria Math" w:hAnsi="Cambria Math"/>
                      <w:i/>
                      <w:lang w:val="en-US" w:eastAsia="zh-CN"/>
                    </w:rPr>
                  </m:ctrlPr>
                </m:sub>
              </m:sSub>
              <m:r>
                <m:rPr/>
                <w:rPr>
                  <w:rFonts w:ascii="Cambria Math" w:hAnsi="Cambria Math"/>
                  <w:lang w:val="en-US"/>
                </w:rPr>
                <m:t>×</m:t>
              </m:r>
              <m:r>
                <m:rPr/>
                <w:rPr>
                  <w:rFonts w:hint="default" w:ascii="Cambria Math" w:hAnsi="Cambria Math"/>
                  <w:lang w:val="en-US" w:eastAsia="zh-CN"/>
                </w:rPr>
                <m:t>V+</m:t>
              </m:r>
              <m:nary>
                <m:naryPr>
                  <m:chr m:val="∑"/>
                  <m:limLoc m:val="subSup"/>
                  <m:ctrlPr>
                    <w:rPr>
                      <w:rFonts w:hint="default" w:ascii="Cambria Math" w:hAnsi="Cambria Math"/>
                      <w:i/>
                      <w:lang w:val="en-US" w:eastAsia="zh-CN"/>
                    </w:rPr>
                  </m:ctrlPr>
                </m:naryPr>
                <m:sub>
                  <m:r>
                    <m:rPr/>
                    <w:rPr>
                      <w:rFonts w:hint="default" w:ascii="Cambria Math" w:hAnsi="Cambria Math"/>
                      <w:lang w:val="en-US" w:eastAsia="zh-CN"/>
                    </w:rPr>
                    <m:t>i=1</m:t>
                  </m:r>
                  <m:ctrlPr>
                    <w:rPr>
                      <w:rFonts w:hint="default" w:ascii="Cambria Math" w:hAnsi="Cambria Math"/>
                      <w:i/>
                      <w:lang w:val="en-US" w:eastAsia="zh-CN"/>
                    </w:rPr>
                  </m:ctrlPr>
                </m:sub>
                <m:sup>
                  <m:r>
                    <m:rPr/>
                    <w:rPr>
                      <w:rFonts w:hint="default" w:ascii="Cambria Math" w:hAnsi="Cambria Math"/>
                      <w:lang w:val="en-US" w:eastAsia="zh-CN"/>
                    </w:rPr>
                    <m:t>n−1</m:t>
                  </m:r>
                  <m:ctrlPr>
                    <w:rPr>
                      <w:rFonts w:hint="default" w:ascii="Cambria Math" w:hAnsi="Cambria Math"/>
                      <w:i/>
                      <w:lang w:val="en-US" w:eastAsia="zh-CN"/>
                    </w:rPr>
                  </m:ctrlPr>
                </m:sup>
                <m:e>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i</m:t>
                      </m:r>
                      <m:ctrlPr>
                        <w:rPr>
                          <w:rFonts w:hint="default" w:ascii="Cambria Math" w:hAnsi="Cambria Math"/>
                          <w:i/>
                          <w:lang w:val="en-US" w:eastAsia="zh-CN"/>
                        </w:rPr>
                      </m:ctrlPr>
                    </m:sub>
                  </m:sSub>
                  <m:r>
                    <m:rPr/>
                    <w:rPr>
                      <w:rFonts w:ascii="Cambria Math" w:hAnsi="Cambria Math"/>
                      <w:lang w:val="en-US"/>
                    </w:rPr>
                    <m:t>×</m:t>
                  </m:r>
                  <m:sSub>
                    <m:sSubPr>
                      <m:ctrlPr>
                        <w:rPr>
                          <w:rFonts w:ascii="Cambria Math" w:hAnsi="Cambria Math"/>
                          <w:i/>
                          <w:lang w:val="en-US"/>
                        </w:rPr>
                      </m:ctrlPr>
                    </m:sSubPr>
                    <m:e>
                      <m:r>
                        <m:rPr/>
                        <w:rPr>
                          <w:rFonts w:hint="default" w:ascii="Cambria Math" w:hAnsi="Cambria Math"/>
                          <w:lang w:val="en-US" w:eastAsia="zh-CN"/>
                        </w:rPr>
                        <m:t>V</m:t>
                      </m:r>
                      <m:ctrlPr>
                        <w:rPr>
                          <w:rFonts w:ascii="Cambria Math" w:hAnsi="Cambria Math"/>
                          <w:i/>
                          <w:lang w:val="en-US"/>
                        </w:rPr>
                      </m:ctrlPr>
                    </m:e>
                    <m:sub>
                      <m:r>
                        <m:rPr/>
                        <w:rPr>
                          <w:rFonts w:hint="default" w:ascii="Cambria Math" w:hAnsi="Cambria Math"/>
                          <w:lang w:val="en-US" w:eastAsia="zh-CN"/>
                        </w:rPr>
                        <m:t>i</m:t>
                      </m:r>
                      <m:ctrlPr>
                        <w:rPr>
                          <w:rFonts w:ascii="Cambria Math" w:hAnsi="Cambria Math"/>
                          <w:i/>
                          <w:lang w:val="en-US"/>
                        </w:rPr>
                      </m:ctrlPr>
                    </m:sub>
                  </m:sSub>
                  <m:ctrlPr>
                    <w:rPr>
                      <w:rFonts w:hint="default" w:ascii="Cambria Math" w:hAnsi="Cambria Math"/>
                      <w:i/>
                      <w:lang w:val="en-US" w:eastAsia="zh-CN"/>
                    </w:rPr>
                  </m:ctrlPr>
                </m:e>
              </m:nary>
              <m:r>
                <m:rPr/>
                <w:rPr>
                  <w:rFonts w:hint="default" w:ascii="Cambria Math" w:hAnsi="Cambria Math"/>
                  <w:lang w:val="en-US" w:eastAsia="zh-CN"/>
                </w:rPr>
                <m:t>)/A</m:t>
              </m:r>
              <m:r>
                <m:rPr>
                  <m:sty m:val="p"/>
                </m:rPr>
                <w:rPr>
                  <w:rFonts w:hint="default" w:ascii="Cambria Math" w:hAnsi="Cambria Math"/>
                  <w:lang w:val="en-US" w:eastAsia="zh-CN"/>
                </w:rPr>
                <m:t>#</m:t>
              </m:r>
              <m:r>
                <m:rPr>
                  <m:sty m:val="p"/>
                </m:rPr>
                <w:rPr>
                  <w:rFonts w:hint="eastAsia" w:ascii="Cambria Math" w:hAnsi="Cambria Math"/>
                  <w:lang w:val="en-US" w:eastAsia="zh-CN"/>
                </w:rPr>
                <m:t>······················</m:t>
              </m:r>
              <m:r>
                <m:rPr>
                  <m:sty m:val="p"/>
                </m:rPr>
                <w:rPr>
                  <w:rFonts w:hint="default" w:ascii="Cambria Math" w:hAnsi="Cambria Math"/>
                  <w:lang w:val="en-US" w:eastAsia="zh-CN"/>
                </w:rPr>
                <m:t>(1</m:t>
              </m:r>
              <m:ctrlPr>
                <w:rPr>
                  <w:rFonts w:hint="default" w:ascii="Cambria Math" w:hAnsi="Cambria Math"/>
                  <w:i/>
                  <w:lang w:val="en-US" w:eastAsia="zh-CN"/>
                </w:rPr>
              </m:ctrlPr>
            </m:e>
          </m:eqArr>
          <m:r>
            <m:rPr/>
            <w:rPr>
              <w:rFonts w:hint="default" w:ascii="Cambria Math" w:hAnsi="Cambria Math"/>
              <w:lang w:val="en-US" w:eastAsia="zh-CN"/>
            </w:rPr>
            <m:t>)</m:t>
          </m:r>
        </m:oMath>
      </m:oMathPara>
    </w:p>
    <w:p w14:paraId="0501925A">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式中：</w:t>
      </w:r>
    </w:p>
    <w:p w14:paraId="58EFB2EF">
      <w:pPr>
        <w:pStyle w:val="60"/>
        <w:keepNext w:val="0"/>
        <w:keepLines w:val="0"/>
        <w:pageBreakBefore w:val="0"/>
        <w:kinsoku/>
        <w:wordWrap/>
        <w:overflowPunct/>
        <w:topLinePunct w:val="0"/>
        <w:bidi w:val="0"/>
        <w:snapToGrid/>
        <w:spacing w:line="240" w:lineRule="auto"/>
        <w:textAlignment w:val="auto"/>
        <w:rPr>
          <w:rFonts w:hint="default"/>
          <w:lang w:val="en-US" w:eastAsia="zh-CN"/>
        </w:rPr>
      </w:pPr>
      <m:oMath>
        <m:sSub>
          <m:sSubPr>
            <m:ctrlPr>
              <w:rPr>
                <w:rFonts w:ascii="Cambria Math" w:hAnsi="Cambria Math"/>
                <w:i/>
                <w:lang w:val="en-US"/>
              </w:rPr>
            </m:ctrlPr>
          </m:sSubPr>
          <m:e>
            <m:r>
              <m:rPr/>
              <w:rPr>
                <w:rFonts w:hint="default" w:ascii="Cambria Math" w:hAnsi="Cambria Math"/>
                <w:lang w:val="en-US" w:eastAsia="zh-CN"/>
              </w:rPr>
              <m:t>Q</m:t>
            </m:r>
            <m:ctrlPr>
              <w:rPr>
                <w:rFonts w:ascii="Cambria Math" w:hAnsi="Cambria Math"/>
                <w:i/>
                <w:lang w:val="en-US"/>
              </w:rPr>
            </m:ctrlPr>
          </m:e>
          <m:sub>
            <m:r>
              <m:rPr/>
              <w:rPr>
                <w:rFonts w:hint="default" w:ascii="Cambria Math" w:hAnsi="Cambria Math"/>
                <w:lang w:val="en-US" w:eastAsia="zh-CN"/>
              </w:rPr>
              <m:t>n</m:t>
            </m:r>
            <m:ctrlPr>
              <w:rPr>
                <w:rFonts w:ascii="Cambria Math" w:hAnsi="Cambria Math"/>
                <w:i/>
                <w:lang w:val="en-US"/>
              </w:rPr>
            </m:ctrlPr>
          </m:sub>
        </m:sSub>
      </m:oMath>
      <w:r>
        <w:rPr>
          <w:rFonts w:hint="eastAsia" w:ascii="宋体" w:hAnsi="宋体"/>
          <w:snapToGrid w:val="0"/>
        </w:rPr>
        <w:t>——第n个取样时间点的累积渗透量，单位为微克每平方厘米（μg/cm</w:t>
      </w:r>
      <w:r>
        <w:rPr>
          <w:rFonts w:hint="eastAsia" w:ascii="宋体" w:hAnsi="宋体"/>
          <w:snapToGrid w:val="0"/>
          <w:vertAlign w:val="superscript"/>
          <w:lang w:val="en-US" w:eastAsia="zh-CN"/>
        </w:rPr>
        <w:t>2</w:t>
      </w:r>
      <w:r>
        <w:rPr>
          <w:rFonts w:hint="eastAsia" w:ascii="宋体" w:hAnsi="宋体"/>
          <w:snapToGrid w:val="0"/>
        </w:rPr>
        <w:t>）；</w:t>
      </w:r>
    </w:p>
    <w:p w14:paraId="1AC1F2A4">
      <w:pPr>
        <w:pStyle w:val="60"/>
        <w:keepNext w:val="0"/>
        <w:keepLines w:val="0"/>
        <w:pageBreakBefore w:val="0"/>
        <w:kinsoku/>
        <w:wordWrap/>
        <w:overflowPunct/>
        <w:topLinePunct w:val="0"/>
        <w:bidi w:val="0"/>
        <w:snapToGrid/>
        <w:spacing w:line="240" w:lineRule="auto"/>
        <w:textAlignment w:val="auto"/>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n</m:t>
            </m:r>
            <m:ctrlPr>
              <w:rPr>
                <w:rFonts w:hint="default" w:ascii="Cambria Math" w:hAnsi="Cambria Math"/>
                <w:i/>
                <w:lang w:val="en-US" w:eastAsia="zh-CN"/>
              </w:rPr>
            </m:ctrlPr>
          </m:sub>
        </m:sSub>
      </m:oMath>
      <w:r>
        <w:rPr>
          <w:rFonts w:hint="eastAsia" w:ascii="宋体" w:hAnsi="宋体"/>
          <w:snapToGrid w:val="0"/>
        </w:rPr>
        <w:t>——第n个取样时间点接收液中药物浓度，单位为微克每毫升（μg/mL）；</w:t>
      </w:r>
    </w:p>
    <w:p w14:paraId="4A58C5A2">
      <w:pPr>
        <w:pStyle w:val="60"/>
        <w:keepNext w:val="0"/>
        <w:keepLines w:val="0"/>
        <w:pageBreakBefore w:val="0"/>
        <w:kinsoku/>
        <w:wordWrap/>
        <w:overflowPunct/>
        <w:topLinePunct w:val="0"/>
        <w:bidi w:val="0"/>
        <w:snapToGrid/>
        <w:spacing w:line="240" w:lineRule="auto"/>
        <w:textAlignment w:val="auto"/>
        <w:rPr>
          <w:rFonts w:hint="eastAsia"/>
          <w:lang w:val="en-US" w:eastAsia="zh-CN"/>
        </w:rPr>
      </w:pPr>
      <m:oMath>
        <m:r>
          <m:rPr/>
          <w:rPr>
            <w:rFonts w:hint="default" w:ascii="Cambria Math" w:hAnsi="Cambria Math"/>
            <w:lang w:val="en-US" w:eastAsia="zh-CN"/>
          </w:rPr>
          <m:t>V</m:t>
        </m:r>
      </m:oMath>
      <w:r>
        <w:rPr>
          <w:rFonts w:hint="eastAsia" w:ascii="宋体" w:hAnsi="宋体"/>
          <w:snapToGrid w:val="0"/>
        </w:rPr>
        <w:t>——接收室总体积，单位为毫升（mL）</w:t>
      </w:r>
    </w:p>
    <w:p w14:paraId="455A6EE7">
      <w:pPr>
        <w:pStyle w:val="60"/>
        <w:keepNext w:val="0"/>
        <w:keepLines w:val="0"/>
        <w:pageBreakBefore w:val="0"/>
        <w:kinsoku/>
        <w:wordWrap/>
        <w:overflowPunct/>
        <w:topLinePunct w:val="0"/>
        <w:bidi w:val="0"/>
        <w:snapToGrid/>
        <w:spacing w:line="240" w:lineRule="auto"/>
        <w:textAlignment w:val="auto"/>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i</m:t>
            </m:r>
            <m:ctrlPr>
              <w:rPr>
                <w:rFonts w:hint="default" w:ascii="Cambria Math" w:hAnsi="Cambria Math"/>
                <w:i/>
                <w:lang w:val="en-US" w:eastAsia="zh-CN"/>
              </w:rPr>
            </m:ctrlPr>
          </m:sub>
        </m:sSub>
      </m:oMath>
      <w:r>
        <w:rPr>
          <w:rFonts w:hint="eastAsia" w:ascii="宋体" w:hAnsi="宋体"/>
          <w:snapToGrid w:val="0"/>
        </w:rPr>
        <w:t>——第i个取样时间点接收液中药物浓度，单位为微克每毫升（μg/mL）</w:t>
      </w:r>
    </w:p>
    <w:p w14:paraId="07C4D118">
      <w:pPr>
        <w:pStyle w:val="60"/>
        <w:keepNext w:val="0"/>
        <w:keepLines w:val="0"/>
        <w:pageBreakBefore w:val="0"/>
        <w:kinsoku/>
        <w:wordWrap/>
        <w:overflowPunct/>
        <w:topLinePunct w:val="0"/>
        <w:bidi w:val="0"/>
        <w:snapToGrid/>
        <w:spacing w:line="240" w:lineRule="auto"/>
        <w:textAlignment w:val="auto"/>
        <w:rPr>
          <w:rFonts w:hint="eastAsia"/>
          <w:lang w:val="en-US" w:eastAsia="zh-CN"/>
        </w:rPr>
      </w:pPr>
      <m:oMath>
        <m:sSub>
          <m:sSubPr>
            <m:ctrlPr>
              <w:rPr>
                <w:rFonts w:ascii="Cambria Math" w:hAnsi="Cambria Math"/>
                <w:i/>
                <w:lang w:val="en-US"/>
              </w:rPr>
            </m:ctrlPr>
          </m:sSubPr>
          <m:e>
            <m:r>
              <m:rPr/>
              <w:rPr>
                <w:rFonts w:hint="default" w:ascii="Cambria Math" w:hAnsi="Cambria Math"/>
                <w:lang w:val="en-US" w:eastAsia="zh-CN"/>
              </w:rPr>
              <m:t>V</m:t>
            </m:r>
            <m:ctrlPr>
              <w:rPr>
                <w:rFonts w:ascii="Cambria Math" w:hAnsi="Cambria Math"/>
                <w:i/>
                <w:lang w:val="en-US"/>
              </w:rPr>
            </m:ctrlPr>
          </m:e>
          <m:sub>
            <m:r>
              <m:rPr/>
              <w:rPr>
                <w:rFonts w:hint="default" w:ascii="Cambria Math" w:hAnsi="Cambria Math"/>
                <w:lang w:val="en-US" w:eastAsia="zh-CN"/>
              </w:rPr>
              <m:t>i</m:t>
            </m:r>
            <m:ctrlPr>
              <w:rPr>
                <w:rFonts w:ascii="Cambria Math" w:hAnsi="Cambria Math"/>
                <w:i/>
                <w:lang w:val="en-US"/>
              </w:rPr>
            </m:ctrlPr>
          </m:sub>
        </m:sSub>
      </m:oMath>
      <w:r>
        <w:rPr>
          <w:rFonts w:hint="eastAsia" w:ascii="宋体" w:hAnsi="宋体"/>
          <w:snapToGrid w:val="0"/>
        </w:rPr>
        <w:t>——第i个取样时间点的取样体积，单位为毫升（mL）；</w:t>
      </w:r>
    </w:p>
    <w:p w14:paraId="6D2DF034">
      <w:pPr>
        <w:pStyle w:val="60"/>
        <w:keepNext w:val="0"/>
        <w:keepLines w:val="0"/>
        <w:pageBreakBefore w:val="0"/>
        <w:kinsoku/>
        <w:wordWrap/>
        <w:overflowPunct/>
        <w:topLinePunct w:val="0"/>
        <w:bidi w:val="0"/>
        <w:snapToGrid/>
        <w:spacing w:line="240" w:lineRule="auto"/>
        <w:textAlignment w:val="auto"/>
        <w:rPr>
          <w:rFonts w:hint="eastAsia"/>
          <w:lang w:val="en-US" w:eastAsia="zh-CN"/>
        </w:rPr>
      </w:pPr>
      <m:oMath>
        <m:r>
          <m:rPr/>
          <w:rPr>
            <w:rFonts w:hint="default" w:ascii="Cambria Math" w:hAnsi="Cambria Math"/>
            <w:lang w:val="en-US" w:eastAsia="zh-CN"/>
          </w:rPr>
          <m:t>A</m:t>
        </m:r>
      </m:oMath>
      <w:r>
        <w:rPr>
          <w:rFonts w:hint="eastAsia" w:ascii="宋体" w:hAnsi="宋体"/>
          <w:snapToGrid w:val="0"/>
        </w:rPr>
        <w:t>——有效扩散面积，单位为平方厘米（cm</w:t>
      </w:r>
      <w:r>
        <w:rPr>
          <w:rFonts w:hint="eastAsia" w:ascii="宋体" w:hAnsi="宋体"/>
          <w:snapToGrid w:val="0"/>
          <w:vertAlign w:val="superscript"/>
          <w:lang w:val="en-US" w:eastAsia="zh-CN"/>
        </w:rPr>
        <w:t>2</w:t>
      </w:r>
      <w:r>
        <w:rPr>
          <w:rFonts w:hint="eastAsia" w:ascii="宋体" w:hAnsi="宋体"/>
          <w:snapToGrid w:val="0"/>
        </w:rPr>
        <w:t>）。</w:t>
      </w:r>
    </w:p>
    <w:p w14:paraId="18652F3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6" w:name="_Toc1968"/>
      <w:r>
        <w:rPr>
          <w:rFonts w:hint="eastAsia"/>
          <w:lang w:val="en-US" w:eastAsia="zh-CN"/>
        </w:rPr>
        <w:t>稳态渗透速率</w:t>
      </w:r>
      <w:bookmarkEnd w:id="156"/>
    </w:p>
    <w:p w14:paraId="6BAF91CF">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以累积渗透量Q对时间t作图，取曲线的线性部分（通常为4 h～24 h）进行线性回归，回归方程的斜率即为稳态渗透速率Jss；线性回归的相关系数R</w:t>
      </w:r>
      <w:r>
        <w:rPr>
          <w:rFonts w:hint="eastAsia"/>
          <w:vertAlign w:val="superscript"/>
          <w:lang w:val="en-US" w:eastAsia="zh-CN"/>
        </w:rPr>
        <w:t>2</w:t>
      </w:r>
      <w:r>
        <w:rPr>
          <w:rFonts w:hint="eastAsia"/>
          <w:lang w:val="en-US" w:eastAsia="zh-CN"/>
        </w:rPr>
        <w:t>应不低于0.99。</w:t>
      </w:r>
    </w:p>
    <w:p w14:paraId="55463463">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7" w:name="_Toc28734"/>
      <w:r>
        <w:rPr>
          <w:rFonts w:hint="eastAsia"/>
          <w:lang w:val="en-US" w:eastAsia="zh-CN"/>
        </w:rPr>
        <w:t>滞后时间</w:t>
      </w:r>
      <w:bookmarkEnd w:id="157"/>
    </w:p>
    <w:p w14:paraId="0E315616">
      <w:pPr>
        <w:pStyle w:val="60"/>
        <w:rPr>
          <w:rFonts w:hint="eastAsia"/>
          <w:lang w:val="en-US" w:eastAsia="zh-CN"/>
        </w:rPr>
      </w:pPr>
      <w:r>
        <w:rPr>
          <w:rFonts w:hint="eastAsia"/>
          <w:lang w:val="en-US" w:eastAsia="zh-CN"/>
        </w:rPr>
        <w:t>滞后时间按公式（2）计算：</w:t>
      </w:r>
    </w:p>
    <w:p w14:paraId="68706D00">
      <w:pPr>
        <w:pStyle w:val="60"/>
        <w:keepNext w:val="0"/>
        <w:keepLines w:val="0"/>
        <w:pageBreakBefore w:val="0"/>
        <w:widowControl/>
        <w:kinsoku/>
        <w:wordWrap/>
        <w:overflowPunct/>
        <w:topLinePunct w:val="0"/>
        <w:autoSpaceDE w:val="0"/>
        <w:autoSpaceDN w:val="0"/>
        <w:bidi w:val="0"/>
        <w:adjustRightInd/>
        <w:snapToGrid/>
        <w:ind w:firstLine="0" w:firstLineChars="0"/>
        <w:textAlignment w:val="auto"/>
        <w:rPr>
          <w:rFonts w:hint="default"/>
          <w:lang w:val="en-US" w:eastAsia="zh-CN"/>
        </w:rPr>
      </w:pPr>
      <m:oMathPara>
        <m:oMath>
          <m:eqArr>
            <m:eqArrPr>
              <m:maxDist m:val="1"/>
              <m:ctrlPr>
                <w:rPr>
                  <w:rFonts w:hint="default" w:ascii="Cambria Math" w:hAnsi="Cambria Math" w:cs="Times New Roman"/>
                  <w:i/>
                  <w:sz w:val="21"/>
                  <w:lang w:val="en-US" w:eastAsia="zh-CN" w:bidi="ar-SA"/>
                </w:rPr>
              </m:ctrlPr>
            </m:eqArrPr>
            <m:e>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lag</m:t>
                  </m:r>
                  <m:ctrlPr>
                    <w:rPr>
                      <w:rFonts w:hint="default" w:ascii="Cambria Math" w:hAnsi="Cambria Math" w:cs="Times New Roman"/>
                      <w:i/>
                      <w:sz w:val="21"/>
                      <w:lang w:val="en-US" w:eastAsia="zh-CN" w:bidi="ar-SA"/>
                    </w:rPr>
                  </m:ctrlPr>
                </m:sub>
              </m:sSub>
              <m:r>
                <m:rPr/>
                <w:rPr>
                  <w:rFonts w:hint="default" w:ascii="Cambria Math" w:hAnsi="Cambria Math" w:cs="Times New Roman"/>
                  <w:sz w:val="21"/>
                  <w:lang w:val="en-US" w:eastAsia="zh-CN" w:bidi="ar-SA"/>
                </w:rPr>
                <m:t>=</m:t>
              </m:r>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0</m:t>
                  </m:r>
                  <m:ctrlPr>
                    <w:rPr>
                      <w:rFonts w:hint="default" w:ascii="Cambria Math" w:hAnsi="Cambria Math" w:cs="Times New Roman"/>
                      <w:i/>
                      <w:sz w:val="21"/>
                      <w:lang w:val="en-US" w:eastAsia="zh-CN" w:bidi="ar-SA"/>
                    </w:rPr>
                  </m:ctrlPr>
                </m:sub>
              </m:sSub>
              <m:r>
                <m:rPr/>
                <w:rPr>
                  <w:rFonts w:hint="default" w:ascii="Cambria Math" w:hAnsi="Cambria Math" w:cs="Times New Roman"/>
                  <w:sz w:val="21"/>
                  <w:lang w:val="en-US" w:eastAsia="zh-CN" w:bidi="ar-SA"/>
                </w:rPr>
                <m:t>−</m:t>
              </m:r>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Q</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0</m:t>
                  </m:r>
                  <m:ctrlPr>
                    <w:rPr>
                      <w:rFonts w:hint="default" w:ascii="Cambria Math" w:hAnsi="Cambria Math" w:cs="Times New Roman"/>
                      <w:i/>
                      <w:sz w:val="21"/>
                      <w:lang w:val="en-US" w:eastAsia="zh-CN" w:bidi="ar-SA"/>
                    </w:rPr>
                  </m:ctrlPr>
                </m:sub>
              </m:sSub>
              <m:r>
                <m:rPr/>
                <w:rPr>
                  <w:rFonts w:hint="default" w:ascii="Cambria Math" w:hAnsi="Cambria Math" w:cs="Times New Roman"/>
                  <w:sz w:val="21"/>
                  <w:lang w:val="en-US" w:eastAsia="zh-CN" w:bidi="ar-SA"/>
                </w:rPr>
                <m:t>/</m:t>
              </m:r>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J</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ss</m:t>
                  </m:r>
                  <m:ctrlPr>
                    <w:rPr>
                      <w:rFonts w:hint="default" w:ascii="Cambria Math" w:hAnsi="Cambria Math" w:cs="Times New Roman"/>
                      <w:i/>
                      <w:sz w:val="21"/>
                      <w:lang w:val="en-US" w:eastAsia="zh-CN" w:bidi="ar-SA"/>
                    </w:rPr>
                  </m:ctrlPr>
                </m:sub>
              </m:sSub>
              <m:r>
                <m:rPr>
                  <m:sty m:val="p"/>
                </m:rPr>
                <w:rPr>
                  <w:rFonts w:hint="default" w:ascii="Cambria Math" w:hAnsi="Cambria Math" w:cs="Times New Roman"/>
                  <w:sz w:val="21"/>
                  <w:lang w:val="en-US" w:eastAsia="zh-CN" w:bidi="ar-SA"/>
                </w:rPr>
                <m:t>#</m:t>
              </m:r>
              <m:r>
                <m:rPr>
                  <m:sty m:val="p"/>
                </m:rPr>
                <w:rPr>
                  <w:rFonts w:hint="eastAsia" w:ascii="Cambria Math" w:hAnsi="Cambria Math"/>
                  <w:lang w:val="en-US" w:eastAsia="zh-CN"/>
                </w:rPr>
                <m:t>······················</m:t>
              </m:r>
              <m:r>
                <m:rPr>
                  <m:sty m:val="p"/>
                </m:rPr>
                <w:rPr>
                  <w:rFonts w:hint="default" w:ascii="Cambria Math" w:hAnsi="Cambria Math" w:cs="Times New Roman"/>
                  <w:sz w:val="21"/>
                  <w:lang w:val="en-US" w:eastAsia="zh-CN" w:bidi="ar-SA"/>
                </w:rPr>
                <m:t>(2</m:t>
              </m:r>
              <m:ctrlPr>
                <w:rPr>
                  <w:rFonts w:hint="default" w:ascii="Cambria Math" w:hAnsi="Cambria Math" w:cs="Times New Roman"/>
                  <w:i/>
                  <w:sz w:val="21"/>
                  <w:lang w:val="en-US" w:eastAsia="zh-CN" w:bidi="ar-SA"/>
                </w:rPr>
              </m:ctrlPr>
            </m:e>
          </m:eqArr>
          <m:r>
            <m:rPr/>
            <w:rPr>
              <w:rFonts w:hint="default" w:ascii="Cambria Math" w:hAnsi="Cambria Math" w:cs="Times New Roman"/>
              <w:sz w:val="21"/>
              <w:lang w:val="en-US" w:eastAsia="zh-CN" w:bidi="ar-SA"/>
            </w:rPr>
            <m:t>)</m:t>
          </m:r>
        </m:oMath>
      </m:oMathPara>
    </w:p>
    <w:p w14:paraId="63934D87">
      <w:pPr>
        <w:pStyle w:val="60"/>
        <w:rPr>
          <w:rFonts w:hint="eastAsia"/>
          <w:lang w:val="en-US" w:eastAsia="zh-CN"/>
        </w:rPr>
      </w:pPr>
      <w:r>
        <w:rPr>
          <w:rFonts w:hint="eastAsia"/>
          <w:lang w:val="en-US" w:eastAsia="zh-CN"/>
        </w:rPr>
        <w:t>式中：</w:t>
      </w:r>
    </w:p>
    <w:p w14:paraId="291EA410">
      <w:pPr>
        <w:pStyle w:val="60"/>
        <w:rPr>
          <w:rFonts w:hint="eastAsia" w:hAnsi="Cambria Math" w:eastAsia="宋体" w:cs="Times New Roman"/>
          <w:i w:val="0"/>
          <w:sz w:val="21"/>
          <w:lang w:val="en-US" w:eastAsia="zh-CN" w:bidi="ar-SA"/>
        </w:rPr>
      </w:pPr>
      <m:oMath>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lag</m:t>
            </m:r>
            <m:ctrlPr>
              <w:rPr>
                <w:rFonts w:hint="default" w:ascii="Cambria Math" w:hAnsi="Cambria Math" w:cs="Times New Roman"/>
                <w:i/>
                <w:sz w:val="21"/>
                <w:lang w:val="en-US" w:eastAsia="zh-CN" w:bidi="ar-SA"/>
              </w:rPr>
            </m:ctrlPr>
          </m:sub>
        </m:sSub>
      </m:oMath>
      <w:r>
        <w:rPr>
          <w:rFonts w:hint="eastAsia" w:ascii="宋体" w:hAnsi="宋体"/>
          <w:snapToGrid w:val="0"/>
        </w:rPr>
        <w:t>——滞后时间</w:t>
      </w:r>
      <w:r>
        <w:rPr>
          <w:rFonts w:hint="eastAsia" w:hAnsi="宋体"/>
          <w:snapToGrid w:val="0"/>
          <w:lang w:eastAsia="zh-CN"/>
        </w:rPr>
        <w:t>，单位为小时（h）；</w:t>
      </w:r>
    </w:p>
    <w:p w14:paraId="3197BCBE">
      <w:pPr>
        <w:pStyle w:val="60"/>
        <w:rPr>
          <w:rFonts w:hint="eastAsia"/>
          <w:lang w:val="en-US" w:eastAsia="zh-CN"/>
        </w:rPr>
      </w:pPr>
      <m:oMath>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0</m:t>
            </m:r>
            <m:ctrlPr>
              <w:rPr>
                <w:rFonts w:hint="default" w:ascii="Cambria Math" w:hAnsi="Cambria Math" w:cs="Times New Roman"/>
                <w:i/>
                <w:sz w:val="21"/>
                <w:lang w:val="en-US" w:eastAsia="zh-CN" w:bidi="ar-SA"/>
              </w:rPr>
            </m:ctrlPr>
          </m:sub>
        </m:sSub>
      </m:oMath>
      <w:r>
        <w:rPr>
          <w:rFonts w:hint="eastAsia" w:ascii="宋体" w:hAnsi="宋体"/>
          <w:snapToGrid w:val="0"/>
        </w:rPr>
        <w:t>——稳态阶段的起始时间，单位为小时（h）；</w:t>
      </w:r>
    </w:p>
    <w:p w14:paraId="49F93B51">
      <w:pPr>
        <w:pStyle w:val="60"/>
        <w:rPr>
          <w:rFonts w:hint="eastAsia"/>
          <w:lang w:val="en-US" w:eastAsia="zh-CN"/>
        </w:rPr>
      </w:pPr>
      <m:oMath>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Q</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0</m:t>
            </m:r>
            <m:ctrlPr>
              <w:rPr>
                <w:rFonts w:hint="default" w:ascii="Cambria Math" w:hAnsi="Cambria Math" w:cs="Times New Roman"/>
                <w:i/>
                <w:sz w:val="21"/>
                <w:lang w:val="en-US" w:eastAsia="zh-CN" w:bidi="ar-SA"/>
              </w:rPr>
            </m:ctrlPr>
          </m:sub>
        </m:sSub>
      </m:oMath>
      <w:r>
        <w:rPr>
          <w:rFonts w:hint="eastAsia" w:ascii="宋体" w:hAnsi="宋体"/>
          <w:snapToGrid w:val="0"/>
        </w:rPr>
        <w:t>——</w:t>
      </w:r>
      <m:oMath>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0</m:t>
            </m:r>
            <m:ctrlPr>
              <w:rPr>
                <w:rFonts w:hint="default" w:ascii="Cambria Math" w:hAnsi="Cambria Math" w:cs="Times New Roman"/>
                <w:i/>
                <w:sz w:val="21"/>
                <w:lang w:val="en-US" w:eastAsia="zh-CN" w:bidi="ar-SA"/>
              </w:rPr>
            </m:ctrlPr>
          </m:sub>
        </m:sSub>
      </m:oMath>
      <w:r>
        <w:rPr>
          <w:rFonts w:hint="eastAsia" w:ascii="宋体" w:hAnsi="宋体"/>
          <w:snapToGrid w:val="0"/>
        </w:rPr>
        <w:t>时刻对应的累积渗透量，单位为微克每平方厘米（μg/cm</w:t>
      </w:r>
      <w:r>
        <w:rPr>
          <w:rFonts w:hint="eastAsia" w:ascii="宋体" w:hAnsi="宋体"/>
          <w:snapToGrid w:val="0"/>
          <w:vertAlign w:val="superscript"/>
          <w:lang w:val="en-US" w:eastAsia="zh-CN"/>
        </w:rPr>
        <w:t>2</w:t>
      </w:r>
      <w:r>
        <w:rPr>
          <w:rFonts w:hint="eastAsia" w:ascii="宋体" w:hAnsi="宋体"/>
          <w:snapToGrid w:val="0"/>
        </w:rPr>
        <w:t>）；</w:t>
      </w:r>
    </w:p>
    <w:p w14:paraId="37DEBE5A">
      <w:pPr>
        <w:pStyle w:val="60"/>
        <w:rPr>
          <w:rFonts w:hint="eastAsia" w:eastAsia="宋体"/>
          <w:lang w:val="en-US" w:eastAsia="zh-CN"/>
        </w:rPr>
      </w:pPr>
      <m:oMath>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J</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ss</m:t>
            </m:r>
            <m:ctrlPr>
              <w:rPr>
                <w:rFonts w:hint="default" w:ascii="Cambria Math" w:hAnsi="Cambria Math" w:cs="Times New Roman"/>
                <w:i/>
                <w:sz w:val="21"/>
                <w:lang w:val="en-US" w:eastAsia="zh-CN" w:bidi="ar-SA"/>
              </w:rPr>
            </m:ctrlPr>
          </m:sub>
        </m:sSub>
      </m:oMath>
      <w:r>
        <w:rPr>
          <w:rFonts w:hint="eastAsia" w:ascii="宋体" w:hAnsi="宋体"/>
          <w:snapToGrid w:val="0"/>
        </w:rPr>
        <w:t>——稳态渗透速率，单位为微克每平方厘米每小时[μg/(cm</w:t>
      </w:r>
      <w:r>
        <w:rPr>
          <w:rFonts w:hint="eastAsia" w:ascii="宋体" w:hAnsi="宋体"/>
          <w:snapToGrid w:val="0"/>
          <w:vertAlign w:val="superscript"/>
          <w:lang w:val="en-US" w:eastAsia="zh-CN"/>
        </w:rPr>
        <w:t>2</w:t>
      </w:r>
      <w:r>
        <w:rPr>
          <w:rFonts w:hint="eastAsia" w:ascii="宋体" w:hAnsi="宋体"/>
          <w:snapToGrid w:val="0"/>
        </w:rPr>
        <w:t>·h)]</w:t>
      </w:r>
      <w:r>
        <w:rPr>
          <w:rFonts w:hint="eastAsia" w:hAnsi="宋体"/>
          <w:snapToGrid w:val="0"/>
          <w:lang w:eastAsia="zh-CN"/>
        </w:rPr>
        <w:t>。</w:t>
      </w:r>
    </w:p>
    <w:p w14:paraId="7A53464C">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8" w:name="_Toc20671"/>
      <w:r>
        <w:rPr>
          <w:rFonts w:hint="eastAsia"/>
          <w:lang w:val="en-US" w:eastAsia="zh-CN"/>
        </w:rPr>
        <w:t>渗透系数</w:t>
      </w:r>
      <w:bookmarkEnd w:id="158"/>
    </w:p>
    <w:p w14:paraId="4C88D7C5">
      <w:pPr>
        <w:pStyle w:val="60"/>
        <w:rPr>
          <w:rFonts w:hint="eastAsia"/>
          <w:lang w:val="en-US" w:eastAsia="zh-CN"/>
        </w:rPr>
      </w:pPr>
      <w:r>
        <w:rPr>
          <w:rFonts w:hint="eastAsia"/>
          <w:lang w:val="en-US" w:eastAsia="zh-CN"/>
        </w:rPr>
        <w:t>渗透系数按公式（3）计算：</w:t>
      </w:r>
    </w:p>
    <w:p w14:paraId="1434FCFF">
      <w:pPr>
        <w:pStyle w:val="60"/>
        <w:ind w:left="0" w:leftChars="0" w:firstLine="0" w:firstLineChars="0"/>
        <w:rPr>
          <w:rFonts w:hint="default" w:eastAsia="宋体"/>
          <w:lang w:val="en-US" w:eastAsia="zh-CN"/>
        </w:rPr>
      </w:pPr>
      <m:oMathPara>
        <m:oMath>
          <m:eqArr>
            <m:eqArrPr>
              <m:maxDist m:val="1"/>
              <m:ctrlPr>
                <w:rPr>
                  <w:rFonts w:hint="default" w:ascii="Cambria Math" w:hAnsi="Cambria Math"/>
                  <w:i/>
                  <w:lang w:val="en-US" w:eastAsia="zh-CN"/>
                </w:rPr>
              </m:ctrlPr>
            </m:eqArrPr>
            <m:e>
              <m:sSub>
                <m:sSubPr>
                  <m:ctrlPr>
                    <w:rPr>
                      <w:rFonts w:ascii="Cambria Math" w:hAnsi="Cambria Math"/>
                      <w:i/>
                      <w:lang w:val="en-US"/>
                    </w:rPr>
                  </m:ctrlPr>
                </m:sSubPr>
                <m:e>
                  <m:r>
                    <m:rPr/>
                    <w:rPr>
                      <w:rFonts w:hint="default" w:ascii="Cambria Math" w:hAnsi="Cambria Math"/>
                      <w:lang w:val="en-US" w:eastAsia="zh-CN"/>
                    </w:rPr>
                    <m:t>K</m:t>
                  </m:r>
                  <m:ctrlPr>
                    <w:rPr>
                      <w:rFonts w:ascii="Cambria Math" w:hAnsi="Cambria Math"/>
                      <w:i/>
                      <w:lang w:val="en-US"/>
                    </w:rPr>
                  </m:ctrlPr>
                </m:e>
                <m:sub>
                  <m:r>
                    <m:rPr/>
                    <w:rPr>
                      <w:rFonts w:hint="default" w:ascii="Cambria Math" w:hAnsi="Cambria Math"/>
                      <w:lang w:val="en-US" w:eastAsia="zh-CN"/>
                    </w:rPr>
                    <m:t>p</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J</m:t>
                  </m:r>
                  <m:ctrlPr>
                    <w:rPr>
                      <w:rFonts w:hint="default" w:ascii="Cambria Math" w:hAnsi="Cambria Math"/>
                      <w:i/>
                      <w:lang w:val="en-US" w:eastAsia="zh-CN"/>
                    </w:rPr>
                  </m:ctrlPr>
                </m:e>
                <m:sub>
                  <m:r>
                    <m:rPr/>
                    <w:rPr>
                      <w:rFonts w:hint="default" w:ascii="Cambria Math" w:hAnsi="Cambria Math"/>
                      <w:lang w:val="en-US" w:eastAsia="zh-CN"/>
                    </w:rPr>
                    <m:t>ss</m:t>
                  </m:r>
                  <m:ctrlPr>
                    <w:rPr>
                      <w:rFonts w:hint="default" w:ascii="Cambria Math" w:hAnsi="Cambria Math"/>
                      <w:i/>
                      <w:lang w:val="en-US" w:eastAsia="zh-CN"/>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v</m:t>
                  </m:r>
                  <m:ctrlPr>
                    <w:rPr>
                      <w:rFonts w:hint="default" w:ascii="Cambria Math" w:hAnsi="Cambria Math"/>
                      <w:i/>
                      <w:lang w:val="en-US" w:eastAsia="zh-CN"/>
                    </w:rPr>
                  </m:ctrlPr>
                </m:sub>
              </m:sSub>
              <m:r>
                <m:rPr>
                  <m:sty m:val="p"/>
                </m:rPr>
                <w:rPr>
                  <w:rFonts w:hint="default" w:ascii="Cambria Math" w:hAnsi="Cambria Math"/>
                  <w:lang w:val="en-US" w:eastAsia="zh-CN"/>
                </w:rPr>
                <m:t>#</m:t>
              </m:r>
              <m:r>
                <m:rPr>
                  <m:sty m:val="p"/>
                </m:rPr>
                <w:rPr>
                  <w:rFonts w:hint="eastAsia" w:ascii="Cambria Math" w:hAnsi="Cambria Math"/>
                  <w:lang w:val="en-US" w:eastAsia="zh-CN"/>
                </w:rPr>
                <m:t>······················</m:t>
              </m:r>
              <m:r>
                <m:rPr>
                  <m:sty m:val="p"/>
                </m:rPr>
                <w:rPr>
                  <w:rFonts w:hint="default" w:ascii="Cambria Math" w:hAnsi="Cambria Math"/>
                  <w:lang w:val="en-US" w:eastAsia="zh-CN"/>
                </w:rPr>
                <m:t>(3</m:t>
              </m:r>
              <m:ctrlPr>
                <w:rPr>
                  <w:rFonts w:hint="default" w:ascii="Cambria Math" w:hAnsi="Cambria Math"/>
                  <w:i/>
                  <w:lang w:val="en-US" w:eastAsia="zh-CN"/>
                </w:rPr>
              </m:ctrlPr>
            </m:e>
          </m:eqArr>
          <m:r>
            <m:rPr/>
            <w:rPr>
              <w:rFonts w:hint="default" w:ascii="Cambria Math" w:hAnsi="Cambria Math"/>
              <w:lang w:val="en-US" w:eastAsia="zh-CN"/>
            </w:rPr>
            <m:t>)</m:t>
          </m:r>
        </m:oMath>
      </m:oMathPara>
    </w:p>
    <w:p w14:paraId="6D225C61">
      <w:pPr>
        <w:pStyle w:val="60"/>
        <w:rPr>
          <w:rFonts w:hint="eastAsia"/>
          <w:lang w:val="en-US" w:eastAsia="zh-CN"/>
        </w:rPr>
      </w:pPr>
      <w:r>
        <w:rPr>
          <w:rFonts w:hint="eastAsia"/>
          <w:lang w:val="en-US" w:eastAsia="zh-CN"/>
        </w:rPr>
        <w:t>式中：</w:t>
      </w:r>
    </w:p>
    <w:p w14:paraId="524F5105">
      <w:pPr>
        <w:pStyle w:val="60"/>
        <w:rPr>
          <w:rFonts w:hint="eastAsia"/>
          <w:lang w:val="en-US" w:eastAsia="zh-CN"/>
        </w:rPr>
      </w:pPr>
      <m:oMath>
        <m:sSub>
          <m:sSubPr>
            <m:ctrlPr>
              <w:rPr>
                <w:rFonts w:ascii="Cambria Math" w:hAnsi="Cambria Math"/>
                <w:i/>
                <w:lang w:val="en-US"/>
              </w:rPr>
            </m:ctrlPr>
          </m:sSubPr>
          <m:e>
            <m:r>
              <m:rPr/>
              <w:rPr>
                <w:rFonts w:hint="default" w:ascii="Cambria Math" w:hAnsi="Cambria Math"/>
                <w:lang w:val="en-US" w:eastAsia="zh-CN"/>
              </w:rPr>
              <m:t>K</m:t>
            </m:r>
            <m:ctrlPr>
              <w:rPr>
                <w:rFonts w:ascii="Cambria Math" w:hAnsi="Cambria Math"/>
                <w:i/>
                <w:lang w:val="en-US"/>
              </w:rPr>
            </m:ctrlPr>
          </m:e>
          <m:sub>
            <m:r>
              <m:rPr/>
              <w:rPr>
                <w:rFonts w:hint="default" w:ascii="Cambria Math" w:hAnsi="Cambria Math"/>
                <w:lang w:val="en-US" w:eastAsia="zh-CN"/>
              </w:rPr>
              <m:t>p</m:t>
            </m:r>
            <m:ctrlPr>
              <w:rPr>
                <w:rFonts w:ascii="Cambria Math" w:hAnsi="Cambria Math"/>
                <w:i/>
                <w:lang w:val="en-US"/>
              </w:rPr>
            </m:ctrlPr>
          </m:sub>
        </m:sSub>
      </m:oMath>
      <w:r>
        <w:rPr>
          <w:rFonts w:hint="eastAsia" w:ascii="宋体" w:hAnsi="宋体"/>
          <w:snapToGrid w:val="0"/>
        </w:rPr>
        <w:t>——渗透系数，单位为厘米每小时（cm/h）；</w:t>
      </w:r>
    </w:p>
    <w:p w14:paraId="02301699">
      <w:pPr>
        <w:pStyle w:val="60"/>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J</m:t>
            </m:r>
            <m:ctrlPr>
              <w:rPr>
                <w:rFonts w:hint="default" w:ascii="Cambria Math" w:hAnsi="Cambria Math"/>
                <w:i/>
                <w:lang w:val="en-US" w:eastAsia="zh-CN"/>
              </w:rPr>
            </m:ctrlPr>
          </m:e>
          <m:sub>
            <m:r>
              <m:rPr/>
              <w:rPr>
                <w:rFonts w:hint="default" w:ascii="Cambria Math" w:hAnsi="Cambria Math"/>
                <w:lang w:val="en-US" w:eastAsia="zh-CN"/>
              </w:rPr>
              <m:t>ss</m:t>
            </m:r>
            <m:ctrlPr>
              <w:rPr>
                <w:rFonts w:hint="default" w:ascii="Cambria Math" w:hAnsi="Cambria Math"/>
                <w:i/>
                <w:lang w:val="en-US" w:eastAsia="zh-CN"/>
              </w:rPr>
            </m:ctrlPr>
          </m:sub>
        </m:sSub>
      </m:oMath>
      <w:r>
        <w:rPr>
          <w:rFonts w:hint="eastAsia" w:ascii="宋体" w:hAnsi="宋体"/>
          <w:snapToGrid w:val="0"/>
        </w:rPr>
        <w:t>——稳态渗透速率，单位为微克每平方厘米每小时[μg/(cm</w:t>
      </w:r>
      <w:r>
        <w:rPr>
          <w:rFonts w:hint="eastAsia" w:ascii="宋体" w:hAnsi="宋体"/>
          <w:snapToGrid w:val="0"/>
          <w:vertAlign w:val="superscript"/>
          <w:lang w:val="en-US" w:eastAsia="zh-CN"/>
        </w:rPr>
        <w:t>2</w:t>
      </w:r>
      <w:r>
        <w:rPr>
          <w:rFonts w:hint="eastAsia" w:ascii="宋体" w:hAnsi="宋体"/>
          <w:snapToGrid w:val="0"/>
        </w:rPr>
        <w:t>·h)]</w:t>
      </w:r>
    </w:p>
    <w:p w14:paraId="28813A5C">
      <w:pPr>
        <w:pStyle w:val="60"/>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C</m:t>
            </m:r>
            <m:ctrlPr>
              <w:rPr>
                <w:rFonts w:hint="default" w:ascii="Cambria Math" w:hAnsi="Cambria Math"/>
                <w:i/>
                <w:lang w:val="en-US" w:eastAsia="zh-CN"/>
              </w:rPr>
            </m:ctrlPr>
          </m:e>
          <m:sub>
            <m:r>
              <m:rPr/>
              <w:rPr>
                <w:rFonts w:hint="default" w:ascii="Cambria Math" w:hAnsi="Cambria Math"/>
                <w:lang w:val="en-US" w:eastAsia="zh-CN"/>
              </w:rPr>
              <m:t>v</m:t>
            </m:r>
            <m:ctrlPr>
              <w:rPr>
                <w:rFonts w:hint="default" w:ascii="Cambria Math" w:hAnsi="Cambria Math"/>
                <w:i/>
                <w:lang w:val="en-US" w:eastAsia="zh-CN"/>
              </w:rPr>
            </m:ctrlPr>
          </m:sub>
        </m:sSub>
      </m:oMath>
      <w:r>
        <w:rPr>
          <w:rFonts w:hint="eastAsia" w:ascii="宋体" w:hAnsi="宋体"/>
          <w:snapToGrid w:val="0"/>
        </w:rPr>
        <w:t>——供给室中药物的初始浓度，单位为微克每毫升（μg/mL）。</w:t>
      </w:r>
    </w:p>
    <w:p w14:paraId="7747F22E">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59" w:name="_Toc26989"/>
      <w:r>
        <w:rPr>
          <w:rFonts w:hint="eastAsia"/>
          <w:lang w:val="en-US" w:eastAsia="zh-CN"/>
        </w:rPr>
        <w:t>皮肤滞留量</w:t>
      </w:r>
      <w:bookmarkEnd w:id="159"/>
    </w:p>
    <w:p w14:paraId="1E7FD17C">
      <w:pPr>
        <w:pStyle w:val="60"/>
        <w:rPr>
          <w:rFonts w:hint="eastAsia"/>
          <w:lang w:val="en-US" w:eastAsia="zh-CN"/>
        </w:rPr>
      </w:pPr>
      <w:r>
        <w:rPr>
          <w:rFonts w:hint="eastAsia"/>
          <w:lang w:val="en-US" w:eastAsia="zh-CN"/>
        </w:rPr>
        <w:t>皮肤总滞留量为角质层滞留量与真皮层滞留量之和，按公式（4）计算：</w:t>
      </w:r>
    </w:p>
    <w:p w14:paraId="7A9E428C">
      <w:pPr>
        <w:pStyle w:val="60"/>
        <w:ind w:left="0" w:leftChars="0" w:firstLine="0" w:firstLineChars="0"/>
        <w:rPr>
          <w:rFonts w:hint="default" w:eastAsia="宋体"/>
          <w:lang w:val="en-US" w:eastAsia="zh-CN"/>
        </w:rPr>
      </w:pPr>
      <m:oMathPara>
        <m:oMath>
          <m:eqArr>
            <m:eqArrPr>
              <m:maxDist m:val="1"/>
              <m:ctrlPr>
                <w:rPr>
                  <w:rFonts w:hint="default" w:ascii="Cambria Math" w:hAnsi="Cambria Math"/>
                  <w:i/>
                  <w:lang w:val="en-US" w:eastAsia="zh-CN"/>
                </w:rPr>
              </m:ctrlPr>
            </m:eqArrPr>
            <m:e>
              <m:sSub>
                <m:sSubPr>
                  <m:ctrlPr>
                    <w:rPr>
                      <w:rFonts w:ascii="Cambria Math" w:hAnsi="Cambria Math"/>
                      <w:i/>
                      <w:lang w:val="en-US"/>
                    </w:rPr>
                  </m:ctrlPr>
                </m:sSubPr>
                <m:e>
                  <m:r>
                    <m:rPr/>
                    <w:rPr>
                      <w:rFonts w:hint="default" w:ascii="Cambria Math" w:hAnsi="Cambria Math"/>
                      <w:lang w:val="en-US" w:eastAsia="zh-CN"/>
                    </w:rPr>
                    <m:t>Q</m:t>
                  </m:r>
                  <m:ctrlPr>
                    <w:rPr>
                      <w:rFonts w:ascii="Cambria Math" w:hAnsi="Cambria Math"/>
                      <w:i/>
                      <w:lang w:val="en-US"/>
                    </w:rPr>
                  </m:ctrlPr>
                </m:e>
                <m:sub>
                  <m:r>
                    <m:rPr/>
                    <w:rPr>
                      <w:rFonts w:hint="default" w:ascii="Cambria Math" w:hAnsi="Cambria Math"/>
                      <w:lang w:val="en-US" w:eastAsia="zh-CN"/>
                    </w:rPr>
                    <m:t>skin</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sc</m:t>
                  </m:r>
                  <m:ctrlPr>
                    <w:rPr>
                      <w:rFonts w:hint="default" w:ascii="Cambria Math" w:hAnsi="Cambria Math"/>
                      <w:i/>
                      <w:lang w:val="en-US" w:eastAsia="zh-CN"/>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d</m:t>
                  </m:r>
                  <m:ctrlPr>
                    <w:rPr>
                      <w:rFonts w:hint="default" w:ascii="Cambria Math" w:hAnsi="Cambria Math"/>
                      <w:i/>
                      <w:lang w:val="en-US" w:eastAsia="zh-CN"/>
                    </w:rPr>
                  </m:ctrlPr>
                </m:sub>
              </m:sSub>
              <m:r>
                <m:rPr/>
                <w:rPr>
                  <w:rFonts w:hint="default" w:ascii="Cambria Math" w:hAnsi="Cambria Math"/>
                  <w:lang w:val="en-US" w:eastAsia="zh-CN"/>
                </w:rPr>
                <m:t>)/A</m:t>
              </m:r>
              <m:r>
                <m:rPr>
                  <m:sty m:val="p"/>
                </m:rPr>
                <w:rPr>
                  <w:rFonts w:hint="default" w:ascii="Cambria Math" w:hAnsi="Cambria Math"/>
                  <w:lang w:val="en-US" w:eastAsia="zh-CN"/>
                </w:rPr>
                <m:t>#</m:t>
              </m:r>
              <m:r>
                <m:rPr>
                  <m:sty m:val="p"/>
                </m:rPr>
                <w:rPr>
                  <w:rFonts w:hint="eastAsia" w:ascii="Cambria Math" w:hAnsi="Cambria Math"/>
                  <w:lang w:val="en-US" w:eastAsia="zh-CN"/>
                </w:rPr>
                <m:t>······················</m:t>
              </m:r>
              <m:r>
                <m:rPr>
                  <m:sty m:val="p"/>
                </m:rPr>
                <w:rPr>
                  <w:rFonts w:hint="default" w:ascii="Cambria Math" w:hAnsi="Cambria Math"/>
                  <w:lang w:val="en-US" w:eastAsia="zh-CN"/>
                </w:rPr>
                <m:t>(4</m:t>
              </m:r>
              <m:ctrlPr>
                <w:rPr>
                  <w:rFonts w:hint="default" w:ascii="Cambria Math" w:hAnsi="Cambria Math"/>
                  <w:i/>
                  <w:lang w:val="en-US" w:eastAsia="zh-CN"/>
                </w:rPr>
              </m:ctrlPr>
            </m:e>
          </m:eqArr>
          <m:r>
            <m:rPr/>
            <w:rPr>
              <w:rFonts w:hint="default" w:ascii="Cambria Math" w:hAnsi="Cambria Math"/>
              <w:lang w:val="en-US" w:eastAsia="zh-CN"/>
            </w:rPr>
            <m:t>)</m:t>
          </m:r>
        </m:oMath>
      </m:oMathPara>
    </w:p>
    <w:p w14:paraId="78658A98">
      <w:pPr>
        <w:pStyle w:val="60"/>
        <w:rPr>
          <w:rFonts w:hint="eastAsia"/>
          <w:lang w:val="en-US" w:eastAsia="zh-CN"/>
        </w:rPr>
      </w:pPr>
      <w:r>
        <w:rPr>
          <w:rFonts w:hint="eastAsia"/>
          <w:lang w:val="en-US" w:eastAsia="zh-CN"/>
        </w:rPr>
        <w:t>式中：</w:t>
      </w:r>
    </w:p>
    <w:p w14:paraId="0694A2BD">
      <w:pPr>
        <w:pStyle w:val="60"/>
        <w:rPr>
          <w:rFonts w:hint="eastAsia" w:ascii="宋体" w:hAnsi="宋体"/>
          <w:snapToGrid w:val="0"/>
        </w:rPr>
      </w:pPr>
      <m:oMath>
        <m:sSub>
          <m:sSubPr>
            <m:ctrlPr>
              <w:rPr>
                <w:rFonts w:ascii="Cambria Math" w:hAnsi="Cambria Math"/>
                <w:i/>
                <w:lang w:val="en-US"/>
              </w:rPr>
            </m:ctrlPr>
          </m:sSubPr>
          <m:e>
            <m:r>
              <m:rPr/>
              <w:rPr>
                <w:rFonts w:hint="default" w:ascii="Cambria Math" w:hAnsi="Cambria Math"/>
                <w:lang w:val="en-US" w:eastAsia="zh-CN"/>
              </w:rPr>
              <m:t>Q</m:t>
            </m:r>
            <m:ctrlPr>
              <w:rPr>
                <w:rFonts w:ascii="Cambria Math" w:hAnsi="Cambria Math"/>
                <w:i/>
                <w:lang w:val="en-US"/>
              </w:rPr>
            </m:ctrlPr>
          </m:e>
          <m:sub>
            <m:r>
              <m:rPr/>
              <w:rPr>
                <w:rFonts w:hint="default" w:ascii="Cambria Math" w:hAnsi="Cambria Math"/>
                <w:lang w:val="en-US" w:eastAsia="zh-CN"/>
              </w:rPr>
              <m:t>skin</m:t>
            </m:r>
            <m:ctrlPr>
              <w:rPr>
                <w:rFonts w:ascii="Cambria Math" w:hAnsi="Cambria Math"/>
                <w:i/>
                <w:lang w:val="en-US"/>
              </w:rPr>
            </m:ctrlPr>
          </m:sub>
        </m:sSub>
      </m:oMath>
      <w:r>
        <w:rPr>
          <w:rFonts w:hint="eastAsia" w:ascii="宋体" w:hAnsi="宋体"/>
          <w:snapToGrid w:val="0"/>
        </w:rPr>
        <w:t>——单位面积皮肤总滞留量，单位为微克每平方厘米（μg/cm</w:t>
      </w:r>
      <w:r>
        <w:rPr>
          <w:rFonts w:hint="eastAsia" w:ascii="宋体" w:hAnsi="宋体"/>
          <w:snapToGrid w:val="0"/>
          <w:vertAlign w:val="superscript"/>
          <w:lang w:val="en-US" w:eastAsia="zh-CN"/>
        </w:rPr>
        <w:t>2</w:t>
      </w:r>
      <w:r>
        <w:rPr>
          <w:rFonts w:hint="eastAsia" w:ascii="宋体" w:hAnsi="宋体"/>
          <w:snapToGrid w:val="0"/>
        </w:rPr>
        <w:t>）；</w:t>
      </w:r>
    </w:p>
    <w:p w14:paraId="43E6EB95">
      <w:pPr>
        <w:pStyle w:val="60"/>
        <w:rPr>
          <w:rFonts w:hint="eastAsia" w:ascii="宋体" w:hAnsi="宋体"/>
          <w:snapToGrid w:val="0"/>
        </w:rPr>
      </w:pPr>
      <m:oMath>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sc</m:t>
            </m:r>
            <m:ctrlPr>
              <w:rPr>
                <w:rFonts w:hint="default" w:ascii="Cambria Math" w:hAnsi="Cambria Math"/>
                <w:i/>
                <w:lang w:val="en-US" w:eastAsia="zh-CN"/>
              </w:rPr>
            </m:ctrlPr>
          </m:sub>
        </m:sSub>
      </m:oMath>
      <w:r>
        <w:rPr>
          <w:rFonts w:hint="eastAsia" w:ascii="宋体" w:hAnsi="宋体"/>
          <w:snapToGrid w:val="0"/>
        </w:rPr>
        <w:t>——角质层中药物总量，单位为微克（μg）；</w:t>
      </w:r>
    </w:p>
    <w:p w14:paraId="000DC4CE">
      <w:pPr>
        <w:pStyle w:val="60"/>
        <w:rPr>
          <w:rFonts w:hint="eastAsia" w:ascii="宋体" w:hAnsi="宋体"/>
          <w:snapToGrid w:val="0"/>
        </w:rPr>
      </w:pPr>
      <m:oMath>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d</m:t>
            </m:r>
            <m:ctrlPr>
              <w:rPr>
                <w:rFonts w:hint="default" w:ascii="Cambria Math" w:hAnsi="Cambria Math"/>
                <w:i/>
                <w:lang w:val="en-US" w:eastAsia="zh-CN"/>
              </w:rPr>
            </m:ctrlPr>
          </m:sub>
        </m:sSub>
      </m:oMath>
      <w:r>
        <w:rPr>
          <w:rFonts w:hint="eastAsia" w:ascii="宋体" w:hAnsi="宋体"/>
          <w:snapToGrid w:val="0"/>
        </w:rPr>
        <w:t>——真皮层中药物总量，单位为微克（μg）；</w:t>
      </w:r>
    </w:p>
    <w:p w14:paraId="3AF62AEF">
      <w:pPr>
        <w:pStyle w:val="60"/>
        <w:rPr>
          <w:rFonts w:hint="eastAsia" w:ascii="宋体" w:hAnsi="宋体"/>
          <w:snapToGrid w:val="0"/>
          <w:lang w:val="en-US" w:eastAsia="zh-CN"/>
        </w:rPr>
      </w:pPr>
      <m:oMath>
        <m:r>
          <m:rPr/>
          <w:rPr>
            <w:rFonts w:hint="default" w:ascii="Cambria Math" w:hAnsi="Cambria Math"/>
            <w:lang w:val="en-US" w:eastAsia="zh-CN"/>
          </w:rPr>
          <m:t>A</m:t>
        </m:r>
      </m:oMath>
      <w:r>
        <w:rPr>
          <w:rFonts w:hint="eastAsia" w:ascii="宋体" w:hAnsi="宋体"/>
          <w:snapToGrid w:val="0"/>
        </w:rPr>
        <w:t>——有效扩散面积，单位为平方厘米（cm</w:t>
      </w:r>
      <w:r>
        <w:rPr>
          <w:rFonts w:hint="eastAsia" w:ascii="宋体" w:hAnsi="宋体"/>
          <w:snapToGrid w:val="0"/>
          <w:vertAlign w:val="superscript"/>
          <w:lang w:val="en-US" w:eastAsia="zh-CN"/>
        </w:rPr>
        <w:t>2</w:t>
      </w:r>
      <w:r>
        <w:rPr>
          <w:rFonts w:hint="eastAsia" w:ascii="宋体" w:hAnsi="宋体"/>
          <w:snapToGrid w:val="0"/>
        </w:rPr>
        <w:t>）。</w:t>
      </w:r>
    </w:p>
    <w:p w14:paraId="741A094F">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60" w:name="_Toc5825"/>
      <w:r>
        <w:rPr>
          <w:rFonts w:hint="eastAsia"/>
          <w:lang w:val="en-US" w:eastAsia="zh-CN"/>
        </w:rPr>
        <w:t>透皮百分率</w:t>
      </w:r>
      <w:bookmarkEnd w:id="160"/>
    </w:p>
    <w:p w14:paraId="5EB5F508">
      <w:pPr>
        <w:pStyle w:val="60"/>
        <w:rPr>
          <w:rFonts w:hint="eastAsia"/>
          <w:lang w:val="en-US" w:eastAsia="zh-CN"/>
        </w:rPr>
      </w:pPr>
      <w:r>
        <w:rPr>
          <w:rFonts w:hint="eastAsia"/>
          <w:lang w:val="en-US" w:eastAsia="zh-CN"/>
        </w:rPr>
        <w:t>24 h透皮百分率按公式（5）计算：</w:t>
      </w:r>
    </w:p>
    <w:p w14:paraId="02CDFE02">
      <w:pPr>
        <w:pStyle w:val="60"/>
        <w:ind w:left="0" w:leftChars="0" w:firstLine="0" w:firstLineChars="0"/>
        <w:rPr>
          <w:rFonts w:hint="default" w:eastAsia="宋体"/>
          <w:lang w:val="en-US" w:eastAsia="zh-CN"/>
        </w:rPr>
      </w:pPr>
      <m:oMathPara>
        <m:oMath>
          <m:eqArr>
            <m:eqArrPr>
              <m:maxDist m:val="1"/>
              <m:ctrlPr>
                <w:rPr>
                  <w:rFonts w:hint="default" w:ascii="Cambria Math" w:hAnsi="Cambria Math"/>
                  <w:i/>
                  <w:lang w:val="en-US" w:eastAsia="zh-CN"/>
                </w:rPr>
              </m:ctrlPr>
            </m:eqArrPr>
            <m:e>
              <m:sSub>
                <m:sSubPr>
                  <m:ctrlPr>
                    <w:rPr>
                      <w:rFonts w:ascii="Cambria Math" w:hAnsi="Cambria Math"/>
                      <w:i/>
                      <w:lang w:val="en-US"/>
                    </w:rPr>
                  </m:ctrlPr>
                </m:sSubPr>
                <m:e>
                  <m:r>
                    <m:rPr/>
                    <w:rPr>
                      <w:rFonts w:hint="default" w:ascii="Cambria Math" w:hAnsi="Cambria Math"/>
                      <w:lang w:val="en-US" w:eastAsia="zh-CN"/>
                    </w:rPr>
                    <m:t>P</m:t>
                  </m:r>
                  <m:ctrlPr>
                    <w:rPr>
                      <w:rFonts w:ascii="Cambria Math" w:hAnsi="Cambria Math"/>
                      <w:i/>
                      <w:lang w:val="en-US"/>
                    </w:rPr>
                  </m:ctrlPr>
                </m:e>
                <m:sub>
                  <m:r>
                    <m:rPr/>
                    <w:rPr>
                      <w:rFonts w:hint="default" w:ascii="Cambria Math" w:hAnsi="Cambria Math"/>
                      <w:lang w:val="en-US" w:eastAsia="zh-CN"/>
                    </w:rPr>
                    <m:t>24</m:t>
                  </m:r>
                  <m:ctrlPr>
                    <w:rPr>
                      <w:rFonts w:ascii="Cambria Math" w:hAnsi="Cambria Math"/>
                      <w:i/>
                      <w:lang w:val="en-US"/>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24</m:t>
                  </m:r>
                  <m:ctrlPr>
                    <w:rPr>
                      <w:rFonts w:hint="default" w:ascii="Cambria Math" w:hAnsi="Cambria Math"/>
                      <w:i/>
                      <w:lang w:val="en-US" w:eastAsia="zh-CN"/>
                    </w:rPr>
                  </m:ctrlPr>
                </m:sub>
              </m:sSub>
              <m:r>
                <m:rPr/>
                <w:rPr>
                  <w:rFonts w:hint="default" w:ascii="Cambria Math" w:hAnsi="Cambria Math" w:cs="Cambria Math"/>
                  <w:lang w:val="en-US" w:eastAsia="zh-CN"/>
                </w:rPr>
                <m:t>×</m:t>
              </m:r>
              <m:r>
                <m:rPr/>
                <w:rPr>
                  <w:rFonts w:hint="default" w:ascii="Cambria Math" w:hAnsi="Cambria Math"/>
                  <w:lang w:val="en-US" w:eastAsia="zh-CN"/>
                </w:rPr>
                <m:t>A/</m:t>
              </m:r>
              <m:sSub>
                <m:sSubPr>
                  <m:ctrlPr>
                    <w:rPr>
                      <w:rFonts w:hint="default" w:ascii="Cambria Math" w:hAnsi="Cambria Math"/>
                      <w:i/>
                      <w:lang w:val="en-US" w:eastAsia="zh-CN"/>
                    </w:rPr>
                  </m:ctrlPr>
                </m:sSubPr>
                <m:e>
                  <m:r>
                    <m:rPr/>
                    <w:rPr>
                      <w:rFonts w:hint="default" w:ascii="Cambria Math" w:hAnsi="Cambria Math"/>
                      <w:lang w:val="en-US" w:eastAsia="zh-CN"/>
                    </w:rPr>
                    <m:t>M</m:t>
                  </m:r>
                  <m:ctrlPr>
                    <w:rPr>
                      <w:rFonts w:hint="default" w:ascii="Cambria Math" w:hAnsi="Cambria Math"/>
                      <w:i/>
                      <w:lang w:val="en-US" w:eastAsia="zh-CN"/>
                    </w:rPr>
                  </m:ctrlPr>
                </m:e>
                <m:sub>
                  <m:r>
                    <m:rPr/>
                    <w:rPr>
                      <w:rFonts w:hint="default" w:ascii="Cambria Math" w:hAnsi="Cambria Math"/>
                      <w:lang w:val="en-US" w:eastAsia="zh-CN"/>
                    </w:rPr>
                    <m:t>0</m:t>
                  </m:r>
                  <m:ctrlPr>
                    <w:rPr>
                      <w:rFonts w:hint="default" w:ascii="Cambria Math" w:hAnsi="Cambria Math"/>
                      <w:i/>
                      <w:lang w:val="en-US" w:eastAsia="zh-CN"/>
                    </w:rPr>
                  </m:ctrlPr>
                </m:sub>
              </m:sSub>
              <m:r>
                <m:rPr/>
                <w:rPr>
                  <w:rFonts w:hint="default" w:ascii="Cambria Math" w:hAnsi="Cambria Math" w:cs="Cambria Math"/>
                  <w:lang w:val="en-US" w:eastAsia="zh-CN"/>
                </w:rPr>
                <m:t>×</m:t>
              </m:r>
              <m:r>
                <m:rPr/>
                <w:rPr>
                  <w:rFonts w:hint="default" w:ascii="Cambria Math" w:hAnsi="Cambria Math"/>
                  <w:lang w:val="en-US" w:eastAsia="zh-CN"/>
                </w:rPr>
                <m:t>100%</m:t>
              </m:r>
              <m:r>
                <m:rPr>
                  <m:sty m:val="p"/>
                </m:rPr>
                <w:rPr>
                  <w:rFonts w:hint="default" w:ascii="Cambria Math" w:hAnsi="Cambria Math"/>
                  <w:lang w:val="en-US" w:eastAsia="zh-CN"/>
                </w:rPr>
                <m:t>#</m:t>
              </m:r>
              <m:r>
                <m:rPr>
                  <m:sty m:val="p"/>
                </m:rPr>
                <w:rPr>
                  <w:rFonts w:hint="eastAsia" w:ascii="Cambria Math" w:hAnsi="Cambria Math"/>
                  <w:lang w:val="en-US" w:eastAsia="zh-CN"/>
                </w:rPr>
                <m:t>······················</m:t>
              </m:r>
              <m:r>
                <m:rPr>
                  <m:sty m:val="p"/>
                </m:rPr>
                <w:rPr>
                  <w:rFonts w:hint="default" w:ascii="Cambria Math" w:hAnsi="Cambria Math"/>
                  <w:lang w:val="en-US" w:eastAsia="zh-CN"/>
                </w:rPr>
                <m:t>(5</m:t>
              </m:r>
              <m:ctrlPr>
                <w:rPr>
                  <w:rFonts w:hint="default" w:ascii="Cambria Math" w:hAnsi="Cambria Math"/>
                  <w:i/>
                  <w:lang w:val="en-US" w:eastAsia="zh-CN"/>
                </w:rPr>
              </m:ctrlPr>
            </m:e>
          </m:eqArr>
          <m:r>
            <m:rPr/>
            <w:rPr>
              <w:rFonts w:hint="default" w:ascii="Cambria Math" w:hAnsi="Cambria Math"/>
              <w:lang w:val="en-US" w:eastAsia="zh-CN"/>
            </w:rPr>
            <m:t>)</m:t>
          </m:r>
        </m:oMath>
      </m:oMathPara>
    </w:p>
    <w:p w14:paraId="18CD78BE">
      <w:pPr>
        <w:pStyle w:val="60"/>
        <w:rPr>
          <w:rFonts w:hint="eastAsia"/>
          <w:lang w:val="en-US" w:eastAsia="zh-CN"/>
        </w:rPr>
      </w:pPr>
      <w:r>
        <w:rPr>
          <w:rFonts w:hint="eastAsia"/>
          <w:lang w:val="en-US" w:eastAsia="zh-CN"/>
        </w:rPr>
        <w:t>式中：</w:t>
      </w:r>
    </w:p>
    <w:p w14:paraId="494458D9">
      <w:pPr>
        <w:pStyle w:val="60"/>
        <w:rPr>
          <w:rFonts w:hint="eastAsia"/>
          <w:lang w:val="en-US" w:eastAsia="zh-CN"/>
        </w:rPr>
      </w:pPr>
      <m:oMath>
        <m:sSub>
          <m:sSubPr>
            <m:ctrlPr>
              <w:rPr>
                <w:rFonts w:ascii="Cambria Math" w:hAnsi="Cambria Math"/>
                <w:i/>
                <w:lang w:val="en-US"/>
              </w:rPr>
            </m:ctrlPr>
          </m:sSubPr>
          <m:e>
            <m:r>
              <m:rPr/>
              <w:rPr>
                <w:rFonts w:hint="default" w:ascii="Cambria Math" w:hAnsi="Cambria Math"/>
                <w:lang w:val="en-US" w:eastAsia="zh-CN"/>
              </w:rPr>
              <m:t>P</m:t>
            </m:r>
            <m:ctrlPr>
              <w:rPr>
                <w:rFonts w:ascii="Cambria Math" w:hAnsi="Cambria Math"/>
                <w:i/>
                <w:lang w:val="en-US"/>
              </w:rPr>
            </m:ctrlPr>
          </m:e>
          <m:sub>
            <m:r>
              <m:rPr/>
              <w:rPr>
                <w:rFonts w:hint="default" w:ascii="Cambria Math" w:hAnsi="Cambria Math"/>
                <w:lang w:val="en-US" w:eastAsia="zh-CN"/>
              </w:rPr>
              <m:t>24</m:t>
            </m:r>
            <m:ctrlPr>
              <w:rPr>
                <w:rFonts w:ascii="Cambria Math" w:hAnsi="Cambria Math"/>
                <w:i/>
                <w:lang w:val="en-US"/>
              </w:rPr>
            </m:ctrlPr>
          </m:sub>
        </m:sSub>
      </m:oMath>
      <w:r>
        <w:rPr>
          <w:rFonts w:hint="eastAsia" w:ascii="宋体" w:hAnsi="宋体"/>
          <w:snapToGrid w:val="0"/>
        </w:rPr>
        <w:t>——24 h透皮百分率，单位为百分号（%）；</w:t>
      </w:r>
    </w:p>
    <w:p w14:paraId="70FD0016">
      <w:pPr>
        <w:pStyle w:val="60"/>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Q</m:t>
            </m:r>
            <m:ctrlPr>
              <w:rPr>
                <w:rFonts w:hint="default" w:ascii="Cambria Math" w:hAnsi="Cambria Math"/>
                <w:i/>
                <w:lang w:val="en-US" w:eastAsia="zh-CN"/>
              </w:rPr>
            </m:ctrlPr>
          </m:e>
          <m:sub>
            <m:r>
              <m:rPr/>
              <w:rPr>
                <w:rFonts w:hint="default" w:ascii="Cambria Math" w:hAnsi="Cambria Math"/>
                <w:lang w:val="en-US" w:eastAsia="zh-CN"/>
              </w:rPr>
              <m:t>24</m:t>
            </m:r>
            <m:ctrlPr>
              <w:rPr>
                <w:rFonts w:hint="default" w:ascii="Cambria Math" w:hAnsi="Cambria Math"/>
                <w:i/>
                <w:lang w:val="en-US" w:eastAsia="zh-CN"/>
              </w:rPr>
            </m:ctrlPr>
          </m:sub>
        </m:sSub>
      </m:oMath>
      <w:r>
        <w:rPr>
          <w:rFonts w:hint="eastAsia" w:ascii="宋体" w:hAnsi="宋体"/>
          <w:snapToGrid w:val="0"/>
        </w:rPr>
        <w:t>——24 h累积渗透量，单位为微克每平方厘米（μg/cm</w:t>
      </w:r>
      <w:r>
        <w:rPr>
          <w:rFonts w:hint="eastAsia" w:ascii="宋体" w:hAnsi="宋体"/>
          <w:snapToGrid w:val="0"/>
          <w:vertAlign w:val="superscript"/>
          <w:lang w:val="en-US" w:eastAsia="zh-CN"/>
        </w:rPr>
        <w:t>2</w:t>
      </w:r>
      <w:r>
        <w:rPr>
          <w:rFonts w:hint="eastAsia" w:ascii="宋体" w:hAnsi="宋体"/>
          <w:snapToGrid w:val="0"/>
        </w:rPr>
        <w:t>）；</w:t>
      </w:r>
    </w:p>
    <w:p w14:paraId="5DF50CA8">
      <w:pPr>
        <w:pStyle w:val="60"/>
        <w:rPr>
          <w:rFonts w:hint="eastAsia"/>
          <w:lang w:val="en-US" w:eastAsia="zh-CN"/>
        </w:rPr>
      </w:pPr>
      <m:oMath>
        <m:r>
          <m:rPr/>
          <w:rPr>
            <w:rFonts w:hint="default" w:ascii="Cambria Math" w:hAnsi="Cambria Math"/>
            <w:lang w:val="en-US" w:eastAsia="zh-CN"/>
          </w:rPr>
          <m:t>A</m:t>
        </m:r>
      </m:oMath>
      <w:r>
        <w:rPr>
          <w:rFonts w:hint="eastAsia" w:ascii="宋体" w:hAnsi="宋体"/>
          <w:snapToGrid w:val="0"/>
        </w:rPr>
        <w:t>——有效扩散面积，单位为平方厘米（cm</w:t>
      </w:r>
      <w:r>
        <w:rPr>
          <w:rFonts w:hint="eastAsia" w:ascii="宋体" w:hAnsi="宋体"/>
          <w:snapToGrid w:val="0"/>
          <w:vertAlign w:val="superscript"/>
          <w:lang w:val="en-US" w:eastAsia="zh-CN"/>
        </w:rPr>
        <w:t>2</w:t>
      </w:r>
      <w:r>
        <w:rPr>
          <w:rFonts w:hint="eastAsia" w:ascii="宋体" w:hAnsi="宋体"/>
          <w:snapToGrid w:val="0"/>
        </w:rPr>
        <w:t>）；</w:t>
      </w:r>
    </w:p>
    <w:p w14:paraId="2A7AD9C7">
      <w:pPr>
        <w:pStyle w:val="60"/>
        <w:rPr>
          <w:rFonts w:hint="eastAsia"/>
          <w:lang w:val="en-US" w:eastAsia="zh-CN"/>
        </w:rPr>
      </w:pPr>
      <m:oMath>
        <m:sSub>
          <m:sSubPr>
            <m:ctrlPr>
              <w:rPr>
                <w:rFonts w:hint="default" w:ascii="Cambria Math" w:hAnsi="Cambria Math"/>
                <w:i/>
                <w:lang w:val="en-US" w:eastAsia="zh-CN"/>
              </w:rPr>
            </m:ctrlPr>
          </m:sSubPr>
          <m:e>
            <m:r>
              <m:rPr/>
              <w:rPr>
                <w:rFonts w:hint="default" w:ascii="Cambria Math" w:hAnsi="Cambria Math"/>
                <w:lang w:val="en-US" w:eastAsia="zh-CN"/>
              </w:rPr>
              <m:t>M</m:t>
            </m:r>
            <m:ctrlPr>
              <w:rPr>
                <w:rFonts w:hint="default" w:ascii="Cambria Math" w:hAnsi="Cambria Math"/>
                <w:i/>
                <w:lang w:val="en-US" w:eastAsia="zh-CN"/>
              </w:rPr>
            </m:ctrlPr>
          </m:e>
          <m:sub>
            <m:r>
              <m:rPr/>
              <w:rPr>
                <w:rFonts w:hint="default" w:ascii="Cambria Math" w:hAnsi="Cambria Math"/>
                <w:lang w:val="en-US" w:eastAsia="zh-CN"/>
              </w:rPr>
              <m:t>0</m:t>
            </m:r>
            <m:ctrlPr>
              <w:rPr>
                <w:rFonts w:hint="default" w:ascii="Cambria Math" w:hAnsi="Cambria Math"/>
                <w:i/>
                <w:lang w:val="en-US" w:eastAsia="zh-CN"/>
              </w:rPr>
            </m:ctrlPr>
          </m:sub>
        </m:sSub>
      </m:oMath>
      <w:r>
        <w:rPr>
          <w:rFonts w:hint="eastAsia" w:ascii="宋体" w:hAnsi="宋体"/>
          <w:snapToGrid w:val="0"/>
        </w:rPr>
        <w:t>——贴膏剂中药物的初始上样量，单位为微克（μg）。</w:t>
      </w:r>
    </w:p>
    <w:p w14:paraId="73FCE28B">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61" w:name="_Toc30427"/>
      <w:r>
        <w:rPr>
          <w:rFonts w:hint="eastAsia"/>
          <w:lang w:val="en-US" w:eastAsia="zh-CN"/>
        </w:rPr>
        <w:t>数据处理</w:t>
      </w:r>
      <w:bookmarkEnd w:id="161"/>
    </w:p>
    <w:p w14:paraId="39D444BF">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每个扩散池的透皮参数应单独计算，然后以6个平行池的平均值±标准差表示。</w:t>
      </w:r>
    </w:p>
    <w:p w14:paraId="0F42A01B">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不同处方或工艺的透皮参数比较应采用统计学方法，如单因素方差分析（ANOVA）或t检验，以P</w:t>
      </w:r>
      <w:r>
        <w:rPr>
          <w:rFonts w:hint="eastAsia" w:ascii="宋体" w:eastAsia="宋体" w:cs="Times New Roman"/>
          <w:sz w:val="21"/>
          <w:lang w:val="en-US" w:eastAsia="zh-CN" w:bidi="ar-SA"/>
        </w:rPr>
        <w:t>＜</w:t>
      </w:r>
      <w:r>
        <w:rPr>
          <w:rFonts w:hint="eastAsia" w:ascii="宋体" w:hAnsi="Times New Roman" w:eastAsia="宋体" w:cs="Times New Roman"/>
          <w:sz w:val="21"/>
          <w:lang w:val="en-US" w:eastAsia="zh-CN" w:bidi="ar-SA"/>
        </w:rPr>
        <w:t>0.05为差异有统计学意义。</w:t>
      </w:r>
    </w:p>
    <w:p w14:paraId="0BFDE884">
      <w:pPr>
        <w:pStyle w:val="69"/>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所有原始数据应保留至少3位有效数字，最终结果保留2位～3位有效数字。</w:t>
      </w:r>
    </w:p>
    <w:p w14:paraId="54BD76A6">
      <w:pPr>
        <w:pStyle w:val="108"/>
        <w:keepNext w:val="0"/>
        <w:keepLines w:val="0"/>
        <w:pageBreakBefore w:val="0"/>
        <w:kinsoku/>
        <w:wordWrap/>
        <w:overflowPunct/>
        <w:topLinePunct w:val="0"/>
        <w:bidi w:val="0"/>
        <w:snapToGrid/>
        <w:spacing w:line="240" w:lineRule="auto"/>
        <w:textAlignment w:val="auto"/>
        <w:rPr>
          <w:rFonts w:hint="default"/>
          <w:lang w:val="en-US" w:eastAsia="zh-CN"/>
        </w:rPr>
      </w:pPr>
      <w:bookmarkStart w:id="162" w:name="_Toc29627"/>
      <w:r>
        <w:rPr>
          <w:rFonts w:hint="eastAsia"/>
          <w:lang w:val="en-US" w:eastAsia="zh-CN"/>
        </w:rPr>
        <w:t>评价结果</w:t>
      </w:r>
      <w:bookmarkEnd w:id="162"/>
    </w:p>
    <w:p w14:paraId="09DED597">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63" w:name="_Toc25925"/>
      <w:r>
        <w:rPr>
          <w:rFonts w:hint="eastAsia"/>
          <w:lang w:val="en-US" w:eastAsia="zh-CN"/>
        </w:rPr>
        <w:t>结果判定</w:t>
      </w:r>
      <w:bookmarkEnd w:id="163"/>
    </w:p>
    <w:p w14:paraId="7B1C9C44">
      <w:pPr>
        <w:pStyle w:val="60"/>
        <w:keepNext w:val="0"/>
        <w:keepLines w:val="0"/>
        <w:pageBreakBefore w:val="0"/>
        <w:widowControl/>
        <w:kinsoku/>
        <w:wordWrap/>
        <w:overflowPunct/>
        <w:topLinePunct w:val="0"/>
        <w:autoSpaceDE w:val="0"/>
        <w:autoSpaceDN w:val="0"/>
        <w:bidi w:val="0"/>
        <w:adjustRightInd/>
        <w:snapToGrid/>
        <w:ind w:left="0" w:leftChars="0" w:firstLine="420" w:firstLineChars="200"/>
        <w:textAlignment w:val="auto"/>
        <w:rPr>
          <w:rFonts w:hint="eastAsia"/>
          <w:lang w:val="en-US" w:eastAsia="zh-CN"/>
        </w:rPr>
      </w:pPr>
      <w:r>
        <w:rPr>
          <w:rFonts w:hint="eastAsia"/>
          <w:lang w:val="en-US" w:eastAsia="zh-CN"/>
        </w:rPr>
        <w:t>中药贴膏剂透皮吸收效率的判定规则如下：</w:t>
      </w:r>
    </w:p>
    <w:p w14:paraId="2575E033">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全部指标均符合表1要求时判为该样品透皮吸收效率合格；</w:t>
      </w:r>
    </w:p>
    <w:p w14:paraId="680B0B32">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任一指标不符合的，判为透皮吸收效率不合格；</w:t>
      </w:r>
    </w:p>
    <w:p w14:paraId="36BD2233">
      <w:pPr>
        <w:pStyle w:val="178"/>
        <w:keepNext w:val="0"/>
        <w:keepLines w:val="0"/>
        <w:pageBreakBefore w:val="0"/>
        <w:numPr>
          <w:ilvl w:val="0"/>
          <w:numId w:val="38"/>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含有毒性药材的贴膏剂，除满足上述要求外，透皮量还应同时满足该品种质量标准中设定的透皮量上限，超出上限的判为不合格。</w:t>
      </w:r>
    </w:p>
    <w:p w14:paraId="3B84CD02">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64" w:name="_Toc22806"/>
      <w:r>
        <w:rPr>
          <w:rFonts w:hint="eastAsia"/>
          <w:lang w:val="en-US" w:eastAsia="zh-CN"/>
        </w:rPr>
        <w:t>评价报告</w:t>
      </w:r>
      <w:bookmarkEnd w:id="164"/>
    </w:p>
    <w:p w14:paraId="33F3E8FC">
      <w:pPr>
        <w:pStyle w:val="60"/>
        <w:keepNext w:val="0"/>
        <w:keepLines w:val="0"/>
        <w:pageBreakBefore w:val="0"/>
        <w:kinsoku/>
        <w:wordWrap/>
        <w:overflowPunct/>
        <w:topLinePunct w:val="0"/>
        <w:bidi w:val="0"/>
        <w:snapToGrid/>
        <w:spacing w:line="240" w:lineRule="auto"/>
        <w:textAlignment w:val="auto"/>
        <w:rPr>
          <w:rFonts w:hint="eastAsia"/>
          <w:lang w:val="en-US" w:eastAsia="zh-CN"/>
        </w:rPr>
      </w:pPr>
      <w:r>
        <w:rPr>
          <w:rFonts w:hint="eastAsia"/>
          <w:lang w:val="en-US" w:eastAsia="zh-CN"/>
        </w:rPr>
        <w:t>评价报告应至少包括以下内容：</w:t>
      </w:r>
    </w:p>
    <w:p w14:paraId="292FC910">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基本信息：报告编号、报告日期、委托单位名称及地址、供试品名称规格批号等信息、评价依据、评价起止日期及地点、评价机构名称及资质认定编号；</w:t>
      </w:r>
    </w:p>
    <w:p w14:paraId="6F8BE090">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试验条件与方法：皮肤模型类型来源厚度及完整性检查结果、Franz扩散池参数、接收液组成及pH值、试验温度及搅拌转速、取样时间点及体积、含量测定方法；</w:t>
      </w:r>
    </w:p>
    <w:p w14:paraId="1347B4B0">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试验数据与计算结果：各时间点药物浓度及累积渗透量、累积渗透量-时间曲线及回归方程、稳态渗透速率等透皮参数计算结果及RSD值；</w:t>
      </w:r>
    </w:p>
    <w:p w14:paraId="7A36E3AB">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评价结论：供试品剂型类型、各单项指标符合/不符合判定结果（含实测值与限值对比）、综合判定结论及判定依据；</w:t>
      </w:r>
    </w:p>
    <w:p w14:paraId="30E6DDE0">
      <w:pPr>
        <w:pStyle w:val="178"/>
        <w:keepNext w:val="0"/>
        <w:keepLines w:val="0"/>
        <w:pageBreakBefore w:val="0"/>
        <w:numPr>
          <w:ilvl w:val="0"/>
          <w:numId w:val="39"/>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报告附件：累积渗透量-时间曲线图、典型HPLC色谱图、标准曲线及回归方程、皮肤模型完整性检查记录、仪器设备检定证书（必要时）。</w:t>
      </w:r>
    </w:p>
    <w:p w14:paraId="239BC00C">
      <w:pPr>
        <w:pStyle w:val="109"/>
        <w:keepNext w:val="0"/>
        <w:keepLines w:val="0"/>
        <w:pageBreakBefore w:val="0"/>
        <w:widowControl/>
        <w:kinsoku/>
        <w:wordWrap/>
        <w:overflowPunct/>
        <w:topLinePunct w:val="0"/>
        <w:autoSpaceDE/>
        <w:autoSpaceDN/>
        <w:bidi w:val="0"/>
        <w:adjustRightInd/>
        <w:snapToGrid/>
        <w:spacing w:after="157" w:afterLines="50" w:line="240" w:lineRule="auto"/>
        <w:ind w:left="0" w:leftChars="0" w:firstLine="0" w:firstLineChars="0"/>
        <w:textAlignment w:val="auto"/>
        <w:rPr>
          <w:rFonts w:hint="eastAsia"/>
          <w:lang w:val="en-US" w:eastAsia="zh-CN"/>
        </w:rPr>
      </w:pPr>
      <w:bookmarkStart w:id="165" w:name="_Toc24968"/>
      <w:r>
        <w:rPr>
          <w:rFonts w:hint="eastAsia"/>
          <w:lang w:val="en-US" w:eastAsia="zh-CN"/>
        </w:rPr>
        <w:t>报告管理</w:t>
      </w:r>
      <w:bookmarkEnd w:id="165"/>
    </w:p>
    <w:p w14:paraId="0E9CF85A">
      <w:pPr>
        <w:pStyle w:val="60"/>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lang w:val="en-US" w:eastAsia="zh-CN"/>
        </w:rPr>
      </w:pPr>
      <w:r>
        <w:rPr>
          <w:rFonts w:hint="eastAsia"/>
          <w:lang w:val="en-US" w:eastAsia="zh-CN"/>
        </w:rPr>
        <w:t>评价报告管理应符合以下要求：</w:t>
      </w:r>
    </w:p>
    <w:p w14:paraId="23F1A74A">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评价报告应由评价人员、复核人员、批准人员三级签字，并加盖评价机构公章或检验检测专用章；</w:t>
      </w:r>
    </w:p>
    <w:p w14:paraId="6F22C275">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评价报告一式两份，委托单位和评价机构各执一份，保存期限应不少于产品有效期后1年；</w:t>
      </w:r>
    </w:p>
    <w:p w14:paraId="1532B797">
      <w:pPr>
        <w:pStyle w:val="178"/>
        <w:keepNext w:val="0"/>
        <w:keepLines w:val="0"/>
        <w:pageBreakBefore w:val="0"/>
        <w:numPr>
          <w:ilvl w:val="0"/>
          <w:numId w:val="40"/>
        </w:numPr>
        <w:kinsoku/>
        <w:wordWrap/>
        <w:overflowPunct/>
        <w:topLinePunct w:val="0"/>
        <w:bidi w:val="0"/>
        <w:snapToGrid/>
        <w:spacing w:line="240" w:lineRule="auto"/>
        <w:textAlignment w:val="auto"/>
        <w:rPr>
          <w:rFonts w:hint="eastAsia" w:ascii="宋体" w:hAnsi="宋体" w:eastAsia="宋体" w:cs="宋体"/>
          <w:lang w:val="en-US" w:eastAsia="zh-CN"/>
        </w:rPr>
      </w:pPr>
      <w:r>
        <w:rPr>
          <w:rFonts w:hint="eastAsia" w:ascii="宋体" w:hAnsi="宋体" w:eastAsia="宋体" w:cs="宋体"/>
          <w:lang w:val="en-US" w:eastAsia="zh-CN"/>
        </w:rPr>
        <w:t>评价报告不应随意涂改，如需更正，应在更正处加盖更正章并由更正人签名；</w:t>
      </w:r>
    </w:p>
    <w:p w14:paraId="6431FEDD">
      <w:pPr>
        <w:pStyle w:val="178"/>
        <w:keepNext w:val="0"/>
        <w:keepLines w:val="0"/>
        <w:pageBreakBefore w:val="0"/>
        <w:numPr>
          <w:ilvl w:val="0"/>
          <w:numId w:val="40"/>
        </w:numPr>
        <w:kinsoku/>
        <w:wordWrap/>
        <w:overflowPunct/>
        <w:topLinePunct w:val="0"/>
        <w:bidi w:val="0"/>
        <w:snapToGrid/>
        <w:spacing w:line="240" w:lineRule="auto"/>
        <w:textAlignment w:val="auto"/>
        <w:rPr>
          <w:rFonts w:hint="default"/>
          <w:lang w:val="en-US" w:eastAsia="zh-CN"/>
        </w:rPr>
      </w:pPr>
      <w:r>
        <w:rPr>
          <w:rFonts w:hint="eastAsia" w:ascii="宋体" w:hAnsi="宋体" w:eastAsia="宋体" w:cs="宋体"/>
          <w:lang w:val="en-US" w:eastAsia="zh-CN"/>
        </w:rPr>
        <w:t>评价报告仅对所检供试品负责，不应用于产品广告宣传及其他商业用途。</w:t>
      </w:r>
      <w:r>
        <w:rPr>
          <w:rFonts w:hint="default"/>
          <w:lang w:val="en-US" w:eastAsia="zh-CN"/>
        </w:rPr>
        <w:br w:type="page"/>
      </w:r>
    </w:p>
    <w:p w14:paraId="41078A74">
      <w:pPr>
        <w:pStyle w:val="284"/>
      </w:pPr>
      <w:bookmarkStart w:id="166" w:name="_Toc121753723"/>
      <w:bookmarkStart w:id="167" w:name="_Toc127344393"/>
      <w:bookmarkStart w:id="168" w:name="_Toc124861125"/>
      <w:bookmarkStart w:id="169" w:name="BKCKWX"/>
      <w:bookmarkStart w:id="170" w:name="_Toc133506800"/>
      <w:bookmarkStart w:id="171" w:name="_Toc156663444"/>
      <w:bookmarkStart w:id="172" w:name="_Toc9452"/>
      <w:bookmarkStart w:id="173" w:name="_Toc122166170"/>
      <w:bookmarkStart w:id="174" w:name="_Toc102406442"/>
      <w:bookmarkStart w:id="175" w:name="_Toc127517576"/>
      <w:bookmarkStart w:id="176" w:name="_Toc21908"/>
      <w:bookmarkStart w:id="177" w:name="_Toc102664326"/>
      <w:bookmarkStart w:id="178" w:name="_Toc19644"/>
      <w:bookmarkStart w:id="179" w:name="_Toc127453466"/>
      <w:bookmarkStart w:id="180" w:name="_Toc128492114"/>
      <w:bookmarkStart w:id="181" w:name="_Toc137017226"/>
      <w:bookmarkStart w:id="182" w:name="_Toc16011"/>
      <w:r>
        <w:rPr>
          <w:rFonts w:hint="eastAsia"/>
        </w:rPr>
        <w:t>参</w:t>
      </w:r>
      <w:r>
        <w:rPr>
          <w:rFonts w:hint="eastAsia" w:ascii="MS Mincho" w:hAnsi="MS Mincho" w:eastAsia="MS Mincho" w:cs="MS Mincho"/>
        </w:rPr>
        <w:t> </w:t>
      </w:r>
      <w:r>
        <w:rPr>
          <w:rFonts w:hint="eastAsia"/>
        </w:rPr>
        <w:t>考</w:t>
      </w:r>
      <w:r>
        <w:rPr>
          <w:rFonts w:hint="eastAsia" w:ascii="MS Mincho" w:hAnsi="MS Mincho" w:eastAsia="MS Mincho" w:cs="MS Mincho"/>
        </w:rPr>
        <w:t> </w:t>
      </w:r>
      <w:r>
        <w:rPr>
          <w:rFonts w:hint="eastAsia"/>
        </w:rPr>
        <w:t>文</w:t>
      </w:r>
      <w:r>
        <w:rPr>
          <w:rFonts w:hint="eastAsia" w:ascii="MS Mincho" w:hAnsi="MS Mincho" w:eastAsia="MS Mincho" w:cs="MS Mincho"/>
        </w:rPr>
        <w:t> </w:t>
      </w:r>
      <w:r>
        <w:rPr>
          <w:rFonts w:hint="eastAsia"/>
        </w:rPr>
        <w:t>献</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F96AA43">
      <w:pPr>
        <w:widowControl/>
        <w:numPr>
          <w:ilvl w:val="0"/>
          <w:numId w:val="41"/>
        </w:numPr>
        <w:tabs>
          <w:tab w:val="center" w:pos="4201"/>
          <w:tab w:val="right" w:leader="dot" w:pos="9298"/>
        </w:tabs>
        <w:autoSpaceDE w:val="0"/>
        <w:autoSpaceDN w:val="0"/>
        <w:adjustRightInd/>
        <w:spacing w:line="240" w:lineRule="auto"/>
        <w:ind w:firstLine="440" w:firstLineChars="200"/>
        <w:jc w:val="both"/>
        <w:rPr>
          <w:rFonts w:hint="eastAsia" w:ascii="宋体" w:hAnsi="宋体" w:eastAsia="宋体" w:cs="宋体"/>
          <w:i w:val="0"/>
          <w:iCs w:val="0"/>
          <w:caps w:val="0"/>
          <w:color w:val="333333"/>
          <w:spacing w:val="0"/>
          <w:kern w:val="0"/>
          <w:sz w:val="22"/>
          <w:szCs w:val="22"/>
          <w:shd w:val="clear" w:fill="FFFFFF"/>
          <w:lang w:val="en-US" w:eastAsia="zh-CN" w:bidi="ar-SA"/>
        </w:rPr>
      </w:pPr>
      <w:r>
        <w:rPr>
          <w:rFonts w:hint="eastAsia" w:ascii="宋体" w:hAnsi="宋体" w:eastAsia="宋体" w:cs="宋体"/>
          <w:i w:val="0"/>
          <w:iCs w:val="0"/>
          <w:caps w:val="0"/>
          <w:color w:val="333333"/>
          <w:spacing w:val="0"/>
          <w:kern w:val="0"/>
          <w:sz w:val="22"/>
          <w:szCs w:val="22"/>
          <w:shd w:val="clear" w:fill="FFFFFF"/>
          <w:lang w:val="en-US" w:eastAsia="zh-CN" w:bidi="ar-SA"/>
        </w:rPr>
        <w:t>国家药典委员会. 中华人民共和国药典2020年版[</w:t>
      </w:r>
      <w:r>
        <w:rPr>
          <w:rFonts w:hint="eastAsia" w:ascii="宋体" w:hAnsi="宋体" w:cs="宋体"/>
          <w:i w:val="0"/>
          <w:iCs w:val="0"/>
          <w:caps w:val="0"/>
          <w:color w:val="333333"/>
          <w:spacing w:val="0"/>
          <w:kern w:val="0"/>
          <w:sz w:val="22"/>
          <w:szCs w:val="22"/>
          <w:shd w:val="clear" w:fill="FFFFFF"/>
          <w:lang w:val="en-US" w:eastAsia="zh-CN" w:bidi="ar-SA"/>
        </w:rPr>
        <w:t>M</w:t>
      </w:r>
      <w:r>
        <w:rPr>
          <w:rFonts w:hint="eastAsia" w:ascii="宋体" w:hAnsi="宋体" w:eastAsia="宋体" w:cs="宋体"/>
          <w:i w:val="0"/>
          <w:iCs w:val="0"/>
          <w:caps w:val="0"/>
          <w:color w:val="333333"/>
          <w:spacing w:val="0"/>
          <w:kern w:val="0"/>
          <w:sz w:val="22"/>
          <w:szCs w:val="22"/>
          <w:shd w:val="clear" w:fill="FFFFFF"/>
          <w:lang w:val="en-US" w:eastAsia="zh-CN" w:bidi="ar-SA"/>
        </w:rPr>
        <w:t>]. 北京:中国医药科技出版社,2020.</w:t>
      </w:r>
    </w:p>
    <w:p w14:paraId="1B462BD7">
      <w:pPr>
        <w:pStyle w:val="60"/>
        <w:ind w:left="0" w:leftChars="0" w:firstLine="0" w:firstLineChars="0"/>
        <w:rPr>
          <w:rFonts w:hint="default"/>
          <w:lang w:val="en-US" w:eastAsia="zh-CN"/>
        </w:rPr>
      </w:pPr>
    </w:p>
    <w:p w14:paraId="0A4194DC">
      <w:pPr>
        <w:pStyle w:val="60"/>
        <w:ind w:left="0" w:leftChars="0" w:firstLine="0" w:firstLineChars="0"/>
        <w:rPr>
          <w:rFonts w:hint="default"/>
          <w:lang w:val="en-US" w:eastAsia="zh-CN"/>
        </w:rPr>
      </w:pPr>
    </w:p>
    <w:p w14:paraId="1AC5BC7C">
      <w:pPr>
        <w:pStyle w:val="60"/>
        <w:ind w:left="0" w:leftChars="0" w:firstLine="0" w:firstLineChars="0"/>
        <w:rPr>
          <w:rFonts w:hint="default"/>
          <w:lang w:val="en-US" w:eastAsia="zh-CN"/>
        </w:rPr>
      </w:pPr>
    </w:p>
    <w:p w14:paraId="555D53B5">
      <w:pPr>
        <w:pStyle w:val="60"/>
        <w:ind w:left="0" w:leftChars="0" w:firstLine="0" w:firstLineChars="0"/>
        <w:rPr>
          <w:rFonts w:hint="default"/>
          <w:lang w:val="en-US" w:eastAsia="zh-CN"/>
        </w:rPr>
      </w:pPr>
    </w:p>
    <w:p w14:paraId="0B94ADB0">
      <w:pPr>
        <w:pStyle w:val="60"/>
        <w:ind w:left="0" w:leftChars="0" w:firstLine="0" w:firstLineChars="0"/>
        <w:rPr>
          <w:rFonts w:hint="default"/>
          <w:lang w:val="en-US" w:eastAsia="zh-CN"/>
        </w:rPr>
      </w:pPr>
    </w:p>
    <w:p w14:paraId="2913918D">
      <w:pPr>
        <w:pStyle w:val="60"/>
        <w:ind w:left="0" w:leftChars="0" w:firstLine="0" w:firstLineChars="0"/>
        <w:rPr>
          <w:rFonts w:hint="default"/>
          <w:lang w:val="en-US" w:eastAsia="zh-CN"/>
        </w:rPr>
      </w:pPr>
    </w:p>
    <w:p w14:paraId="78C05647">
      <w:pPr>
        <w:pStyle w:val="60"/>
        <w:ind w:firstLine="0" w:firstLineChars="0"/>
        <w:jc w:val="center"/>
        <w:sectPr>
          <w:headerReference r:id="rId17" w:type="default"/>
          <w:footerReference r:id="rId19" w:type="default"/>
          <w:headerReference r:id="rId18" w:type="even"/>
          <w:footerReference r:id="rId20" w:type="even"/>
          <w:pgSz w:w="11906" w:h="16838"/>
          <w:pgMar w:top="1928" w:right="1134" w:bottom="1134" w:left="1134" w:header="1418" w:footer="1134" w:gutter="283"/>
          <w:pgNumType w:fmt="decimal" w:start="1"/>
          <w:cols w:space="0" w:num="1"/>
          <w:formProt w:val="0"/>
          <w:docGrid w:linePitch="312" w:charSpace="0"/>
        </w:sectPr>
      </w:pPr>
      <w:bookmarkStart w:id="183" w:name="BookMark8"/>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83"/>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5408"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5408;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w:t>
      </w:r>
      <w:r>
        <w:rPr>
          <w:rFonts w:hint="eastAsia" w:ascii="黑体" w:eastAsia="黑体"/>
          <w:sz w:val="21"/>
          <w:szCs w:val="21"/>
          <w:lang w:val="en-US" w:eastAsia="zh-CN"/>
        </w:rPr>
        <w:t xml:space="preserve">  </w:t>
      </w:r>
      <w:r>
        <w:rPr>
          <w:rFonts w:hint="eastAsia" w:ascii="黑体" w:eastAsia="黑体"/>
          <w:sz w:val="21"/>
          <w:szCs w:val="21"/>
          <w:lang w:eastAsia="zh-CN"/>
        </w:rPr>
        <w:t>中药贴膏剂透皮吸收效率评价规范</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X</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X</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220" cy="601345"/>
            <wp:effectExtent l="0" t="0" r="17780" b="8255"/>
            <wp:wrapNone/>
            <wp:docPr id="16" name="图片 3" descr="D:/桌面文件/c94c59d5f104b1a1204d0c791bc384e1.pngc94c59d5f104b1a1204d0c791bc38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D:/桌面文件/c94c59d5f104b1a1204d0c791bc384e1.pngc94c59d5f104b1a1204d0c791bc384e1"/>
                    <pic:cNvPicPr>
                      <a:picLocks noChangeAspect="1"/>
                    </pic:cNvPicPr>
                  </pic:nvPicPr>
                  <pic:blipFill>
                    <a:blip r:embed="rId27"/>
                    <a:srcRect t="8522" b="8522"/>
                    <a:stretch>
                      <a:fillRect/>
                    </a:stretch>
                  </pic:blipFill>
                  <pic:spPr>
                    <a:xfrm>
                      <a:off x="0" y="0"/>
                      <a:ext cx="2268220"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1" w:type="default"/>
      <w:footerReference r:id="rId23" w:type="default"/>
      <w:headerReference r:id="rId22" w:type="even"/>
      <w:footerReference r:id="rId24" w:type="even"/>
      <w:pgSz w:w="11906" w:h="16838"/>
      <w:pgMar w:top="1928" w:right="1134" w:bottom="1134" w:left="1134" w:header="1418" w:footer="1134" w:gutter="283"/>
      <w:pgNumType w:fmt="decimal"/>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2318E">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EAB22">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E7EAB22">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2AE6F">
    <w:pPr>
      <w:pStyle w:val="18"/>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ED04B">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C9ED04B">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jc w:val="both"/>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18"/>
      <w:jc w:val="both"/>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F1526">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4D7F1526">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both"/>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72117">
                          <w:pPr>
                            <w:pStyle w:val="1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F272117">
                    <w:pPr>
                      <w:pStyle w:val="18"/>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5D10">
    <w:pPr>
      <w:pStyle w:val="19"/>
      <w:jc w:val="right"/>
      <w:rPr>
        <w:rFonts w:hAnsi="黑体" w:cs="黑体"/>
      </w:rPr>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3D8F">
    <w:pPr>
      <w:pStyle w:val="19"/>
      <w:jc w:val="left"/>
    </w:pPr>
    <w:r>
      <w:rPr>
        <w:rFonts w:hint="eastAsia" w:ascii="黑体" w:hAnsi="黑体" w:eastAsia="黑体"/>
        <w:sz w:val="21"/>
        <w:szCs w:val="21"/>
      </w:rPr>
      <w:t xml:space="preserve">T/CWDPA </w:t>
    </w:r>
    <w:r>
      <w:rPr>
        <w:rFonts w:hint="eastAsia" w:ascii="黑体" w:hAnsi="黑体" w:eastAsia="黑体"/>
        <w:sz w:val="21"/>
        <w:szCs w:val="21"/>
        <w:lang w:val="en-US" w:eastAsia="zh-CN"/>
      </w:rPr>
      <w:t>XXX</w:t>
    </w:r>
    <w:r>
      <w:rPr>
        <w:rFonts w:hint="eastAsia" w:ascii="黑体" w:hAnsi="黑体" w:eastAsia="黑体"/>
        <w:sz w:val="21"/>
        <w:szCs w:val="21"/>
      </w:rPr>
      <w:t>—2026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E01DA"/>
    <w:multiLevelType w:val="singleLevel"/>
    <w:tmpl w:val="82AE01DA"/>
    <w:lvl w:ilvl="0" w:tentative="0">
      <w:start w:val="1"/>
      <w:numFmt w:val="decimal"/>
      <w:suff w:val="space"/>
      <w:lvlText w:val="[%1]"/>
      <w:lvlJc w:val="left"/>
    </w:lvl>
  </w:abstractNum>
  <w:abstractNum w:abstractNumId="1">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2">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7">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8">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1">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6">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9">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1">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2">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AC77BEE"/>
    <w:multiLevelType w:val="multilevel"/>
    <w:tmpl w:val="6AC77BEE"/>
    <w:lvl w:ilvl="0" w:tentative="0">
      <w:start w:val="1"/>
      <w:numFmt w:val="decimal"/>
      <w:pStyle w:val="118"/>
      <w:suff w:val="nothing"/>
      <w:lvlText w:val="表%1　"/>
      <w:lvlJc w:val="left"/>
      <w:pPr>
        <w:tabs>
          <w:tab w:val="left" w:pos="0"/>
        </w:tabs>
        <w:ind w:left="0" w:firstLine="0"/>
      </w:pPr>
      <w:rPr>
        <w:rFonts w:hint="default"/>
      </w:r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6">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7">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7"/>
  </w:num>
  <w:num w:numId="3">
    <w:abstractNumId w:val="9"/>
  </w:num>
  <w:num w:numId="4">
    <w:abstractNumId w:val="29"/>
  </w:num>
  <w:num w:numId="5">
    <w:abstractNumId w:val="24"/>
  </w:num>
  <w:num w:numId="6">
    <w:abstractNumId w:val="20"/>
  </w:num>
  <w:num w:numId="7">
    <w:abstractNumId w:val="12"/>
  </w:num>
  <w:num w:numId="8">
    <w:abstractNumId w:val="5"/>
  </w:num>
  <w:num w:numId="9">
    <w:abstractNumId w:val="13"/>
  </w:num>
  <w:num w:numId="10">
    <w:abstractNumId w:val="23"/>
  </w:num>
  <w:num w:numId="11">
    <w:abstractNumId w:val="33"/>
  </w:num>
  <w:num w:numId="12">
    <w:abstractNumId w:val="18"/>
  </w:num>
  <w:num w:numId="13">
    <w:abstractNumId w:val="19"/>
  </w:num>
  <w:num w:numId="14">
    <w:abstractNumId w:val="11"/>
  </w:num>
  <w:num w:numId="15">
    <w:abstractNumId w:val="25"/>
  </w:num>
  <w:num w:numId="16">
    <w:abstractNumId w:val="1"/>
  </w:num>
  <w:num w:numId="17">
    <w:abstractNumId w:val="32"/>
  </w:num>
  <w:num w:numId="18">
    <w:abstractNumId w:val="36"/>
  </w:num>
  <w:num w:numId="19">
    <w:abstractNumId w:val="22"/>
  </w:num>
  <w:num w:numId="20">
    <w:abstractNumId w:val="3"/>
  </w:num>
  <w:num w:numId="21">
    <w:abstractNumId w:val="16"/>
  </w:num>
  <w:num w:numId="22">
    <w:abstractNumId w:val="37"/>
  </w:num>
  <w:num w:numId="23">
    <w:abstractNumId w:val="27"/>
  </w:num>
  <w:num w:numId="24">
    <w:abstractNumId w:val="10"/>
  </w:num>
  <w:num w:numId="25">
    <w:abstractNumId w:val="34"/>
  </w:num>
  <w:num w:numId="26">
    <w:abstractNumId w:val="4"/>
  </w:num>
  <w:num w:numId="27">
    <w:abstractNumId w:val="8"/>
  </w:num>
  <w:num w:numId="28">
    <w:abstractNumId w:val="21"/>
  </w:num>
  <w:num w:numId="29">
    <w:abstractNumId w:val="31"/>
  </w:num>
  <w:num w:numId="30">
    <w:abstractNumId w:val="28"/>
  </w:num>
  <w:num w:numId="31">
    <w:abstractNumId w:val="26"/>
  </w:num>
  <w:num w:numId="32">
    <w:abstractNumId w:val="6"/>
  </w:num>
  <w:num w:numId="33">
    <w:abstractNumId w:val="7"/>
  </w:num>
  <w:num w:numId="34">
    <w:abstractNumId w:val="35"/>
  </w:num>
  <w:num w:numId="35">
    <w:abstractNumId w:val="14"/>
  </w:num>
  <w:num w:numId="36">
    <w:abstractNumId w:val="30"/>
  </w:num>
  <w:num w:numId="37">
    <w:abstractNumId w:val="15"/>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06A3"/>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0C0502"/>
    <w:rsid w:val="0125635D"/>
    <w:rsid w:val="01565C22"/>
    <w:rsid w:val="01A22C15"/>
    <w:rsid w:val="01BF5A52"/>
    <w:rsid w:val="01CC3898"/>
    <w:rsid w:val="01D95F0B"/>
    <w:rsid w:val="01DE77E3"/>
    <w:rsid w:val="01FC640B"/>
    <w:rsid w:val="021F0A6D"/>
    <w:rsid w:val="02535CBD"/>
    <w:rsid w:val="025B4F1C"/>
    <w:rsid w:val="025F7408"/>
    <w:rsid w:val="02906263"/>
    <w:rsid w:val="02A76E81"/>
    <w:rsid w:val="02B20C36"/>
    <w:rsid w:val="02C31095"/>
    <w:rsid w:val="02DC3198"/>
    <w:rsid w:val="02F44E37"/>
    <w:rsid w:val="032C2C0D"/>
    <w:rsid w:val="03443777"/>
    <w:rsid w:val="0357767E"/>
    <w:rsid w:val="03946435"/>
    <w:rsid w:val="03C10461"/>
    <w:rsid w:val="03E2177F"/>
    <w:rsid w:val="03FD209E"/>
    <w:rsid w:val="045029FB"/>
    <w:rsid w:val="045448AA"/>
    <w:rsid w:val="045A77D7"/>
    <w:rsid w:val="046048F9"/>
    <w:rsid w:val="04AE18D1"/>
    <w:rsid w:val="04D05CEB"/>
    <w:rsid w:val="04DF0901"/>
    <w:rsid w:val="04F66143"/>
    <w:rsid w:val="04FE13F4"/>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13D56"/>
    <w:rsid w:val="06754A8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793FA4"/>
    <w:rsid w:val="089D5934"/>
    <w:rsid w:val="08B84ACC"/>
    <w:rsid w:val="08F41D87"/>
    <w:rsid w:val="08F74A5F"/>
    <w:rsid w:val="08FF042B"/>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533120"/>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6B6D3C"/>
    <w:rsid w:val="0F7B6853"/>
    <w:rsid w:val="0F7C616D"/>
    <w:rsid w:val="0F953DB9"/>
    <w:rsid w:val="0FB60BC5"/>
    <w:rsid w:val="0FC053D7"/>
    <w:rsid w:val="0FE200C5"/>
    <w:rsid w:val="0FED7751"/>
    <w:rsid w:val="106628A7"/>
    <w:rsid w:val="1066305F"/>
    <w:rsid w:val="10703EDE"/>
    <w:rsid w:val="109C2F25"/>
    <w:rsid w:val="10D12BCF"/>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175528"/>
    <w:rsid w:val="16225C7A"/>
    <w:rsid w:val="162D54D7"/>
    <w:rsid w:val="163C6EA9"/>
    <w:rsid w:val="16A5094B"/>
    <w:rsid w:val="16A63835"/>
    <w:rsid w:val="16C07E56"/>
    <w:rsid w:val="16E3540A"/>
    <w:rsid w:val="174F6F43"/>
    <w:rsid w:val="17671E03"/>
    <w:rsid w:val="17771FF6"/>
    <w:rsid w:val="17796000"/>
    <w:rsid w:val="17842753"/>
    <w:rsid w:val="17852965"/>
    <w:rsid w:val="17BB0135"/>
    <w:rsid w:val="17C67150"/>
    <w:rsid w:val="17F453F5"/>
    <w:rsid w:val="17FF1243"/>
    <w:rsid w:val="1853531D"/>
    <w:rsid w:val="18640C92"/>
    <w:rsid w:val="187059FC"/>
    <w:rsid w:val="18A1557C"/>
    <w:rsid w:val="18E526BB"/>
    <w:rsid w:val="18F51424"/>
    <w:rsid w:val="18F60753"/>
    <w:rsid w:val="19215E2D"/>
    <w:rsid w:val="192C3B89"/>
    <w:rsid w:val="19992F43"/>
    <w:rsid w:val="19CB486B"/>
    <w:rsid w:val="1A064859"/>
    <w:rsid w:val="1A0C2EC9"/>
    <w:rsid w:val="1A0D279E"/>
    <w:rsid w:val="1A1104E0"/>
    <w:rsid w:val="1A2308F8"/>
    <w:rsid w:val="1A8268CC"/>
    <w:rsid w:val="1ABD41C4"/>
    <w:rsid w:val="1ADF42B2"/>
    <w:rsid w:val="1AEC0ACF"/>
    <w:rsid w:val="1B03673C"/>
    <w:rsid w:val="1B375D24"/>
    <w:rsid w:val="1B570174"/>
    <w:rsid w:val="1B7E2538"/>
    <w:rsid w:val="1B886580"/>
    <w:rsid w:val="1BBE4697"/>
    <w:rsid w:val="1BC42B10"/>
    <w:rsid w:val="1BE73A14"/>
    <w:rsid w:val="1BEA2D97"/>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C067BC"/>
    <w:rsid w:val="20E4055B"/>
    <w:rsid w:val="20EE1C1F"/>
    <w:rsid w:val="210B5C89"/>
    <w:rsid w:val="2110329F"/>
    <w:rsid w:val="2115671A"/>
    <w:rsid w:val="211B1C44"/>
    <w:rsid w:val="21470C8B"/>
    <w:rsid w:val="219A0DBB"/>
    <w:rsid w:val="21D30729"/>
    <w:rsid w:val="21ED21C6"/>
    <w:rsid w:val="22082616"/>
    <w:rsid w:val="220B7F0B"/>
    <w:rsid w:val="22116A3F"/>
    <w:rsid w:val="228644BC"/>
    <w:rsid w:val="22A4640E"/>
    <w:rsid w:val="22BA5BB9"/>
    <w:rsid w:val="22BB36DF"/>
    <w:rsid w:val="22D57BA3"/>
    <w:rsid w:val="22D87DED"/>
    <w:rsid w:val="232748D0"/>
    <w:rsid w:val="233E67E2"/>
    <w:rsid w:val="233F60BE"/>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C87134"/>
    <w:rsid w:val="25D74FC3"/>
    <w:rsid w:val="25E31261"/>
    <w:rsid w:val="261C4494"/>
    <w:rsid w:val="26213859"/>
    <w:rsid w:val="263E265D"/>
    <w:rsid w:val="26410247"/>
    <w:rsid w:val="264D0C35"/>
    <w:rsid w:val="2650413E"/>
    <w:rsid w:val="265E685B"/>
    <w:rsid w:val="26915FCA"/>
    <w:rsid w:val="269234BA"/>
    <w:rsid w:val="26956186"/>
    <w:rsid w:val="26F6389B"/>
    <w:rsid w:val="271474CA"/>
    <w:rsid w:val="2750627A"/>
    <w:rsid w:val="276D746E"/>
    <w:rsid w:val="27736FCE"/>
    <w:rsid w:val="27765E26"/>
    <w:rsid w:val="27962024"/>
    <w:rsid w:val="27990BFF"/>
    <w:rsid w:val="27DA0163"/>
    <w:rsid w:val="27E370C7"/>
    <w:rsid w:val="27E55EA8"/>
    <w:rsid w:val="27ED736F"/>
    <w:rsid w:val="27EE3C0E"/>
    <w:rsid w:val="27F03E2A"/>
    <w:rsid w:val="28360FB8"/>
    <w:rsid w:val="283A0353"/>
    <w:rsid w:val="285C326E"/>
    <w:rsid w:val="28602E72"/>
    <w:rsid w:val="28874A54"/>
    <w:rsid w:val="2892582B"/>
    <w:rsid w:val="28B730AF"/>
    <w:rsid w:val="28C50E13"/>
    <w:rsid w:val="28D252DE"/>
    <w:rsid w:val="28E374EB"/>
    <w:rsid w:val="28F039B6"/>
    <w:rsid w:val="28F60FCD"/>
    <w:rsid w:val="29291515"/>
    <w:rsid w:val="292A336C"/>
    <w:rsid w:val="294E1641"/>
    <w:rsid w:val="29522056"/>
    <w:rsid w:val="297445E7"/>
    <w:rsid w:val="298D533F"/>
    <w:rsid w:val="29F170A7"/>
    <w:rsid w:val="2A402EB4"/>
    <w:rsid w:val="2A554419"/>
    <w:rsid w:val="2A8D1997"/>
    <w:rsid w:val="2AA44A58"/>
    <w:rsid w:val="2AA55E34"/>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752B4A"/>
    <w:rsid w:val="2E80527A"/>
    <w:rsid w:val="2EE6563F"/>
    <w:rsid w:val="2F486004"/>
    <w:rsid w:val="2F805A94"/>
    <w:rsid w:val="2F9B7DD2"/>
    <w:rsid w:val="2FA33530"/>
    <w:rsid w:val="2FA86D99"/>
    <w:rsid w:val="2FB57729"/>
    <w:rsid w:val="2FC021F3"/>
    <w:rsid w:val="30040748"/>
    <w:rsid w:val="307D1FD3"/>
    <w:rsid w:val="30A31CD5"/>
    <w:rsid w:val="30D002D1"/>
    <w:rsid w:val="30DA1187"/>
    <w:rsid w:val="30E96AAE"/>
    <w:rsid w:val="31097764"/>
    <w:rsid w:val="310C0943"/>
    <w:rsid w:val="311E5564"/>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4E2E05"/>
    <w:rsid w:val="33545566"/>
    <w:rsid w:val="3357192F"/>
    <w:rsid w:val="339A4C4A"/>
    <w:rsid w:val="33B71CA0"/>
    <w:rsid w:val="342804A8"/>
    <w:rsid w:val="342D6CBE"/>
    <w:rsid w:val="34337175"/>
    <w:rsid w:val="347100A1"/>
    <w:rsid w:val="34AD36B8"/>
    <w:rsid w:val="34D128EE"/>
    <w:rsid w:val="34D4418C"/>
    <w:rsid w:val="34DA79F4"/>
    <w:rsid w:val="34F76A97"/>
    <w:rsid w:val="34F90010"/>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576AC"/>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0B0C1F"/>
    <w:rsid w:val="3E133F77"/>
    <w:rsid w:val="3E1E5270"/>
    <w:rsid w:val="3E2C6DE7"/>
    <w:rsid w:val="3E4427DC"/>
    <w:rsid w:val="3E522122"/>
    <w:rsid w:val="3E7C7D6E"/>
    <w:rsid w:val="3E7F05B5"/>
    <w:rsid w:val="3E9A2F5F"/>
    <w:rsid w:val="3EB07FB9"/>
    <w:rsid w:val="3EB219E2"/>
    <w:rsid w:val="3EFC2464"/>
    <w:rsid w:val="3F0B4462"/>
    <w:rsid w:val="3F0F1D39"/>
    <w:rsid w:val="3F23468E"/>
    <w:rsid w:val="3F6A6DDC"/>
    <w:rsid w:val="3F6B5BE8"/>
    <w:rsid w:val="3F787264"/>
    <w:rsid w:val="3F825CCD"/>
    <w:rsid w:val="3FE53A49"/>
    <w:rsid w:val="3FFC1167"/>
    <w:rsid w:val="40487E84"/>
    <w:rsid w:val="404F74B5"/>
    <w:rsid w:val="40727100"/>
    <w:rsid w:val="40BB4ECE"/>
    <w:rsid w:val="40BF2194"/>
    <w:rsid w:val="40C35A83"/>
    <w:rsid w:val="40D95004"/>
    <w:rsid w:val="4111051C"/>
    <w:rsid w:val="412B15D8"/>
    <w:rsid w:val="41432DC5"/>
    <w:rsid w:val="41A76EB0"/>
    <w:rsid w:val="41C04359"/>
    <w:rsid w:val="41E9571B"/>
    <w:rsid w:val="423A41C8"/>
    <w:rsid w:val="4242307D"/>
    <w:rsid w:val="42467274"/>
    <w:rsid w:val="426F7824"/>
    <w:rsid w:val="42796B0B"/>
    <w:rsid w:val="428060AE"/>
    <w:rsid w:val="428E1E1E"/>
    <w:rsid w:val="429A2DFF"/>
    <w:rsid w:val="42AB2039"/>
    <w:rsid w:val="42D26925"/>
    <w:rsid w:val="42E83C24"/>
    <w:rsid w:val="42F54415"/>
    <w:rsid w:val="430D335C"/>
    <w:rsid w:val="430E7C3C"/>
    <w:rsid w:val="432D7889"/>
    <w:rsid w:val="432E715D"/>
    <w:rsid w:val="43495316"/>
    <w:rsid w:val="436239D7"/>
    <w:rsid w:val="43947908"/>
    <w:rsid w:val="439F3F66"/>
    <w:rsid w:val="43A1478C"/>
    <w:rsid w:val="43B72D8E"/>
    <w:rsid w:val="43C1733D"/>
    <w:rsid w:val="43FD36FF"/>
    <w:rsid w:val="4400471D"/>
    <w:rsid w:val="44004F56"/>
    <w:rsid w:val="44461ED1"/>
    <w:rsid w:val="445338BB"/>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CB23C1"/>
    <w:rsid w:val="46717A8D"/>
    <w:rsid w:val="467C6F4C"/>
    <w:rsid w:val="46DA7D28"/>
    <w:rsid w:val="46ED1809"/>
    <w:rsid w:val="46F36279"/>
    <w:rsid w:val="46F75CCC"/>
    <w:rsid w:val="46FC5E9B"/>
    <w:rsid w:val="471F1BDF"/>
    <w:rsid w:val="47604374"/>
    <w:rsid w:val="47633357"/>
    <w:rsid w:val="476D294A"/>
    <w:rsid w:val="47775577"/>
    <w:rsid w:val="478D6B48"/>
    <w:rsid w:val="47B022A8"/>
    <w:rsid w:val="47B42327"/>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CF51F6"/>
    <w:rsid w:val="4A477482"/>
    <w:rsid w:val="4A640D3D"/>
    <w:rsid w:val="4AD60806"/>
    <w:rsid w:val="4B3938D2"/>
    <w:rsid w:val="4B7D0C82"/>
    <w:rsid w:val="4B9C37FE"/>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2E2B7B"/>
    <w:rsid w:val="4D306E91"/>
    <w:rsid w:val="4D5C16A3"/>
    <w:rsid w:val="4D5E04AC"/>
    <w:rsid w:val="4D7A36CB"/>
    <w:rsid w:val="4DB210B7"/>
    <w:rsid w:val="4DF06083"/>
    <w:rsid w:val="4DF80A94"/>
    <w:rsid w:val="4DFB61FC"/>
    <w:rsid w:val="4E012DB3"/>
    <w:rsid w:val="4E102281"/>
    <w:rsid w:val="4E3D3AAD"/>
    <w:rsid w:val="4E47299C"/>
    <w:rsid w:val="4E704ACE"/>
    <w:rsid w:val="4E81368C"/>
    <w:rsid w:val="4ED67027"/>
    <w:rsid w:val="4EDA7B03"/>
    <w:rsid w:val="4F072E4C"/>
    <w:rsid w:val="4F1171EA"/>
    <w:rsid w:val="4F1C0D7A"/>
    <w:rsid w:val="4F2C3CE9"/>
    <w:rsid w:val="4F4A6982"/>
    <w:rsid w:val="4F530677"/>
    <w:rsid w:val="4F622668"/>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0D7203"/>
    <w:rsid w:val="521606D0"/>
    <w:rsid w:val="522956BF"/>
    <w:rsid w:val="52630BD1"/>
    <w:rsid w:val="52BC29D7"/>
    <w:rsid w:val="52D01FDF"/>
    <w:rsid w:val="52DA7D38"/>
    <w:rsid w:val="52DC6BD6"/>
    <w:rsid w:val="52E9110F"/>
    <w:rsid w:val="52F537F4"/>
    <w:rsid w:val="531B4B18"/>
    <w:rsid w:val="531E0316"/>
    <w:rsid w:val="534E7B91"/>
    <w:rsid w:val="5362593B"/>
    <w:rsid w:val="53C2343A"/>
    <w:rsid w:val="53C5766A"/>
    <w:rsid w:val="53D1600F"/>
    <w:rsid w:val="53FC752F"/>
    <w:rsid w:val="54096145"/>
    <w:rsid w:val="543635BF"/>
    <w:rsid w:val="54417177"/>
    <w:rsid w:val="54752E3E"/>
    <w:rsid w:val="54905ECA"/>
    <w:rsid w:val="54907C78"/>
    <w:rsid w:val="54B576DE"/>
    <w:rsid w:val="54BE4CA1"/>
    <w:rsid w:val="54D04518"/>
    <w:rsid w:val="54D86127"/>
    <w:rsid w:val="54DE2DE2"/>
    <w:rsid w:val="54FF4546"/>
    <w:rsid w:val="553C3BC4"/>
    <w:rsid w:val="554227C3"/>
    <w:rsid w:val="555B07B2"/>
    <w:rsid w:val="555D02CD"/>
    <w:rsid w:val="55774994"/>
    <w:rsid w:val="557C770E"/>
    <w:rsid w:val="558570B1"/>
    <w:rsid w:val="55B1143D"/>
    <w:rsid w:val="55CC0A51"/>
    <w:rsid w:val="55D83684"/>
    <w:rsid w:val="562B140A"/>
    <w:rsid w:val="5630526E"/>
    <w:rsid w:val="56416A39"/>
    <w:rsid w:val="56547E6E"/>
    <w:rsid w:val="56975989"/>
    <w:rsid w:val="56987D1D"/>
    <w:rsid w:val="569B5857"/>
    <w:rsid w:val="56B178A8"/>
    <w:rsid w:val="56CB1729"/>
    <w:rsid w:val="56E42C0C"/>
    <w:rsid w:val="573915E2"/>
    <w:rsid w:val="57911D41"/>
    <w:rsid w:val="57D34C7B"/>
    <w:rsid w:val="57D936E4"/>
    <w:rsid w:val="57E5652D"/>
    <w:rsid w:val="57EE6CBE"/>
    <w:rsid w:val="58022C3B"/>
    <w:rsid w:val="580A1F3C"/>
    <w:rsid w:val="58263D7A"/>
    <w:rsid w:val="586456A3"/>
    <w:rsid w:val="587D0513"/>
    <w:rsid w:val="58C00850"/>
    <w:rsid w:val="58CE248E"/>
    <w:rsid w:val="58D02821"/>
    <w:rsid w:val="58D33612"/>
    <w:rsid w:val="58DF37A3"/>
    <w:rsid w:val="58EC43C6"/>
    <w:rsid w:val="59262FC6"/>
    <w:rsid w:val="59380949"/>
    <w:rsid w:val="59515EF9"/>
    <w:rsid w:val="596F3B96"/>
    <w:rsid w:val="59AF3DFF"/>
    <w:rsid w:val="59C363FA"/>
    <w:rsid w:val="59E55871"/>
    <w:rsid w:val="5A025174"/>
    <w:rsid w:val="5A320FCE"/>
    <w:rsid w:val="5A3966BC"/>
    <w:rsid w:val="5A407A4A"/>
    <w:rsid w:val="5A470DD9"/>
    <w:rsid w:val="5A851901"/>
    <w:rsid w:val="5AC62178"/>
    <w:rsid w:val="5AF034C2"/>
    <w:rsid w:val="5B4D241F"/>
    <w:rsid w:val="5B545E5B"/>
    <w:rsid w:val="5BEF2C11"/>
    <w:rsid w:val="5BF3746A"/>
    <w:rsid w:val="5C0056E3"/>
    <w:rsid w:val="5C036F81"/>
    <w:rsid w:val="5C277114"/>
    <w:rsid w:val="5C413DFD"/>
    <w:rsid w:val="5C4C2CA7"/>
    <w:rsid w:val="5C8207EE"/>
    <w:rsid w:val="5C826784"/>
    <w:rsid w:val="5C9D1184"/>
    <w:rsid w:val="5CA63FA9"/>
    <w:rsid w:val="5CB44D92"/>
    <w:rsid w:val="5CC93458"/>
    <w:rsid w:val="5CCC4F75"/>
    <w:rsid w:val="5CDD7CD2"/>
    <w:rsid w:val="5CED210B"/>
    <w:rsid w:val="5D2544BA"/>
    <w:rsid w:val="5D3A69D3"/>
    <w:rsid w:val="5D570FA6"/>
    <w:rsid w:val="5D5C6349"/>
    <w:rsid w:val="5D737874"/>
    <w:rsid w:val="5D8646F8"/>
    <w:rsid w:val="5D8660BC"/>
    <w:rsid w:val="5DB14783"/>
    <w:rsid w:val="5DCA244C"/>
    <w:rsid w:val="5E3D75FD"/>
    <w:rsid w:val="5E5910D6"/>
    <w:rsid w:val="5E721B5C"/>
    <w:rsid w:val="5E776A60"/>
    <w:rsid w:val="5E802B0B"/>
    <w:rsid w:val="5E810A7B"/>
    <w:rsid w:val="5E892B2C"/>
    <w:rsid w:val="5EBA13FD"/>
    <w:rsid w:val="5EBB7FE7"/>
    <w:rsid w:val="5ECC2455"/>
    <w:rsid w:val="5F0A0E0B"/>
    <w:rsid w:val="5F2D67F5"/>
    <w:rsid w:val="5F4C0C3F"/>
    <w:rsid w:val="5F592AFE"/>
    <w:rsid w:val="5F600DA5"/>
    <w:rsid w:val="5F6B30AD"/>
    <w:rsid w:val="5FAF6FEE"/>
    <w:rsid w:val="5FBC7B73"/>
    <w:rsid w:val="5FBF1411"/>
    <w:rsid w:val="5FD67D35"/>
    <w:rsid w:val="5FEA7F0B"/>
    <w:rsid w:val="60017C7C"/>
    <w:rsid w:val="600D3663"/>
    <w:rsid w:val="607E62CC"/>
    <w:rsid w:val="60E2185B"/>
    <w:rsid w:val="610E08A2"/>
    <w:rsid w:val="612B13A1"/>
    <w:rsid w:val="61A92379"/>
    <w:rsid w:val="61E51C5E"/>
    <w:rsid w:val="61F27457"/>
    <w:rsid w:val="61F524AB"/>
    <w:rsid w:val="61FF7C84"/>
    <w:rsid w:val="620530E0"/>
    <w:rsid w:val="62145A44"/>
    <w:rsid w:val="62262BE0"/>
    <w:rsid w:val="626678E2"/>
    <w:rsid w:val="62E748C0"/>
    <w:rsid w:val="631303F2"/>
    <w:rsid w:val="63506F50"/>
    <w:rsid w:val="63E96724"/>
    <w:rsid w:val="63EA44DC"/>
    <w:rsid w:val="63FA510E"/>
    <w:rsid w:val="63FE0426"/>
    <w:rsid w:val="64124205"/>
    <w:rsid w:val="644D348F"/>
    <w:rsid w:val="64550596"/>
    <w:rsid w:val="6477605C"/>
    <w:rsid w:val="64801AB7"/>
    <w:rsid w:val="649B244D"/>
    <w:rsid w:val="64A537E1"/>
    <w:rsid w:val="64EC5163"/>
    <w:rsid w:val="64EE6A20"/>
    <w:rsid w:val="64F068BE"/>
    <w:rsid w:val="64F658D5"/>
    <w:rsid w:val="650A5824"/>
    <w:rsid w:val="6529160E"/>
    <w:rsid w:val="652A37D1"/>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C2D91"/>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2C3FBB"/>
    <w:rsid w:val="693448A9"/>
    <w:rsid w:val="696848C8"/>
    <w:rsid w:val="69824627"/>
    <w:rsid w:val="69892779"/>
    <w:rsid w:val="69BA52E5"/>
    <w:rsid w:val="6A1C4030"/>
    <w:rsid w:val="6A260A0B"/>
    <w:rsid w:val="6A5E5EC5"/>
    <w:rsid w:val="6A75102E"/>
    <w:rsid w:val="6ACD6BE6"/>
    <w:rsid w:val="6ACE4BFE"/>
    <w:rsid w:val="6B075151"/>
    <w:rsid w:val="6B15282D"/>
    <w:rsid w:val="6B5B6548"/>
    <w:rsid w:val="6B6F018F"/>
    <w:rsid w:val="6BDB5825"/>
    <w:rsid w:val="6BE51DE5"/>
    <w:rsid w:val="6C3948F8"/>
    <w:rsid w:val="6C545B9D"/>
    <w:rsid w:val="6C8C6B1F"/>
    <w:rsid w:val="6CA70E8F"/>
    <w:rsid w:val="6CD009DE"/>
    <w:rsid w:val="6CD56CEF"/>
    <w:rsid w:val="6CE801F9"/>
    <w:rsid w:val="6D0603F5"/>
    <w:rsid w:val="6D0854A3"/>
    <w:rsid w:val="6D090706"/>
    <w:rsid w:val="6D1B0A3B"/>
    <w:rsid w:val="6D2A78D9"/>
    <w:rsid w:val="6D2F0CB0"/>
    <w:rsid w:val="6D5911AE"/>
    <w:rsid w:val="6D5C2995"/>
    <w:rsid w:val="6D8343C6"/>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236F3D"/>
    <w:rsid w:val="7139610E"/>
    <w:rsid w:val="71581BF0"/>
    <w:rsid w:val="715B31D5"/>
    <w:rsid w:val="716E4E92"/>
    <w:rsid w:val="71755DD4"/>
    <w:rsid w:val="71771B4C"/>
    <w:rsid w:val="71C07997"/>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764D0"/>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C842CE"/>
    <w:rsid w:val="75E55C1E"/>
    <w:rsid w:val="76B90225"/>
    <w:rsid w:val="76C5092E"/>
    <w:rsid w:val="76FE5951"/>
    <w:rsid w:val="771066E9"/>
    <w:rsid w:val="77117357"/>
    <w:rsid w:val="778B1457"/>
    <w:rsid w:val="77AA6FDD"/>
    <w:rsid w:val="77DC18CC"/>
    <w:rsid w:val="780116F5"/>
    <w:rsid w:val="780E1917"/>
    <w:rsid w:val="785015CD"/>
    <w:rsid w:val="78576328"/>
    <w:rsid w:val="786077DD"/>
    <w:rsid w:val="786A534C"/>
    <w:rsid w:val="787E7BA9"/>
    <w:rsid w:val="78886D34"/>
    <w:rsid w:val="789C002C"/>
    <w:rsid w:val="78C37D6C"/>
    <w:rsid w:val="78D85FB2"/>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B2FE7"/>
    <w:rsid w:val="7ABC4A73"/>
    <w:rsid w:val="7AC026A2"/>
    <w:rsid w:val="7AD305E1"/>
    <w:rsid w:val="7AF406B1"/>
    <w:rsid w:val="7B191EC6"/>
    <w:rsid w:val="7B24244C"/>
    <w:rsid w:val="7B2E771F"/>
    <w:rsid w:val="7BA75723"/>
    <w:rsid w:val="7BA94FF8"/>
    <w:rsid w:val="7BD02097"/>
    <w:rsid w:val="7BD91124"/>
    <w:rsid w:val="7C167B78"/>
    <w:rsid w:val="7C1953BA"/>
    <w:rsid w:val="7C1B4DE3"/>
    <w:rsid w:val="7C3B2C04"/>
    <w:rsid w:val="7C52568F"/>
    <w:rsid w:val="7C6151AF"/>
    <w:rsid w:val="7C6554D5"/>
    <w:rsid w:val="7C740168"/>
    <w:rsid w:val="7C765821"/>
    <w:rsid w:val="7C835849"/>
    <w:rsid w:val="7CBB76D8"/>
    <w:rsid w:val="7CCB17CA"/>
    <w:rsid w:val="7CE309DD"/>
    <w:rsid w:val="7CEE743B"/>
    <w:rsid w:val="7D0B6E9E"/>
    <w:rsid w:val="7D1110A6"/>
    <w:rsid w:val="7D63227A"/>
    <w:rsid w:val="7D78205E"/>
    <w:rsid w:val="7D8212B0"/>
    <w:rsid w:val="7D884A57"/>
    <w:rsid w:val="7DAA2A29"/>
    <w:rsid w:val="7DC40443"/>
    <w:rsid w:val="7DE40569"/>
    <w:rsid w:val="7DF80CC1"/>
    <w:rsid w:val="7DFD4780"/>
    <w:rsid w:val="7E105802"/>
    <w:rsid w:val="7E1612D5"/>
    <w:rsid w:val="7E2766A8"/>
    <w:rsid w:val="7E490D14"/>
    <w:rsid w:val="7E490E8C"/>
    <w:rsid w:val="7E5D031B"/>
    <w:rsid w:val="7E747B3F"/>
    <w:rsid w:val="7E8B48A1"/>
    <w:rsid w:val="7EB05F55"/>
    <w:rsid w:val="7ECF3FA0"/>
    <w:rsid w:val="7ECF6CCC"/>
    <w:rsid w:val="7ED30FF3"/>
    <w:rsid w:val="7EEC102B"/>
    <w:rsid w:val="7F712AF3"/>
    <w:rsid w:val="7FB421BD"/>
    <w:rsid w:val="7FD40F23"/>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 w:type="paragraph" w:customStyle="1" w:styleId="284">
    <w:name w:val="参考文献"/>
    <w:next w:val="264"/>
    <w:qFormat/>
    <w:uiPriority w:val="0"/>
    <w:pPr>
      <w:keepNext/>
      <w:pageBreakBefore/>
      <w:widowControl/>
      <w:shd w:val="clear" w:color="FFFFFF" w:fill="FFFFFF"/>
      <w:adjustRightInd w:val="0"/>
      <w:spacing w:before="640" w:after="200" w:line="400" w:lineRule="exact"/>
      <w:jc w:val="center"/>
      <w:outlineLvl w:val="0"/>
    </w:pPr>
    <w:rPr>
      <w:rFonts w:ascii="黑体" w:hAnsi="Calibri" w:eastAsia="黑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12</Pages>
  <Words>2652</Words>
  <Characters>3281</Characters>
  <Lines>28</Lines>
  <Paragraphs>8</Paragraphs>
  <TotalTime>24</TotalTime>
  <ScaleCrop>false</ScaleCrop>
  <LinksUpToDate>false</LinksUpToDate>
  <CharactersWithSpaces>3424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工作组</cp:lastModifiedBy>
  <cp:lastPrinted>2023-10-19T05:03:00Z</cp:lastPrinted>
  <dcterms:modified xsi:type="dcterms:W3CDTF">2026-09-02T01:01:00Z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6DB1134360054393A52611A4904F7437_13</vt:lpwstr>
  </property>
  <property fmtid="{D5CDD505-2E9C-101B-9397-08002B2CF9AE}" pid="16" name="KSOTemplateDocerSaveRecord">
    <vt:lpwstr>eyJoZGlkIjoiZjg4ZGUzMmU5ZDk0M2FjMzAzOTBhZmQxMjNkNTk0NTYiLCJ1c2VySWQiOiI0MDgwOTI1NzcifQ==</vt:lpwstr>
  </property>
</Properties>
</file>