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17B07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9F424AF">
            <w:pPr>
              <w:pStyle w:val="19"/>
              <w:framePr w:wrap="notBeside" w:vAnchor="page" w:hAnchor="page" w:x="1372" w:y="568"/>
              <w:tabs>
                <w:tab w:val="clear" w:pos="4153"/>
                <w:tab w:val="clear" w:pos="8306"/>
              </w:tabs>
              <w:spacing w:line="240" w:lineRule="auto"/>
              <w:jc w:val="left"/>
              <w:rPr>
                <w:rFonts w:ascii="黑体" w:hAnsi="黑体" w:eastAsia="黑体"/>
                <w:sz w:val="21"/>
                <w:szCs w:val="21"/>
              </w:rPr>
            </w:pPr>
            <w:bookmarkStart w:id="0" w:name="_Hlk140063176"/>
            <w:bookmarkEnd w:id="0"/>
            <w:r>
              <w:rPr>
                <w:rFonts w:ascii="Times New Roman" w:hAnsi="Times New Roman" w:eastAsia="黑体"/>
                <w:sz w:val="21"/>
                <w:szCs w:val="21"/>
              </w:rPr>
              <w:t>ICS</w:t>
            </w:r>
          </w:p>
        </w:tc>
        <w:tc>
          <w:tcPr>
            <w:tcW w:w="8855" w:type="dxa"/>
          </w:tcPr>
          <w:p w14:paraId="1B9036AD">
            <w:pPr>
              <w:pStyle w:val="19"/>
              <w:framePr w:wrap="notBeside" w:vAnchor="page" w:hAnchor="page" w:x="1372" w:y="568"/>
              <w:tabs>
                <w:tab w:val="clear" w:pos="4153"/>
                <w:tab w:val="clear" w:pos="8306"/>
              </w:tabs>
              <w:spacing w:line="240" w:lineRule="auto"/>
              <w:jc w:val="both"/>
              <w:rPr>
                <w:rFonts w:ascii="黑体" w:hAnsi="黑体" w:eastAsia="黑体"/>
                <w:sz w:val="21"/>
                <w:szCs w:val="21"/>
              </w:rPr>
            </w:pPr>
            <w:bookmarkStart w:id="1" w:name="ICS"/>
            <w:r>
              <w:rPr>
                <w:rFonts w:hint="default" w:ascii="黑体" w:hAnsi="黑体" w:eastAsia="黑体" w:cs="Times New Roman"/>
                <w:kern w:val="2"/>
                <w:sz w:val="21"/>
                <w:szCs w:val="21"/>
                <w:lang w:val="en-US" w:eastAsia="zh-CN" w:bidi="ar-SA"/>
              </w:rPr>
              <w:fldChar w:fldCharType="begin">
                <w:ffData>
                  <w:name w:val="ICS"/>
                  <w:enabled/>
                  <w:calcOnExit w:val="0"/>
                  <w:textInput>
                    <w:default w:val="27.100"/>
                  </w:textInput>
                </w:ffData>
              </w:fldChar>
            </w:r>
            <w:r>
              <w:rPr>
                <w:rFonts w:hint="default" w:ascii="黑体" w:hAnsi="黑体" w:eastAsia="黑体" w:cs="Times New Roman"/>
                <w:kern w:val="2"/>
                <w:sz w:val="21"/>
                <w:szCs w:val="21"/>
                <w:lang w:val="en-US" w:eastAsia="zh-CN" w:bidi="ar-SA"/>
              </w:rPr>
              <w:instrText xml:space="preserve">FORMTEXT</w:instrText>
            </w:r>
            <w:r>
              <w:rPr>
                <w:rFonts w:hint="default" w:ascii="黑体" w:hAnsi="黑体" w:eastAsia="黑体" w:cs="Times New Roman"/>
                <w:kern w:val="2"/>
                <w:sz w:val="21"/>
                <w:szCs w:val="21"/>
                <w:lang w:val="en-US" w:eastAsia="zh-CN" w:bidi="ar-SA"/>
              </w:rPr>
              <w:fldChar w:fldCharType="separate"/>
            </w:r>
            <w:r>
              <w:rPr>
                <w:rFonts w:hint="default" w:ascii="黑体" w:hAnsi="黑体" w:eastAsia="黑体" w:cs="Times New Roman"/>
                <w:kern w:val="2"/>
                <w:sz w:val="21"/>
                <w:szCs w:val="21"/>
                <w:lang w:val="en-US" w:eastAsia="zh-CN" w:bidi="ar-SA"/>
              </w:rPr>
              <w:t>27.100</w:t>
            </w:r>
            <w:r>
              <w:rPr>
                <w:rFonts w:hint="default" w:ascii="黑体" w:hAnsi="黑体" w:eastAsia="黑体" w:cs="Times New Roman"/>
                <w:kern w:val="2"/>
                <w:sz w:val="21"/>
                <w:szCs w:val="21"/>
                <w:lang w:val="en-US" w:eastAsia="zh-CN" w:bidi="ar-SA"/>
              </w:rPr>
              <w:fldChar w:fldCharType="end"/>
            </w:r>
            <w:bookmarkEnd w:id="1"/>
          </w:p>
        </w:tc>
      </w:tr>
      <w:tr w14:paraId="16619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76EB9E44">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p>
        </w:tc>
        <w:tc>
          <w:tcPr>
            <w:tcW w:w="8855" w:type="dxa"/>
          </w:tcPr>
          <w:tbl>
            <w:tblPr>
              <w:tblStyle w:val="30"/>
              <w:tblpPr w:vertAnchor="page" w:horzAnchor="margin" w:tblpX="1" w:tblpY="341"/>
              <w:tblOverlap w:val="never"/>
              <w:tblW w:w="9242"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080AAFD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2537ADDD">
                  <w:pPr>
                    <w:pStyle w:val="53"/>
                    <w:framePr w:wrap="notBeside" w:vAnchor="page" w:hAnchor="page" w:x="1372" w:y="568"/>
                    <w:ind w:left="420" w:right="624"/>
                    <w:rPr>
                      <w:rFonts w:ascii="宋体" w:hAnsi="宋体"/>
                      <w:sz w:val="28"/>
                      <w:szCs w:val="28"/>
                    </w:rPr>
                  </w:pPr>
                  <w:r>
                    <w:rPr>
                      <w:rFonts w:hint="eastAsia"/>
                    </w:rPr>
                    <w:t>T/</w:t>
                  </w:r>
                  <w:bookmarkStart w:id="2" w:name="c1"/>
                  <w:r>
                    <w:rPr>
                      <w:rFonts w:hint="eastAsia" w:ascii="Times New Roman" w:hAnsi="Times New Roman" w:eastAsia="宋体" w:cs="Times New Roman"/>
                      <w:b/>
                      <w:w w:val="130"/>
                      <w:sz w:val="96"/>
                      <w:lang w:val="en-US" w:eastAsia="zh-CN" w:bidi="ar-SA"/>
                    </w:rPr>
                    <w:fldChar w:fldCharType="begin">
                      <w:ffData>
                        <w:name w:val="c1"/>
                        <w:enabled/>
                        <w:calcOnExit w:val="0"/>
                        <w:textInput>
                          <w:default w:val="CWDPA"/>
                          <w:maxLength w:val="7"/>
                        </w:textInput>
                      </w:ffData>
                    </w:fldChar>
                  </w:r>
                  <w:r>
                    <w:rPr>
                      <w:rFonts w:hint="eastAsia" w:ascii="Times New Roman" w:hAnsi="Times New Roman" w:eastAsia="宋体" w:cs="Times New Roman"/>
                      <w:b/>
                      <w:w w:val="130"/>
                      <w:sz w:val="96"/>
                      <w:lang w:val="en-US" w:eastAsia="zh-CN" w:bidi="ar-SA"/>
                    </w:rPr>
                    <w:instrText xml:space="preserve">FORMTEXT</w:instrText>
                  </w:r>
                  <w:r>
                    <w:rPr>
                      <w:rFonts w:hint="eastAsia" w:ascii="Times New Roman" w:hAnsi="Times New Roman" w:eastAsia="宋体" w:cs="Times New Roman"/>
                      <w:b/>
                      <w:w w:val="130"/>
                      <w:sz w:val="96"/>
                      <w:lang w:val="en-US" w:eastAsia="zh-CN" w:bidi="ar-SA"/>
                    </w:rPr>
                    <w:fldChar w:fldCharType="separate"/>
                  </w:r>
                  <w:r>
                    <w:rPr>
                      <w:rFonts w:hint="eastAsia" w:ascii="Times New Roman" w:hAnsi="Times New Roman" w:eastAsia="宋体" w:cs="Times New Roman"/>
                      <w:b/>
                      <w:w w:val="130"/>
                      <w:sz w:val="96"/>
                      <w:lang w:val="en-US" w:eastAsia="zh-CN" w:bidi="ar-SA"/>
                    </w:rPr>
                    <w:t>CWDPA</w:t>
                  </w:r>
                  <w:r>
                    <w:rPr>
                      <w:rFonts w:hint="eastAsia" w:ascii="Times New Roman" w:hAnsi="Times New Roman" w:eastAsia="宋体" w:cs="Times New Roman"/>
                      <w:b/>
                      <w:w w:val="130"/>
                      <w:sz w:val="96"/>
                      <w:lang w:val="en-US" w:eastAsia="zh-CN" w:bidi="ar-SA"/>
                    </w:rPr>
                    <w:fldChar w:fldCharType="end"/>
                  </w:r>
                  <w:bookmarkEnd w:id="2"/>
                </w:p>
              </w:tc>
            </w:tr>
          </w:tbl>
          <w:p w14:paraId="66F2D30D">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bookmarkStart w:id="3" w:name="CSDN"/>
            <w:r>
              <w:rPr>
                <w:rFonts w:hint="default" w:ascii="黑体" w:hAnsi="黑体" w:eastAsia="黑体" w:cs="Times New Roman"/>
                <w:kern w:val="2"/>
                <w:sz w:val="21"/>
                <w:szCs w:val="21"/>
                <w:lang w:val="en-US" w:eastAsia="zh-CN" w:bidi="ar-SA"/>
              </w:rPr>
              <w:fldChar w:fldCharType="begin">
                <w:ffData>
                  <w:name w:val="CSDN"/>
                  <w:enabled/>
                  <w:calcOnExit w:val="0"/>
                  <w:textInput>
                    <w:default w:val="F 29"/>
                  </w:textInput>
                </w:ffData>
              </w:fldChar>
            </w:r>
            <w:r>
              <w:rPr>
                <w:rFonts w:hint="default" w:ascii="黑体" w:hAnsi="黑体" w:eastAsia="黑体" w:cs="Times New Roman"/>
                <w:kern w:val="2"/>
                <w:sz w:val="21"/>
                <w:szCs w:val="21"/>
                <w:lang w:val="en-US" w:eastAsia="zh-CN" w:bidi="ar-SA"/>
              </w:rPr>
              <w:instrText xml:space="preserve">FORMTEXT</w:instrText>
            </w:r>
            <w:r>
              <w:rPr>
                <w:rFonts w:hint="default" w:ascii="黑体" w:hAnsi="黑体" w:eastAsia="黑体" w:cs="Times New Roman"/>
                <w:kern w:val="2"/>
                <w:sz w:val="21"/>
                <w:szCs w:val="21"/>
                <w:lang w:val="en-US" w:eastAsia="zh-CN" w:bidi="ar-SA"/>
              </w:rPr>
              <w:fldChar w:fldCharType="separate"/>
            </w:r>
            <w:r>
              <w:rPr>
                <w:rFonts w:hint="default" w:ascii="黑体" w:hAnsi="黑体" w:eastAsia="黑体" w:cs="Times New Roman"/>
                <w:kern w:val="2"/>
                <w:sz w:val="21"/>
                <w:szCs w:val="21"/>
                <w:lang w:val="en-US" w:eastAsia="zh-CN" w:bidi="ar-SA"/>
              </w:rPr>
              <w:t>F 29</w:t>
            </w:r>
            <w:r>
              <w:rPr>
                <w:rFonts w:hint="default" w:ascii="黑体" w:hAnsi="黑体" w:eastAsia="黑体" w:cs="Times New Roman"/>
                <w:kern w:val="2"/>
                <w:sz w:val="21"/>
                <w:szCs w:val="21"/>
                <w:lang w:val="en-US" w:eastAsia="zh-CN" w:bidi="ar-SA"/>
              </w:rPr>
              <w:fldChar w:fldCharType="end"/>
            </w:r>
            <w:bookmarkEnd w:id="3"/>
          </w:p>
        </w:tc>
      </w:tr>
    </w:tbl>
    <w:p w14:paraId="261B2E54">
      <w:pPr>
        <w:pStyle w:val="54"/>
        <w:framePr w:w="9639" w:h="624" w:hRule="exact" w:hSpace="181" w:vSpace="181" w:wrap="around" w:hAnchor="page" w:x="1305" w:y="2269"/>
        <w:rPr>
          <w:rFonts w:ascii="黑体" w:hAnsi="黑体" w:eastAsia="黑体"/>
          <w:b w:val="0"/>
          <w:bCs w:val="0"/>
          <w:w w:val="100"/>
          <w:sz w:val="48"/>
          <w:szCs w:val="48"/>
        </w:rPr>
      </w:pPr>
      <w:bookmarkStart w:id="4" w:name="_Hlk26473981"/>
      <w:r>
        <w:rPr>
          <w:rFonts w:hint="eastAsia" w:ascii="黑体" w:eastAsia="黑体"/>
          <w:b w:val="0"/>
          <w:w w:val="100"/>
          <w:sz w:val="48"/>
        </w:rPr>
        <w:t>团体</w:t>
      </w:r>
      <w:r>
        <w:rPr>
          <w:rFonts w:hint="eastAsia" w:ascii="黑体" w:hAnsi="黑体" w:eastAsia="黑体"/>
          <w:b w:val="0"/>
          <w:bCs w:val="0"/>
          <w:w w:val="100"/>
          <w:sz w:val="48"/>
          <w:szCs w:val="48"/>
        </w:rPr>
        <w:t>标准</w:t>
      </w:r>
    </w:p>
    <w:bookmarkEnd w:id="4"/>
    <w:p w14:paraId="267E9256">
      <w:pPr>
        <w:pStyle w:val="199"/>
        <w:framePr w:wrap="around"/>
      </w:pPr>
      <w:r>
        <w:t>T/</w:t>
      </w:r>
      <w:bookmarkStart w:id="5" w:name="文字1"/>
      <w:r>
        <w:rPr>
          <w:rFonts w:ascii="黑体" w:hAnsi="Times New Roman" w:eastAsia="黑体" w:cs="Times New Roman"/>
          <w:bCs/>
          <w:sz w:val="28"/>
          <w:szCs w:val="28"/>
          <w:lang w:val="en-US" w:eastAsia="zh-CN" w:bidi="ar-SA"/>
        </w:rPr>
        <w:fldChar w:fldCharType="begin">
          <w:ffData>
            <w:name w:val="文字1"/>
            <w:enabled/>
            <w:calcOnExit w:val="0"/>
            <w:textInput>
              <w:default w:val="CWDPA"/>
            </w:textInput>
          </w:ffData>
        </w:fldChar>
      </w:r>
      <w:r>
        <w:rPr>
          <w:rFonts w:ascii="黑体" w:hAnsi="Times New Roman" w:eastAsia="黑体" w:cs="Times New Roman"/>
          <w:bCs/>
          <w:sz w:val="28"/>
          <w:szCs w:val="28"/>
          <w:lang w:val="en-US" w:eastAsia="zh-CN" w:bidi="ar-SA"/>
        </w:rPr>
        <w:instrText xml:space="preserve">FORMTEXT</w:instrText>
      </w:r>
      <w:r>
        <w:rPr>
          <w:rFonts w:ascii="黑体" w:hAnsi="Times New Roman" w:eastAsia="黑体" w:cs="Times New Roman"/>
          <w:bCs/>
          <w:sz w:val="28"/>
          <w:szCs w:val="28"/>
          <w:lang w:val="en-US" w:eastAsia="zh-CN" w:bidi="ar-SA"/>
        </w:rPr>
        <w:fldChar w:fldCharType="separate"/>
      </w:r>
      <w:r>
        <w:rPr>
          <w:rFonts w:ascii="黑体" w:hAnsi="Times New Roman" w:eastAsia="黑体" w:cs="Times New Roman"/>
          <w:bCs/>
          <w:sz w:val="28"/>
          <w:szCs w:val="28"/>
          <w:lang w:val="en-US" w:eastAsia="zh-CN" w:bidi="ar-SA"/>
        </w:rPr>
        <w:t>CWDPA</w:t>
      </w:r>
      <w:r>
        <w:rPr>
          <w:rFonts w:ascii="黑体" w:hAnsi="Times New Roman" w:eastAsia="黑体" w:cs="Times New Roman"/>
          <w:bCs/>
          <w:sz w:val="28"/>
          <w:szCs w:val="28"/>
          <w:lang w:val="en-US" w:eastAsia="zh-CN" w:bidi="ar-SA"/>
        </w:rPr>
        <w:fldChar w:fldCharType="end"/>
      </w:r>
      <w:bookmarkEnd w:id="5"/>
      <w:r>
        <w:rPr>
          <w:rFonts w:hint="eastAsia"/>
        </w:rPr>
        <w:t xml:space="preserve"> </w:t>
      </w:r>
      <w:bookmarkStart w:id="6" w:name="NSTD_CODE_F"/>
      <w:r>
        <w:rPr>
          <w:rFonts w:hint="eastAsia" w:ascii="黑体" w:hAnsi="Times New Roman" w:eastAsia="黑体" w:cs="Times New Roman"/>
          <w:bCs/>
          <w:sz w:val="28"/>
          <w:szCs w:val="28"/>
          <w:lang w:val="en-US" w:eastAsia="zh-CN" w:bidi="ar-SA"/>
        </w:rPr>
        <w:fldChar w:fldCharType="begin">
          <w:ffData>
            <w:name w:val="NSTD_CODE_F"/>
            <w:enabled/>
            <w:calcOnExit w:val="0"/>
            <w:textInput/>
          </w:ffData>
        </w:fldChar>
      </w:r>
      <w:r>
        <w:rPr>
          <w:rFonts w:hint="eastAsia" w:ascii="黑体" w:hAnsi="Times New Roman" w:eastAsia="黑体" w:cs="Times New Roman"/>
          <w:bCs/>
          <w:sz w:val="28"/>
          <w:szCs w:val="28"/>
          <w:lang w:val="en-US" w:eastAsia="zh-CN" w:bidi="ar-SA"/>
        </w:rPr>
        <w:instrText xml:space="preserve">FORMTEXT</w:instrText>
      </w:r>
      <w:r>
        <w:rPr>
          <w:rFonts w:hint="eastAsia" w:ascii="黑体" w:hAnsi="Times New Roman" w:eastAsia="黑体" w:cs="Times New Roman"/>
          <w:bCs/>
          <w:sz w:val="28"/>
          <w:szCs w:val="28"/>
          <w:lang w:val="en-US" w:eastAsia="zh-CN" w:bidi="ar-SA"/>
        </w:rPr>
        <w:fldChar w:fldCharType="separate"/>
      </w:r>
      <w:r>
        <w:rPr>
          <w:rFonts w:hint="default" w:ascii="黑体" w:hAnsi="Times New Roman" w:eastAsia="黑体" w:cs="Times New Roman"/>
          <w:bCs/>
          <w:sz w:val="28"/>
          <w:szCs w:val="28"/>
          <w:lang w:val="en-US" w:eastAsia="zh-CN" w:bidi="ar-SA"/>
        </w:rPr>
        <w:t>     </w:t>
      </w:r>
      <w:r>
        <w:rPr>
          <w:rFonts w:hint="eastAsia" w:ascii="黑体" w:hAnsi="Times New Roman" w:eastAsia="黑体" w:cs="Times New Roman"/>
          <w:bCs/>
          <w:sz w:val="28"/>
          <w:szCs w:val="28"/>
          <w:lang w:val="en-US" w:eastAsia="zh-CN" w:bidi="ar-SA"/>
        </w:rPr>
        <w:fldChar w:fldCharType="end"/>
      </w:r>
      <w:bookmarkEnd w:id="6"/>
      <w:r>
        <w:rPr>
          <w:rFonts w:hAnsi="黑体"/>
        </w:rPr>
        <w:t>—</w:t>
      </w:r>
      <w:bookmarkStart w:id="7" w:name="NSTD_CODE_B"/>
      <w:r>
        <w:rPr>
          <w:rFonts w:ascii="黑体" w:hAnsi="Times New Roman" w:eastAsia="黑体" w:cs="Times New Roman"/>
          <w:bCs/>
          <w:sz w:val="28"/>
          <w:szCs w:val="28"/>
          <w:lang w:val="en-US" w:eastAsia="zh-CN" w:bidi="ar-SA"/>
        </w:rPr>
        <w:fldChar w:fldCharType="begin">
          <w:ffData>
            <w:name w:val="NSTD_CODE_B"/>
            <w:enabled/>
            <w:calcOnExit w:val="0"/>
            <w:textInput>
              <w:default w:val="2026"/>
            </w:textInput>
          </w:ffData>
        </w:fldChar>
      </w:r>
      <w:r>
        <w:rPr>
          <w:rFonts w:ascii="黑体" w:hAnsi="Times New Roman" w:eastAsia="黑体" w:cs="Times New Roman"/>
          <w:bCs/>
          <w:sz w:val="28"/>
          <w:szCs w:val="28"/>
          <w:lang w:val="en-US" w:eastAsia="zh-CN" w:bidi="ar-SA"/>
        </w:rPr>
        <w:instrText xml:space="preserve">FORMTEXT</w:instrText>
      </w:r>
      <w:r>
        <w:rPr>
          <w:rFonts w:ascii="黑体" w:hAnsi="Times New Roman" w:eastAsia="黑体" w:cs="Times New Roman"/>
          <w:bCs/>
          <w:sz w:val="28"/>
          <w:szCs w:val="28"/>
          <w:lang w:val="en-US" w:eastAsia="zh-CN" w:bidi="ar-SA"/>
        </w:rPr>
        <w:fldChar w:fldCharType="separate"/>
      </w:r>
      <w:r>
        <w:rPr>
          <w:rFonts w:ascii="黑体" w:hAnsi="Times New Roman" w:eastAsia="黑体" w:cs="Times New Roman"/>
          <w:bCs/>
          <w:sz w:val="28"/>
          <w:szCs w:val="28"/>
          <w:lang w:val="en-US" w:eastAsia="zh-CN" w:bidi="ar-SA"/>
        </w:rPr>
        <w:t>2026</w:t>
      </w:r>
      <w:r>
        <w:rPr>
          <w:rFonts w:ascii="黑体" w:hAnsi="Times New Roman" w:eastAsia="黑体" w:cs="Times New Roman"/>
          <w:bCs/>
          <w:sz w:val="28"/>
          <w:szCs w:val="28"/>
          <w:lang w:val="en-US" w:eastAsia="zh-CN" w:bidi="ar-SA"/>
        </w:rPr>
        <w:fldChar w:fldCharType="end"/>
      </w:r>
      <w:bookmarkEnd w:id="7"/>
    </w:p>
    <w:p w14:paraId="6979B3A8">
      <w:pPr>
        <w:pStyle w:val="200"/>
        <w:framePr w:wrap="around"/>
        <w:rPr>
          <w:rFonts w:hAnsi="黑体"/>
        </w:rPr>
      </w:pPr>
    </w:p>
    <w:p w14:paraId="4B245F40">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eD&#10;SZbYAAAADAEAAA8AAAAAAAAAAQAgAAAAIgAAAGRycy9kb3ducmV2LnhtbFBLAQIUABQAAAAIAIdO&#10;4kDurh1R6gEAALoDAAAOAAAAAAAAAAEAIAAAACcBAABkcnMvZTJvRG9jLnhtbFBLBQYAAAAABgAG&#10;AFkBAACDBQAAAAA=&#10;">
                <v:fill on="f" focussize="0,0"/>
                <v:stroke color="#000000" joinstyle="round"/>
                <v:imagedata o:title=""/>
                <o:lock v:ext="edit" aspectratio="f"/>
              </v:line>
            </w:pict>
          </mc:Fallback>
        </mc:AlternateContent>
      </w:r>
    </w:p>
    <w:p w14:paraId="13A8650C">
      <w:pPr>
        <w:pStyle w:val="54"/>
        <w:framePr w:w="9639" w:h="6976" w:hRule="exact" w:hSpace="0" w:vSpace="0" w:wrap="around" w:hAnchor="page" w:y="6408"/>
        <w:jc w:val="center"/>
        <w:rPr>
          <w:rFonts w:ascii="黑体" w:hAnsi="黑体" w:eastAsia="黑体"/>
          <w:b w:val="0"/>
          <w:bCs w:val="0"/>
          <w:w w:val="100"/>
        </w:rPr>
      </w:pPr>
    </w:p>
    <w:p w14:paraId="29341E66">
      <w:pPr>
        <w:pStyle w:val="201"/>
        <w:framePr w:h="6974" w:hRule="exact" w:wrap="around" w:x="1419" w:anchorLock="1"/>
      </w:pPr>
      <w:bookmarkStart w:id="8" w:name="CSTD_NAME"/>
      <w:r>
        <w:rPr>
          <w:rFonts w:hint="eastAsia" w:ascii="黑体" w:hAnsi="黑体" w:eastAsia="黑体" w:cs="Times New Roman"/>
          <w:bCs/>
          <w:sz w:val="52"/>
          <w:lang w:val="en-US" w:eastAsia="zh-CN" w:bidi="ar-SA"/>
        </w:rPr>
        <w:fldChar w:fldCharType="begin">
          <w:ffData>
            <w:name w:val="CSTD_NAME"/>
            <w:enabled/>
            <w:calcOnExit w:val="0"/>
            <w:textInput>
              <w:default w:val="火电厂循环冷却水智能化分级指南"/>
            </w:textInput>
          </w:ffData>
        </w:fldChar>
      </w:r>
      <w:r>
        <w:rPr>
          <w:rFonts w:hint="eastAsia" w:ascii="黑体" w:hAnsi="黑体" w:eastAsia="黑体" w:cs="Times New Roman"/>
          <w:bCs/>
          <w:sz w:val="52"/>
          <w:lang w:val="en-US" w:eastAsia="zh-CN" w:bidi="ar-SA"/>
        </w:rPr>
        <w:instrText xml:space="preserve">FORMTEXT</w:instrText>
      </w:r>
      <w:r>
        <w:rPr>
          <w:rFonts w:hint="eastAsia" w:ascii="黑体" w:hAnsi="黑体" w:eastAsia="黑体" w:cs="Times New Roman"/>
          <w:bCs/>
          <w:sz w:val="52"/>
          <w:lang w:val="en-US" w:eastAsia="zh-CN" w:bidi="ar-SA"/>
        </w:rPr>
        <w:fldChar w:fldCharType="separate"/>
      </w:r>
      <w:r>
        <w:rPr>
          <w:rFonts w:hint="eastAsia" w:ascii="黑体" w:hAnsi="黑体" w:eastAsia="黑体" w:cs="Times New Roman"/>
          <w:bCs/>
          <w:sz w:val="52"/>
          <w:lang w:val="en-US" w:eastAsia="zh-CN" w:bidi="ar-SA"/>
        </w:rPr>
        <w:t>火电厂循环冷却水智能化分级指南</w:t>
      </w:r>
      <w:r>
        <w:rPr>
          <w:rFonts w:hint="eastAsia" w:ascii="黑体" w:hAnsi="黑体" w:eastAsia="黑体" w:cs="Times New Roman"/>
          <w:bCs/>
          <w:sz w:val="52"/>
          <w:lang w:val="en-US" w:eastAsia="zh-CN" w:bidi="ar-SA"/>
        </w:rPr>
        <w:fldChar w:fldCharType="end"/>
      </w:r>
      <w:bookmarkEnd w:id="8"/>
    </w:p>
    <w:p w14:paraId="17187E7D">
      <w:pPr>
        <w:framePr w:w="9639" w:h="6974" w:hRule="exact" w:wrap="around" w:vAnchor="page" w:hAnchor="page" w:x="1419" w:y="6408" w:anchorLock="1"/>
        <w:ind w:left="-1418"/>
      </w:pPr>
    </w:p>
    <w:p w14:paraId="453C1EDF">
      <w:pPr>
        <w:pStyle w:val="129"/>
        <w:framePr w:w="9639" w:h="6974" w:hRule="exact" w:wrap="around" w:vAnchor="page" w:hAnchor="page" w:x="1419" w:y="6408" w:anchorLock="1"/>
        <w:textAlignment w:val="bottom"/>
        <w:rPr>
          <w:rFonts w:eastAsia="黑体"/>
          <w:szCs w:val="28"/>
        </w:rPr>
      </w:pPr>
      <w:bookmarkStart w:id="9" w:name="ESTD_NAME"/>
      <w:r>
        <w:rPr>
          <w:rFonts w:hint="eastAsia" w:ascii="Times New Roman" w:hAnsi="Times New Roman" w:eastAsia="黑体" w:cs="Times New Roman"/>
          <w:sz w:val="28"/>
          <w:szCs w:val="28"/>
          <w:lang w:val="en-US" w:eastAsia="zh-CN" w:bidi="ar-SA"/>
        </w:rPr>
        <w:fldChar w:fldCharType="begin">
          <w:ffData>
            <w:name w:val="ESTD_NAME"/>
            <w:enabled/>
            <w:calcOnExit w:val="0"/>
            <w:textInput>
              <w:default w:val="Guide for intelligent grading of circulating cooling water in thermal power plants"/>
            </w:textInput>
          </w:ffData>
        </w:fldChar>
      </w:r>
      <w:r>
        <w:rPr>
          <w:rFonts w:hint="eastAsia" w:ascii="Times New Roman" w:hAnsi="Times New Roman" w:eastAsia="黑体" w:cs="Times New Roman"/>
          <w:sz w:val="28"/>
          <w:szCs w:val="28"/>
          <w:lang w:val="en-US" w:eastAsia="zh-CN" w:bidi="ar-SA"/>
        </w:rPr>
        <w:instrText xml:space="preserve">FORMTEXT</w:instrText>
      </w:r>
      <w:r>
        <w:rPr>
          <w:rFonts w:hint="eastAsia" w:ascii="Times New Roman" w:hAnsi="Times New Roman" w:eastAsia="黑体" w:cs="Times New Roman"/>
          <w:sz w:val="28"/>
          <w:szCs w:val="28"/>
          <w:lang w:val="en-US" w:eastAsia="zh-CN" w:bidi="ar-SA"/>
        </w:rPr>
        <w:fldChar w:fldCharType="separate"/>
      </w:r>
      <w:r>
        <w:rPr>
          <w:rFonts w:hint="eastAsia" w:ascii="Times New Roman" w:hAnsi="Times New Roman" w:eastAsia="黑体" w:cs="Times New Roman"/>
          <w:sz w:val="28"/>
          <w:szCs w:val="28"/>
          <w:lang w:val="en-US" w:eastAsia="zh-CN" w:bidi="ar-SA"/>
        </w:rPr>
        <w:t>Guide for intelligent grading of circulating cooling water in thermal power plants</w:t>
      </w:r>
      <w:r>
        <w:rPr>
          <w:rFonts w:hint="eastAsia" w:ascii="Times New Roman" w:hAnsi="Times New Roman" w:eastAsia="黑体" w:cs="Times New Roman"/>
          <w:sz w:val="28"/>
          <w:szCs w:val="28"/>
          <w:lang w:val="en-US" w:eastAsia="zh-CN" w:bidi="ar-SA"/>
        </w:rPr>
        <w:fldChar w:fldCharType="end"/>
      </w:r>
      <w:bookmarkEnd w:id="9"/>
    </w:p>
    <w:p w14:paraId="6FFBEBC3">
      <w:pPr>
        <w:framePr w:w="9639" w:h="6974" w:hRule="exact" w:wrap="around" w:vAnchor="page" w:hAnchor="page" w:x="1419" w:y="6408" w:anchorLock="1"/>
        <w:spacing w:line="760" w:lineRule="exact"/>
        <w:ind w:left="-1418"/>
      </w:pPr>
    </w:p>
    <w:p w14:paraId="3806F345">
      <w:pPr>
        <w:pStyle w:val="129"/>
        <w:framePr w:w="9639" w:h="6974" w:hRule="exact" w:wrap="around" w:vAnchor="page" w:hAnchor="page" w:x="1419" w:y="6408" w:anchorLock="1"/>
        <w:textAlignment w:val="bottom"/>
        <w:rPr>
          <w:rFonts w:eastAsia="黑体"/>
          <w:szCs w:val="28"/>
        </w:rPr>
      </w:pPr>
    </w:p>
    <w:p w14:paraId="07ADEB26">
      <w:pPr>
        <w:pStyle w:val="129"/>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listEntry w:val=" "/>
              <w:listEntry w:val="草案版次选择"/>
              <w:listEntry w:val="（工作组讨论稿）"/>
              <w:listEntry w:val="（征求意见稿）"/>
              <w:listEntry w:val="（送审讨论稿）"/>
              <w:listEntry w:val="（送审稿）"/>
              <w:listEntry w:val="（报批稿）"/>
            </w:ddList>
          </w:ffData>
        </w:fldChar>
      </w:r>
      <w:bookmarkStart w:id="10" w:name="下拉1"/>
      <w:r>
        <w:rPr>
          <w:sz w:val="24"/>
          <w:szCs w:val="28"/>
        </w:rPr>
        <w:instrText xml:space="preserve"> FORMDROPDOWN </w:instrText>
      </w:r>
      <w:r>
        <w:rPr>
          <w:sz w:val="24"/>
          <w:szCs w:val="28"/>
        </w:rPr>
        <w:fldChar w:fldCharType="separate"/>
      </w:r>
      <w:r>
        <w:rPr>
          <w:sz w:val="24"/>
          <w:szCs w:val="28"/>
        </w:rPr>
        <w:fldChar w:fldCharType="end"/>
      </w:r>
      <w:bookmarkEnd w:id="10"/>
    </w:p>
    <w:p w14:paraId="45BED3F1">
      <w:pPr>
        <w:pStyle w:val="129"/>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1" w:name="下拉2"/>
      <w:r>
        <w:rPr>
          <w:b/>
          <w:sz w:val="21"/>
          <w:szCs w:val="28"/>
        </w:rPr>
        <w:instrText xml:space="preserve"> FORMDROPDOWN </w:instrText>
      </w:r>
      <w:r>
        <w:rPr>
          <w:b/>
          <w:sz w:val="21"/>
          <w:szCs w:val="28"/>
        </w:rPr>
        <w:fldChar w:fldCharType="separate"/>
      </w:r>
      <w:r>
        <w:rPr>
          <w:b/>
          <w:sz w:val="21"/>
          <w:szCs w:val="28"/>
        </w:rPr>
        <w:fldChar w:fldCharType="end"/>
      </w:r>
      <w:bookmarkEnd w:id="11"/>
    </w:p>
    <w:p w14:paraId="003405A8">
      <w:pPr>
        <w:pStyle w:val="197"/>
        <w:framePr w:wrap="around" w:y="14176"/>
      </w:pPr>
      <w:bookmarkStart w:id="12" w:name="PLSH_DATE_Y"/>
      <w:r>
        <w:rPr>
          <w:rFonts w:ascii="黑体" w:hAnsi="Times New Roman" w:eastAsia="黑体" w:cs="Times New Roman"/>
          <w:sz w:val="28"/>
          <w:lang w:val="en-US" w:eastAsia="zh-CN" w:bidi="ar-SA"/>
        </w:rPr>
        <w:fldChar w:fldCharType="begin">
          <w:ffData>
            <w:name w:val="PLSH_DATE_Y"/>
            <w:enabled/>
            <w:calcOnExit w:val="0"/>
            <w:textInput>
              <w:default w:val="2026"/>
              <w:maxLength w:val="4"/>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2026</w:t>
      </w:r>
      <w:r>
        <w:rPr>
          <w:rFonts w:ascii="黑体" w:hAnsi="Times New Roman" w:eastAsia="黑体" w:cs="Times New Roman"/>
          <w:sz w:val="28"/>
          <w:lang w:val="en-US" w:eastAsia="zh-CN" w:bidi="ar-SA"/>
        </w:rPr>
        <w:fldChar w:fldCharType="end"/>
      </w:r>
      <w:bookmarkEnd w:id="12"/>
      <w:r>
        <w:rPr>
          <w:rFonts w:ascii="黑体"/>
        </w:rPr>
        <w:t>-</w:t>
      </w:r>
      <w:bookmarkStart w:id="13" w:name="PLSH_DATE_M"/>
      <w:r>
        <w:rPr>
          <w:rFonts w:ascii="黑体" w:hAnsi="Times New Roman" w:eastAsia="黑体" w:cs="Times New Roman"/>
          <w:sz w:val="28"/>
          <w:lang w:val="en-US" w:eastAsia="zh-CN" w:bidi="ar-SA"/>
        </w:rPr>
        <w:fldChar w:fldCharType="begin">
          <w:ffData>
            <w:name w:val="PLSH_DATE_M"/>
            <w:enabled/>
            <w:calcOnExit w:val="0"/>
            <w:textInput>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  </w:t>
      </w:r>
      <w:r>
        <w:rPr>
          <w:rFonts w:ascii="黑体" w:hAnsi="Times New Roman" w:eastAsia="黑体" w:cs="Times New Roman"/>
          <w:sz w:val="28"/>
          <w:lang w:val="en-US" w:eastAsia="zh-CN" w:bidi="ar-SA"/>
        </w:rPr>
        <w:fldChar w:fldCharType="end"/>
      </w:r>
      <w:bookmarkEnd w:id="13"/>
      <w:r>
        <w:rPr>
          <w:rFonts w:ascii="黑体"/>
        </w:rPr>
        <w:t>-</w:t>
      </w:r>
      <w:bookmarkStart w:id="14" w:name="PLSH_DATE_D"/>
      <w:r>
        <w:rPr>
          <w:rFonts w:ascii="黑体" w:hAnsi="Times New Roman" w:eastAsia="黑体" w:cs="Times New Roman"/>
          <w:sz w:val="28"/>
          <w:lang w:val="en-US" w:eastAsia="zh-CN" w:bidi="ar-SA"/>
        </w:rPr>
        <w:fldChar w:fldCharType="begin">
          <w:ffData>
            <w:name w:val="PLSH_DATE_D"/>
            <w:enabled/>
            <w:calcOnExit w:val="0"/>
            <w:textInput>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  </w:t>
      </w:r>
      <w:r>
        <w:rPr>
          <w:rFonts w:ascii="黑体" w:hAnsi="Times New Roman" w:eastAsia="黑体" w:cs="Times New Roman"/>
          <w:sz w:val="28"/>
          <w:lang w:val="en-US" w:eastAsia="zh-CN" w:bidi="ar-SA"/>
        </w:rPr>
        <w:fldChar w:fldCharType="end"/>
      </w:r>
      <w:bookmarkEnd w:id="14"/>
      <w:r>
        <w:rPr>
          <w:rFonts w:hint="eastAsia"/>
        </w:rPr>
        <w:t>发布</w:t>
      </w:r>
    </w:p>
    <w:p w14:paraId="303CA46D">
      <w:pPr>
        <w:pStyle w:val="198"/>
        <w:framePr w:wrap="around" w:y="14176"/>
      </w:pPr>
      <w:bookmarkStart w:id="15" w:name="CROT_DATE_Y"/>
      <w:r>
        <w:rPr>
          <w:rFonts w:ascii="黑体" w:hAnsi="Times New Roman" w:eastAsia="黑体" w:cs="Times New Roman"/>
          <w:sz w:val="28"/>
          <w:lang w:val="en-US" w:eastAsia="zh-CN" w:bidi="ar-SA"/>
        </w:rPr>
        <w:fldChar w:fldCharType="begin">
          <w:ffData>
            <w:name w:val="CROT_DATE_Y"/>
            <w:enabled/>
            <w:calcOnExit w:val="0"/>
            <w:textInput>
              <w:default w:val="2026"/>
              <w:maxLength w:val="4"/>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2026</w:t>
      </w:r>
      <w:r>
        <w:rPr>
          <w:rFonts w:ascii="黑体" w:hAnsi="Times New Roman" w:eastAsia="黑体" w:cs="Times New Roman"/>
          <w:sz w:val="28"/>
          <w:lang w:val="en-US" w:eastAsia="zh-CN" w:bidi="ar-SA"/>
        </w:rPr>
        <w:fldChar w:fldCharType="end"/>
      </w:r>
      <w:bookmarkEnd w:id="15"/>
      <w:r>
        <w:rPr>
          <w:rFonts w:ascii="黑体"/>
        </w:rPr>
        <w:t>-</w:t>
      </w:r>
      <w:bookmarkStart w:id="16" w:name="CROT_DATE_M"/>
      <w:r>
        <w:rPr>
          <w:rFonts w:ascii="黑体" w:hAnsi="Times New Roman" w:eastAsia="黑体" w:cs="Times New Roman"/>
          <w:sz w:val="28"/>
          <w:lang w:val="en-US" w:eastAsia="zh-CN" w:bidi="ar-SA"/>
        </w:rPr>
        <w:fldChar w:fldCharType="begin">
          <w:ffData>
            <w:name w:val="CROT_DATE_M"/>
            <w:enabled/>
            <w:calcOnExit w:val="0"/>
            <w:textInput>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  </w:t>
      </w:r>
      <w:r>
        <w:rPr>
          <w:rFonts w:ascii="黑体" w:hAnsi="Times New Roman" w:eastAsia="黑体" w:cs="Times New Roman"/>
          <w:sz w:val="28"/>
          <w:lang w:val="en-US" w:eastAsia="zh-CN" w:bidi="ar-SA"/>
        </w:rPr>
        <w:fldChar w:fldCharType="end"/>
      </w:r>
      <w:bookmarkEnd w:id="16"/>
      <w:r>
        <w:rPr>
          <w:rFonts w:ascii="黑体"/>
        </w:rPr>
        <w:t>-</w:t>
      </w:r>
      <w:bookmarkStart w:id="17" w:name="CROT_DATE_D"/>
      <w:r>
        <w:rPr>
          <w:rFonts w:ascii="黑体" w:hAnsi="Times New Roman" w:eastAsia="黑体" w:cs="Times New Roman"/>
          <w:sz w:val="28"/>
          <w:lang w:val="en-US" w:eastAsia="zh-CN" w:bidi="ar-SA"/>
        </w:rPr>
        <w:fldChar w:fldCharType="begin">
          <w:ffData>
            <w:name w:val="CROT_DATE_D"/>
            <w:enabled/>
            <w:calcOnExit w:val="0"/>
            <w:textInput>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  </w:t>
      </w:r>
      <w:r>
        <w:rPr>
          <w:rFonts w:ascii="黑体" w:hAnsi="Times New Roman" w:eastAsia="黑体" w:cs="Times New Roman"/>
          <w:sz w:val="28"/>
          <w:lang w:val="en-US" w:eastAsia="zh-CN" w:bidi="ar-SA"/>
        </w:rPr>
        <w:fldChar w:fldCharType="end"/>
      </w:r>
      <w:bookmarkEnd w:id="17"/>
      <w:r>
        <w:rPr>
          <w:rFonts w:hint="eastAsia"/>
        </w:rPr>
        <w:t>实施</w:t>
      </w:r>
    </w:p>
    <w:p w14:paraId="3F57129E">
      <w:pPr>
        <w:pStyle w:val="155"/>
        <w:framePr w:h="584" w:hRule="exact" w:hSpace="181" w:vSpace="181" w:wrap="around" w:vAnchor="page" w:y="14727"/>
        <w:rPr>
          <w:rFonts w:hAnsi="黑体"/>
        </w:rPr>
      </w:pPr>
      <w:bookmarkStart w:id="18" w:name="fm"/>
      <w:r>
        <w:rPr>
          <w:rFonts w:ascii="黑体" w:hAnsi="黑体" w:eastAsia="黑体" w:cs="Times New Roman"/>
          <w:b w:val="0"/>
          <w:w w:val="100"/>
          <w:sz w:val="28"/>
          <w:lang w:val="en-US" w:eastAsia="zh-CN" w:bidi="ar-SA"/>
        </w:rPr>
        <w:fldChar w:fldCharType="begin">
          <w:ffData>
            <w:name w:val="fm"/>
            <w:enabled/>
            <w:calcOnExit w:val="0"/>
            <w:textInput>
              <w:default w:val="中国西部开发促进会"/>
            </w:textInput>
          </w:ffData>
        </w:fldChar>
      </w:r>
      <w:r>
        <w:rPr>
          <w:rFonts w:ascii="黑体" w:hAnsi="黑体" w:eastAsia="黑体" w:cs="Times New Roman"/>
          <w:b w:val="0"/>
          <w:w w:val="100"/>
          <w:sz w:val="28"/>
          <w:lang w:val="en-US" w:eastAsia="zh-CN" w:bidi="ar-SA"/>
        </w:rPr>
        <w:instrText xml:space="preserve">FORMTEXT</w:instrText>
      </w:r>
      <w:r>
        <w:rPr>
          <w:rFonts w:ascii="黑体" w:hAnsi="黑体" w:eastAsia="黑体" w:cs="Times New Roman"/>
          <w:b w:val="0"/>
          <w:w w:val="100"/>
          <w:sz w:val="28"/>
          <w:lang w:val="en-US" w:eastAsia="zh-CN" w:bidi="ar-SA"/>
        </w:rPr>
        <w:fldChar w:fldCharType="separate"/>
      </w:r>
      <w:r>
        <w:rPr>
          <w:rFonts w:ascii="黑体" w:hAnsi="黑体" w:eastAsia="黑体" w:cs="Times New Roman"/>
          <w:b w:val="0"/>
          <w:w w:val="100"/>
          <w:sz w:val="28"/>
          <w:lang w:val="en-US" w:eastAsia="zh-CN" w:bidi="ar-SA"/>
        </w:rPr>
        <w:t>中国西部开发促进会</w:t>
      </w:r>
      <w:r>
        <w:rPr>
          <w:rFonts w:ascii="黑体" w:hAnsi="黑体" w:eastAsia="黑体" w:cs="Times New Roman"/>
          <w:b w:val="0"/>
          <w:w w:val="100"/>
          <w:sz w:val="28"/>
          <w:lang w:val="en-US" w:eastAsia="zh-CN" w:bidi="ar-SA"/>
        </w:rPr>
        <w:fldChar w:fldCharType="end"/>
      </w:r>
      <w:bookmarkEnd w:id="18"/>
      <w:r>
        <w:rPr>
          <w:rFonts w:ascii="Times New Roman"/>
          <w:w w:val="100"/>
          <w:sz w:val="28"/>
        </w:rPr>
        <w:t>  </w:t>
      </w:r>
      <w:r>
        <w:rPr>
          <w:rStyle w:val="233"/>
          <w:rFonts w:hint="eastAsia" w:hAnsi="黑体"/>
          <w:position w:val="0"/>
        </w:rPr>
        <w:t>发</w:t>
      </w:r>
      <w:r>
        <w:rPr>
          <w:rStyle w:val="233"/>
          <w:rFonts w:hint="eastAsia" w:hAnsi="黑体"/>
          <w:spacing w:val="0"/>
          <w:position w:val="0"/>
        </w:rPr>
        <w:t>布</w:t>
      </w:r>
    </w:p>
    <w:p w14:paraId="0CA260E6">
      <w:pPr>
        <w:rPr>
          <w:rFonts w:ascii="宋体" w:hAnsi="宋体"/>
          <w:sz w:val="28"/>
          <w:szCs w:val="28"/>
        </w:rPr>
        <w:sectPr>
          <w:headerReference r:id="rId6" w:type="first"/>
          <w:footerReference r:id="rId9" w:type="first"/>
          <w:headerReference r:id="rId5" w:type="default"/>
          <w:footerReference r:id="rId7" w:type="default"/>
          <w:footerReference r:id="rId8" w:type="even"/>
          <w:type w:val="continuous"/>
          <w:pgSz w:w="11906" w:h="16838"/>
          <w:pgMar w:top="567" w:right="1134" w:bottom="1134" w:left="1417" w:header="1418" w:footer="1134" w:gutter="283"/>
          <w:pgNumType w:fmt="upperRoman"/>
          <w:cols w:space="0" w:num="1"/>
          <w:docGrid w:linePitch="312" w:charSpace="0"/>
        </w:sectPr>
      </w:pPr>
      <w:bookmarkStart w:id="158" w:name="_GoBack"/>
      <w:bookmarkEnd w:id="158"/>
      <w:r>
        <w:rPr>
          <w:rFonts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p w14:paraId="2AB41B15">
      <w:pPr>
        <w:pStyle w:val="95"/>
        <w:spacing w:before="850" w:after="680" w:afterLines="0"/>
        <w:rPr>
          <w:rFonts w:hint="eastAsia"/>
          <w:spacing w:val="320"/>
        </w:rPr>
      </w:pPr>
      <w:bookmarkStart w:id="19" w:name="BookMark1"/>
      <w:bookmarkStart w:id="20" w:name="_Toc150158766"/>
      <w:bookmarkStart w:id="21" w:name="_Toc148612844"/>
      <w:bookmarkStart w:id="22" w:name="_Toc150158739"/>
      <w:r>
        <w:rPr>
          <w:rFonts w:hint="eastAsia"/>
          <w:spacing w:val="320"/>
        </w:rPr>
        <w:t>目次</w:t>
      </w:r>
    </w:p>
    <w:p w14:paraId="20878851">
      <w:pPr>
        <w:pStyle w:val="20"/>
        <w:tabs>
          <w:tab w:val="right" w:leader="dot" w:pos="9355"/>
        </w:tabs>
      </w:pPr>
      <w:r>
        <w:fldChar w:fldCharType="begin"/>
      </w:r>
      <w:r>
        <w:instrText xml:space="preserve"> TOC \o "1-1" \h \t "标准文件_一级条标题,2,标准文件_附录一级条标题,2," </w:instrText>
      </w:r>
      <w:r>
        <w:fldChar w:fldCharType="separate"/>
      </w:r>
      <w:r>
        <w:fldChar w:fldCharType="begin"/>
      </w:r>
      <w:r>
        <w:instrText xml:space="preserve"> HYPERLINK \l _Toc23596 </w:instrText>
      </w:r>
      <w:r>
        <w:fldChar w:fldCharType="separate"/>
      </w:r>
      <w:r>
        <w:rPr>
          <w:rFonts w:hint="eastAsia"/>
          <w:spacing w:val="320"/>
        </w:rPr>
        <w:t>前言</w:t>
      </w:r>
      <w:r>
        <w:tab/>
      </w:r>
      <w:r>
        <w:fldChar w:fldCharType="begin"/>
      </w:r>
      <w:r>
        <w:instrText xml:space="preserve"> PAGEREF _Toc23596 \h </w:instrText>
      </w:r>
      <w:r>
        <w:fldChar w:fldCharType="separate"/>
      </w:r>
      <w:r>
        <w:t>II</w:t>
      </w:r>
      <w:r>
        <w:fldChar w:fldCharType="end"/>
      </w:r>
      <w:r>
        <w:fldChar w:fldCharType="end"/>
      </w:r>
    </w:p>
    <w:p w14:paraId="44E9DDB0">
      <w:pPr>
        <w:pStyle w:val="20"/>
        <w:tabs>
          <w:tab w:val="right" w:leader="dot" w:pos="9355"/>
        </w:tabs>
      </w:pPr>
      <w:r>
        <w:fldChar w:fldCharType="begin"/>
      </w:r>
      <w:r>
        <w:instrText xml:space="preserve"> HYPERLINK \l _Toc23046 </w:instrText>
      </w:r>
      <w:r>
        <w:fldChar w:fldCharType="separate"/>
      </w:r>
      <w:r>
        <w:rPr>
          <w:rFonts w:hint="eastAsia" w:ascii="黑体" w:eastAsia="黑体"/>
          <w:i w:val="0"/>
        </w:rPr>
        <w:t xml:space="preserve">1 </w:t>
      </w:r>
      <w:r>
        <w:rPr>
          <w:rFonts w:hint="eastAsia"/>
        </w:rPr>
        <w:t>范围</w:t>
      </w:r>
      <w:r>
        <w:tab/>
      </w:r>
      <w:r>
        <w:fldChar w:fldCharType="begin"/>
      </w:r>
      <w:r>
        <w:instrText xml:space="preserve"> PAGEREF _Toc23046 \h </w:instrText>
      </w:r>
      <w:r>
        <w:fldChar w:fldCharType="separate"/>
      </w:r>
      <w:r>
        <w:t>1</w:t>
      </w:r>
      <w:r>
        <w:fldChar w:fldCharType="end"/>
      </w:r>
      <w:r>
        <w:fldChar w:fldCharType="end"/>
      </w:r>
    </w:p>
    <w:p w14:paraId="121DC1AC">
      <w:pPr>
        <w:pStyle w:val="20"/>
        <w:tabs>
          <w:tab w:val="right" w:leader="dot" w:pos="9355"/>
        </w:tabs>
      </w:pPr>
      <w:r>
        <w:fldChar w:fldCharType="begin"/>
      </w:r>
      <w:r>
        <w:instrText xml:space="preserve"> HYPERLINK \l _Toc25867 </w:instrText>
      </w:r>
      <w:r>
        <w:fldChar w:fldCharType="separate"/>
      </w:r>
      <w:r>
        <w:rPr>
          <w:rFonts w:hint="eastAsia" w:ascii="黑体" w:eastAsia="黑体"/>
          <w:i w:val="0"/>
        </w:rPr>
        <w:t xml:space="preserve">2 </w:t>
      </w:r>
      <w:r>
        <w:rPr>
          <w:rFonts w:hint="eastAsia"/>
        </w:rPr>
        <w:t>规范性引用文件</w:t>
      </w:r>
      <w:r>
        <w:tab/>
      </w:r>
      <w:r>
        <w:fldChar w:fldCharType="begin"/>
      </w:r>
      <w:r>
        <w:instrText xml:space="preserve"> PAGEREF _Toc25867 \h </w:instrText>
      </w:r>
      <w:r>
        <w:fldChar w:fldCharType="separate"/>
      </w:r>
      <w:r>
        <w:t>1</w:t>
      </w:r>
      <w:r>
        <w:fldChar w:fldCharType="end"/>
      </w:r>
      <w:r>
        <w:fldChar w:fldCharType="end"/>
      </w:r>
    </w:p>
    <w:p w14:paraId="60761072">
      <w:pPr>
        <w:pStyle w:val="20"/>
        <w:tabs>
          <w:tab w:val="right" w:leader="dot" w:pos="9355"/>
        </w:tabs>
      </w:pPr>
      <w:r>
        <w:fldChar w:fldCharType="begin"/>
      </w:r>
      <w:r>
        <w:instrText xml:space="preserve"> HYPERLINK \l _Toc25008 </w:instrText>
      </w:r>
      <w:r>
        <w:fldChar w:fldCharType="separate"/>
      </w:r>
      <w:r>
        <w:rPr>
          <w:rFonts w:hint="eastAsia" w:ascii="黑体" w:eastAsia="黑体"/>
          <w:i w:val="0"/>
        </w:rPr>
        <w:t xml:space="preserve">3 </w:t>
      </w:r>
      <w:r>
        <w:rPr>
          <w:rFonts w:hint="eastAsia"/>
        </w:rPr>
        <w:t>术语和定义</w:t>
      </w:r>
      <w:r>
        <w:tab/>
      </w:r>
      <w:r>
        <w:fldChar w:fldCharType="begin"/>
      </w:r>
      <w:r>
        <w:instrText xml:space="preserve"> PAGEREF _Toc25008 \h </w:instrText>
      </w:r>
      <w:r>
        <w:fldChar w:fldCharType="separate"/>
      </w:r>
      <w:r>
        <w:t>1</w:t>
      </w:r>
      <w:r>
        <w:fldChar w:fldCharType="end"/>
      </w:r>
      <w:r>
        <w:fldChar w:fldCharType="end"/>
      </w:r>
    </w:p>
    <w:p w14:paraId="2CC59810">
      <w:pPr>
        <w:pStyle w:val="20"/>
        <w:tabs>
          <w:tab w:val="right" w:leader="dot" w:pos="9355"/>
        </w:tabs>
      </w:pPr>
      <w:r>
        <w:fldChar w:fldCharType="begin"/>
      </w:r>
      <w:r>
        <w:instrText xml:space="preserve"> HYPERLINK \l _Toc4546 </w:instrText>
      </w:r>
      <w:r>
        <w:fldChar w:fldCharType="separate"/>
      </w:r>
      <w:r>
        <w:rPr>
          <w:rFonts w:hint="eastAsia" w:ascii="黑体" w:eastAsia="黑体"/>
          <w:i w:val="0"/>
        </w:rPr>
        <w:t xml:space="preserve">4 </w:t>
      </w:r>
      <w:r>
        <w:rPr>
          <w:rFonts w:hint="eastAsia"/>
        </w:rPr>
        <w:t>总体架构与分级原则</w:t>
      </w:r>
      <w:r>
        <w:tab/>
      </w:r>
      <w:r>
        <w:fldChar w:fldCharType="begin"/>
      </w:r>
      <w:r>
        <w:instrText xml:space="preserve"> PAGEREF _Toc4546 \h </w:instrText>
      </w:r>
      <w:r>
        <w:fldChar w:fldCharType="separate"/>
      </w:r>
      <w:r>
        <w:t>2</w:t>
      </w:r>
      <w:r>
        <w:fldChar w:fldCharType="end"/>
      </w:r>
      <w:r>
        <w:fldChar w:fldCharType="end"/>
      </w:r>
    </w:p>
    <w:p w14:paraId="0429F1BD">
      <w:pPr>
        <w:pStyle w:val="25"/>
        <w:tabs>
          <w:tab w:val="right" w:leader="dot" w:pos="9355"/>
          <w:tab w:val="clear" w:pos="9344"/>
        </w:tabs>
      </w:pPr>
      <w:r>
        <w:fldChar w:fldCharType="begin"/>
      </w:r>
      <w:r>
        <w:instrText xml:space="preserve"> HYPERLINK \l _Toc7889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4.1 </w:t>
      </w:r>
      <w:r>
        <w:rPr>
          <w:rFonts w:hint="eastAsia"/>
        </w:rPr>
        <w:t>总体架构</w:t>
      </w:r>
      <w:r>
        <w:tab/>
      </w:r>
      <w:r>
        <w:fldChar w:fldCharType="begin"/>
      </w:r>
      <w:r>
        <w:instrText xml:space="preserve"> PAGEREF _Toc7889 \h </w:instrText>
      </w:r>
      <w:r>
        <w:fldChar w:fldCharType="separate"/>
      </w:r>
      <w:r>
        <w:t>2</w:t>
      </w:r>
      <w:r>
        <w:fldChar w:fldCharType="end"/>
      </w:r>
      <w:r>
        <w:fldChar w:fldCharType="end"/>
      </w:r>
    </w:p>
    <w:p w14:paraId="396347A7">
      <w:pPr>
        <w:pStyle w:val="25"/>
        <w:tabs>
          <w:tab w:val="right" w:leader="dot" w:pos="9355"/>
          <w:tab w:val="clear" w:pos="9344"/>
        </w:tabs>
      </w:pPr>
      <w:r>
        <w:fldChar w:fldCharType="begin"/>
      </w:r>
      <w:r>
        <w:instrText xml:space="preserve"> HYPERLINK \l _Toc31774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4.2 </w:t>
      </w:r>
      <w:r>
        <w:rPr>
          <w:rFonts w:hint="eastAsia"/>
        </w:rPr>
        <w:t>分级原则</w:t>
      </w:r>
      <w:r>
        <w:tab/>
      </w:r>
      <w:r>
        <w:fldChar w:fldCharType="begin"/>
      </w:r>
      <w:r>
        <w:instrText xml:space="preserve"> PAGEREF _Toc31774 \h </w:instrText>
      </w:r>
      <w:r>
        <w:fldChar w:fldCharType="separate"/>
      </w:r>
      <w:r>
        <w:t>2</w:t>
      </w:r>
      <w:r>
        <w:fldChar w:fldCharType="end"/>
      </w:r>
      <w:r>
        <w:fldChar w:fldCharType="end"/>
      </w:r>
    </w:p>
    <w:p w14:paraId="5EC4745D">
      <w:pPr>
        <w:pStyle w:val="25"/>
        <w:tabs>
          <w:tab w:val="right" w:leader="dot" w:pos="9355"/>
          <w:tab w:val="clear" w:pos="9344"/>
        </w:tabs>
      </w:pPr>
      <w:r>
        <w:fldChar w:fldCharType="begin"/>
      </w:r>
      <w:r>
        <w:instrText xml:space="preserve"> HYPERLINK \l _Toc10687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4.3 </w:t>
      </w:r>
      <w:r>
        <w:rPr>
          <w:rFonts w:hint="eastAsia"/>
        </w:rPr>
        <w:t>等级划分</w:t>
      </w:r>
      <w:r>
        <w:tab/>
      </w:r>
      <w:r>
        <w:fldChar w:fldCharType="begin"/>
      </w:r>
      <w:r>
        <w:instrText xml:space="preserve"> PAGEREF _Toc10687 \h </w:instrText>
      </w:r>
      <w:r>
        <w:fldChar w:fldCharType="separate"/>
      </w:r>
      <w:r>
        <w:t>2</w:t>
      </w:r>
      <w:r>
        <w:fldChar w:fldCharType="end"/>
      </w:r>
      <w:r>
        <w:fldChar w:fldCharType="end"/>
      </w:r>
    </w:p>
    <w:p w14:paraId="3BEF59CB">
      <w:pPr>
        <w:pStyle w:val="20"/>
        <w:tabs>
          <w:tab w:val="right" w:leader="dot" w:pos="9355"/>
        </w:tabs>
      </w:pPr>
      <w:r>
        <w:fldChar w:fldCharType="begin"/>
      </w:r>
      <w:r>
        <w:instrText xml:space="preserve"> HYPERLINK \l _Toc6002 </w:instrText>
      </w:r>
      <w:r>
        <w:fldChar w:fldCharType="separate"/>
      </w:r>
      <w:r>
        <w:rPr>
          <w:rFonts w:hint="eastAsia" w:ascii="黑体" w:eastAsia="黑体"/>
          <w:i w:val="0"/>
          <w:lang w:val="en-US" w:eastAsia="zh-CN"/>
        </w:rPr>
        <w:t xml:space="preserve">5 </w:t>
      </w:r>
      <w:r>
        <w:rPr>
          <w:rFonts w:hint="eastAsia"/>
          <w:lang w:val="en-US" w:eastAsia="zh-CN"/>
        </w:rPr>
        <w:t>分级指标体系</w:t>
      </w:r>
      <w:r>
        <w:tab/>
      </w:r>
      <w:r>
        <w:fldChar w:fldCharType="begin"/>
      </w:r>
      <w:r>
        <w:instrText xml:space="preserve"> PAGEREF _Toc6002 \h </w:instrText>
      </w:r>
      <w:r>
        <w:fldChar w:fldCharType="separate"/>
      </w:r>
      <w:r>
        <w:t>3</w:t>
      </w:r>
      <w:r>
        <w:fldChar w:fldCharType="end"/>
      </w:r>
      <w:r>
        <w:fldChar w:fldCharType="end"/>
      </w:r>
    </w:p>
    <w:p w14:paraId="0E692821">
      <w:pPr>
        <w:pStyle w:val="25"/>
        <w:tabs>
          <w:tab w:val="right" w:leader="dot" w:pos="9355"/>
          <w:tab w:val="clear" w:pos="9344"/>
        </w:tabs>
      </w:pPr>
      <w:r>
        <w:fldChar w:fldCharType="begin"/>
      </w:r>
      <w:r>
        <w:instrText xml:space="preserve"> HYPERLINK \l _Toc21762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5.1 </w:t>
      </w:r>
      <w:r>
        <w:rPr>
          <w:rFonts w:hint="eastAsia"/>
          <w:lang w:val="en-US" w:eastAsia="zh-CN"/>
        </w:rPr>
        <w:t>一般规定</w:t>
      </w:r>
      <w:r>
        <w:tab/>
      </w:r>
      <w:r>
        <w:fldChar w:fldCharType="begin"/>
      </w:r>
      <w:r>
        <w:instrText xml:space="preserve"> PAGEREF _Toc21762 \h </w:instrText>
      </w:r>
      <w:r>
        <w:fldChar w:fldCharType="separate"/>
      </w:r>
      <w:r>
        <w:t>3</w:t>
      </w:r>
      <w:r>
        <w:fldChar w:fldCharType="end"/>
      </w:r>
      <w:r>
        <w:fldChar w:fldCharType="end"/>
      </w:r>
    </w:p>
    <w:p w14:paraId="7C6754A8">
      <w:pPr>
        <w:pStyle w:val="25"/>
        <w:tabs>
          <w:tab w:val="right" w:leader="dot" w:pos="9355"/>
          <w:tab w:val="clear" w:pos="9344"/>
        </w:tabs>
      </w:pPr>
      <w:r>
        <w:fldChar w:fldCharType="begin"/>
      </w:r>
      <w:r>
        <w:instrText xml:space="preserve"> HYPERLINK \l _Toc2313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5.2 </w:t>
      </w:r>
      <w:r>
        <w:rPr>
          <w:rFonts w:hint="eastAsia"/>
          <w:lang w:val="en-US" w:eastAsia="zh-CN"/>
        </w:rPr>
        <w:t>L1基础级</w:t>
      </w:r>
      <w:r>
        <w:tab/>
      </w:r>
      <w:r>
        <w:fldChar w:fldCharType="begin"/>
      </w:r>
      <w:r>
        <w:instrText xml:space="preserve"> PAGEREF _Toc2313 \h </w:instrText>
      </w:r>
      <w:r>
        <w:fldChar w:fldCharType="separate"/>
      </w:r>
      <w:r>
        <w:t>3</w:t>
      </w:r>
      <w:r>
        <w:fldChar w:fldCharType="end"/>
      </w:r>
      <w:r>
        <w:fldChar w:fldCharType="end"/>
      </w:r>
    </w:p>
    <w:p w14:paraId="240943DA">
      <w:pPr>
        <w:pStyle w:val="25"/>
        <w:tabs>
          <w:tab w:val="right" w:leader="dot" w:pos="9355"/>
          <w:tab w:val="clear" w:pos="9344"/>
        </w:tabs>
      </w:pPr>
      <w:r>
        <w:fldChar w:fldCharType="begin"/>
      </w:r>
      <w:r>
        <w:instrText xml:space="preserve"> HYPERLINK \l _Toc25792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5.3 </w:t>
      </w:r>
      <w:r>
        <w:rPr>
          <w:rFonts w:hint="eastAsia"/>
          <w:lang w:val="en-US" w:eastAsia="zh-CN"/>
        </w:rPr>
        <w:t>L2规范级</w:t>
      </w:r>
      <w:r>
        <w:tab/>
      </w:r>
      <w:r>
        <w:fldChar w:fldCharType="begin"/>
      </w:r>
      <w:r>
        <w:instrText xml:space="preserve"> PAGEREF _Toc25792 \h </w:instrText>
      </w:r>
      <w:r>
        <w:fldChar w:fldCharType="separate"/>
      </w:r>
      <w:r>
        <w:t>4</w:t>
      </w:r>
      <w:r>
        <w:fldChar w:fldCharType="end"/>
      </w:r>
      <w:r>
        <w:fldChar w:fldCharType="end"/>
      </w:r>
    </w:p>
    <w:p w14:paraId="0674C20F">
      <w:pPr>
        <w:pStyle w:val="25"/>
        <w:tabs>
          <w:tab w:val="right" w:leader="dot" w:pos="9355"/>
          <w:tab w:val="clear" w:pos="9344"/>
        </w:tabs>
      </w:pPr>
      <w:r>
        <w:fldChar w:fldCharType="begin"/>
      </w:r>
      <w:r>
        <w:instrText xml:space="preserve"> HYPERLINK \l _Toc28776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5.4 </w:t>
      </w:r>
      <w:r>
        <w:rPr>
          <w:rFonts w:hint="eastAsia"/>
          <w:lang w:val="en-US" w:eastAsia="zh-CN"/>
        </w:rPr>
        <w:t>L3集成级</w:t>
      </w:r>
      <w:r>
        <w:tab/>
      </w:r>
      <w:r>
        <w:fldChar w:fldCharType="begin"/>
      </w:r>
      <w:r>
        <w:instrText xml:space="preserve"> PAGEREF _Toc28776 \h </w:instrText>
      </w:r>
      <w:r>
        <w:fldChar w:fldCharType="separate"/>
      </w:r>
      <w:r>
        <w:t>4</w:t>
      </w:r>
      <w:r>
        <w:fldChar w:fldCharType="end"/>
      </w:r>
      <w:r>
        <w:fldChar w:fldCharType="end"/>
      </w:r>
    </w:p>
    <w:p w14:paraId="5BEACCF7">
      <w:pPr>
        <w:pStyle w:val="25"/>
        <w:tabs>
          <w:tab w:val="right" w:leader="dot" w:pos="9355"/>
          <w:tab w:val="clear" w:pos="9344"/>
        </w:tabs>
      </w:pPr>
      <w:r>
        <w:fldChar w:fldCharType="begin"/>
      </w:r>
      <w:r>
        <w:instrText xml:space="preserve"> HYPERLINK \l _Toc7801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5.5 </w:t>
      </w:r>
      <w:r>
        <w:rPr>
          <w:rFonts w:hint="eastAsia"/>
          <w:lang w:val="en-US" w:eastAsia="zh-CN"/>
        </w:rPr>
        <w:t>L4优化级</w:t>
      </w:r>
      <w:r>
        <w:tab/>
      </w:r>
      <w:r>
        <w:fldChar w:fldCharType="begin"/>
      </w:r>
      <w:r>
        <w:instrText xml:space="preserve"> PAGEREF _Toc7801 \h </w:instrText>
      </w:r>
      <w:r>
        <w:fldChar w:fldCharType="separate"/>
      </w:r>
      <w:r>
        <w:t>6</w:t>
      </w:r>
      <w:r>
        <w:fldChar w:fldCharType="end"/>
      </w:r>
      <w:r>
        <w:fldChar w:fldCharType="end"/>
      </w:r>
    </w:p>
    <w:p w14:paraId="0B5E98CE">
      <w:pPr>
        <w:pStyle w:val="25"/>
        <w:tabs>
          <w:tab w:val="right" w:leader="dot" w:pos="9355"/>
          <w:tab w:val="clear" w:pos="9344"/>
        </w:tabs>
      </w:pPr>
      <w:r>
        <w:fldChar w:fldCharType="begin"/>
      </w:r>
      <w:r>
        <w:instrText xml:space="preserve"> HYPERLINK \l _Toc22744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5.6 </w:t>
      </w:r>
      <w:r>
        <w:rPr>
          <w:rFonts w:hint="eastAsia"/>
          <w:lang w:val="en-US" w:eastAsia="zh-CN"/>
        </w:rPr>
        <w:t>L5引领级</w:t>
      </w:r>
      <w:r>
        <w:tab/>
      </w:r>
      <w:r>
        <w:fldChar w:fldCharType="begin"/>
      </w:r>
      <w:r>
        <w:instrText xml:space="preserve"> PAGEREF _Toc22744 \h </w:instrText>
      </w:r>
      <w:r>
        <w:fldChar w:fldCharType="separate"/>
      </w:r>
      <w:r>
        <w:t>7</w:t>
      </w:r>
      <w:r>
        <w:fldChar w:fldCharType="end"/>
      </w:r>
      <w:r>
        <w:fldChar w:fldCharType="end"/>
      </w:r>
    </w:p>
    <w:p w14:paraId="4D5CBE1F">
      <w:pPr>
        <w:pStyle w:val="20"/>
        <w:tabs>
          <w:tab w:val="right" w:leader="dot" w:pos="9355"/>
        </w:tabs>
      </w:pPr>
      <w:r>
        <w:fldChar w:fldCharType="begin"/>
      </w:r>
      <w:r>
        <w:instrText xml:space="preserve"> HYPERLINK \l _Toc29941 </w:instrText>
      </w:r>
      <w:r>
        <w:fldChar w:fldCharType="separate"/>
      </w:r>
      <w:r>
        <w:rPr>
          <w:rFonts w:hint="eastAsia" w:ascii="黑体" w:eastAsia="黑体"/>
          <w:i w:val="0"/>
          <w:lang w:val="en-US" w:eastAsia="zh-CN"/>
        </w:rPr>
        <w:t xml:space="preserve">6 </w:t>
      </w:r>
      <w:r>
        <w:rPr>
          <w:rFonts w:hint="eastAsia"/>
          <w:lang w:val="en-US" w:eastAsia="zh-CN"/>
        </w:rPr>
        <w:t>评级方法</w:t>
      </w:r>
      <w:r>
        <w:tab/>
      </w:r>
      <w:r>
        <w:fldChar w:fldCharType="begin"/>
      </w:r>
      <w:r>
        <w:instrText xml:space="preserve"> PAGEREF _Toc29941 \h </w:instrText>
      </w:r>
      <w:r>
        <w:fldChar w:fldCharType="separate"/>
      </w:r>
      <w:r>
        <w:t>7</w:t>
      </w:r>
      <w:r>
        <w:fldChar w:fldCharType="end"/>
      </w:r>
      <w:r>
        <w:fldChar w:fldCharType="end"/>
      </w:r>
    </w:p>
    <w:p w14:paraId="3D98B0C3">
      <w:pPr>
        <w:pStyle w:val="25"/>
        <w:tabs>
          <w:tab w:val="right" w:leader="dot" w:pos="9355"/>
          <w:tab w:val="clear" w:pos="9344"/>
        </w:tabs>
      </w:pPr>
      <w:r>
        <w:fldChar w:fldCharType="begin"/>
      </w:r>
      <w:r>
        <w:instrText xml:space="preserve"> HYPERLINK \l _Toc13341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6.1 </w:t>
      </w:r>
      <w:r>
        <w:rPr>
          <w:rFonts w:hint="eastAsia"/>
          <w:lang w:val="en-US" w:eastAsia="zh-CN"/>
        </w:rPr>
        <w:t>等级判定规则</w:t>
      </w:r>
      <w:r>
        <w:tab/>
      </w:r>
      <w:r>
        <w:fldChar w:fldCharType="begin"/>
      </w:r>
      <w:r>
        <w:instrText xml:space="preserve"> PAGEREF _Toc13341 \h </w:instrText>
      </w:r>
      <w:r>
        <w:fldChar w:fldCharType="separate"/>
      </w:r>
      <w:r>
        <w:t>8</w:t>
      </w:r>
      <w:r>
        <w:fldChar w:fldCharType="end"/>
      </w:r>
      <w:r>
        <w:fldChar w:fldCharType="end"/>
      </w:r>
    </w:p>
    <w:p w14:paraId="48C78D08">
      <w:pPr>
        <w:pStyle w:val="25"/>
        <w:tabs>
          <w:tab w:val="right" w:leader="dot" w:pos="9355"/>
          <w:tab w:val="clear" w:pos="9344"/>
        </w:tabs>
      </w:pPr>
      <w:r>
        <w:fldChar w:fldCharType="begin"/>
      </w:r>
      <w:r>
        <w:instrText xml:space="preserve"> HYPERLINK \l _Toc7326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6.2 </w:t>
      </w:r>
      <w:r>
        <w:rPr>
          <w:rFonts w:hint="eastAsia"/>
          <w:lang w:val="en-US" w:eastAsia="zh-CN"/>
        </w:rPr>
        <w:t>动态管理</w:t>
      </w:r>
      <w:r>
        <w:tab/>
      </w:r>
      <w:r>
        <w:fldChar w:fldCharType="begin"/>
      </w:r>
      <w:r>
        <w:instrText xml:space="preserve"> PAGEREF _Toc7326 \h </w:instrText>
      </w:r>
      <w:r>
        <w:fldChar w:fldCharType="separate"/>
      </w:r>
      <w:r>
        <w:t>8</w:t>
      </w:r>
      <w:r>
        <w:fldChar w:fldCharType="end"/>
      </w:r>
      <w:r>
        <w:fldChar w:fldCharType="end"/>
      </w:r>
    </w:p>
    <w:p w14:paraId="1C8D9C67">
      <w:pPr>
        <w:pStyle w:val="20"/>
        <w:tabs>
          <w:tab w:val="right" w:leader="dot" w:pos="9355"/>
        </w:tabs>
        <w:sectPr>
          <w:headerReference r:id="rId10" w:type="default"/>
          <w:footerReference r:id="rId12" w:type="default"/>
          <w:headerReference r:id="rId11" w:type="even"/>
          <w:footerReference r:id="rId13" w:type="even"/>
          <w:pgSz w:w="11906" w:h="16838"/>
          <w:pgMar w:top="1928" w:right="1134" w:bottom="1134" w:left="1134" w:header="1418" w:footer="1134" w:gutter="283"/>
          <w:pgNumType w:fmt="upperRoman" w:start="1"/>
          <w:cols w:space="0" w:num="1"/>
          <w:formProt w:val="0"/>
          <w:docGrid w:linePitch="312" w:charSpace="0"/>
        </w:sectPr>
      </w:pPr>
      <w:r>
        <w:fldChar w:fldCharType="end"/>
      </w:r>
    </w:p>
    <w:bookmarkEnd w:id="19"/>
    <w:p w14:paraId="584B9875">
      <w:pPr>
        <w:pStyle w:val="93"/>
        <w:shd w:val="clear" w:color="FFFFFF" w:fill="FFFFFF"/>
        <w:spacing w:before="850" w:after="680" w:afterLines="0"/>
        <w:rPr>
          <w:rFonts w:hint="eastAsia"/>
          <w:spacing w:val="320"/>
        </w:rPr>
      </w:pPr>
      <w:bookmarkStart w:id="23" w:name="_Toc24248"/>
      <w:bookmarkStart w:id="24" w:name="_Toc6409"/>
      <w:bookmarkStart w:id="25" w:name="_Toc1089"/>
      <w:bookmarkStart w:id="26" w:name="_Toc22953"/>
      <w:bookmarkStart w:id="27" w:name="_Toc12023"/>
      <w:bookmarkStart w:id="28" w:name="_Toc10339"/>
      <w:bookmarkStart w:id="29" w:name="_Toc4119"/>
      <w:bookmarkStart w:id="30" w:name="_Toc23596"/>
      <w:bookmarkStart w:id="31" w:name="BookMark2"/>
      <w:r>
        <w:rPr>
          <w:rFonts w:hint="eastAsia"/>
          <w:spacing w:val="320"/>
        </w:rPr>
        <w:t>前言</w:t>
      </w:r>
      <w:bookmarkEnd w:id="20"/>
      <w:bookmarkEnd w:id="21"/>
      <w:bookmarkEnd w:id="22"/>
      <w:bookmarkEnd w:id="23"/>
      <w:bookmarkEnd w:id="24"/>
      <w:bookmarkEnd w:id="25"/>
      <w:bookmarkEnd w:id="26"/>
      <w:bookmarkEnd w:id="27"/>
      <w:bookmarkEnd w:id="28"/>
      <w:bookmarkEnd w:id="29"/>
      <w:bookmarkEnd w:id="30"/>
    </w:p>
    <w:p w14:paraId="79253001">
      <w:pPr>
        <w:pStyle w:val="60"/>
        <w:ind w:firstLine="420"/>
      </w:pPr>
      <w:r>
        <w:rPr>
          <w:rFonts w:hint="eastAsia"/>
        </w:rPr>
        <w:t>本文件按照GB/T 1.1—2020《标准化工作导则  第1部分：标准化文件的结构和起草规则》的规定起草。</w:t>
      </w:r>
    </w:p>
    <w:p w14:paraId="41AC3A12">
      <w:pPr>
        <w:pStyle w:val="60"/>
        <w:ind w:firstLine="420"/>
      </w:pPr>
      <w:r>
        <w:rPr>
          <w:rFonts w:hint="eastAsia"/>
        </w:rPr>
        <w:t>请注意本文件的某些内容可能涉及专利。本文件的发布机构不承担识别专利的责任。</w:t>
      </w:r>
    </w:p>
    <w:p w14:paraId="7AED805B">
      <w:pPr>
        <w:pStyle w:val="60"/>
        <w:ind w:firstLine="420"/>
      </w:pPr>
      <w:r>
        <w:rPr>
          <w:rFonts w:hint="eastAsia"/>
        </w:rPr>
        <w:t>本文件由</w:t>
      </w:r>
      <w:r>
        <w:rPr>
          <w:rFonts w:hint="eastAsia"/>
          <w:lang w:val="en-US" w:eastAsia="zh-CN"/>
        </w:rPr>
        <w:t>XXXX</w:t>
      </w:r>
      <w:r>
        <w:rPr>
          <w:rFonts w:hint="eastAsia"/>
        </w:rPr>
        <w:t>提出。</w:t>
      </w:r>
    </w:p>
    <w:p w14:paraId="705FF706">
      <w:pPr>
        <w:pStyle w:val="60"/>
        <w:ind w:firstLine="420"/>
      </w:pPr>
      <w:r>
        <w:rPr>
          <w:rFonts w:hint="eastAsia"/>
        </w:rPr>
        <w:t>本文件由中国西部开发促进会归口。</w:t>
      </w:r>
    </w:p>
    <w:p w14:paraId="0AD67DCB">
      <w:pPr>
        <w:pStyle w:val="60"/>
        <w:ind w:firstLine="420"/>
        <w:rPr>
          <w:rFonts w:ascii="Calibri" w:hAnsi="Calibri"/>
          <w:kern w:val="2"/>
          <w:szCs w:val="21"/>
        </w:rPr>
      </w:pPr>
      <w:r>
        <w:rPr>
          <w:rFonts w:hint="eastAsia"/>
        </w:rPr>
        <w:t>本文件起草单位：。</w:t>
      </w:r>
    </w:p>
    <w:p w14:paraId="1D8488AB">
      <w:pPr>
        <w:pStyle w:val="60"/>
        <w:ind w:firstLine="420"/>
        <w:rPr>
          <w:rFonts w:ascii="Calibri" w:hAnsi="Calibri"/>
          <w:kern w:val="2"/>
          <w:szCs w:val="21"/>
        </w:rPr>
      </w:pPr>
      <w:r>
        <w:rPr>
          <w:rFonts w:hint="eastAsia"/>
        </w:rPr>
        <w:t>本文件主要起草人：。</w:t>
      </w:r>
    </w:p>
    <w:p w14:paraId="3C65A3F4">
      <w:pPr>
        <w:pStyle w:val="60"/>
        <w:ind w:firstLine="420"/>
      </w:pPr>
    </w:p>
    <w:p w14:paraId="5D960400">
      <w:pPr>
        <w:pStyle w:val="60"/>
        <w:ind w:firstLine="420"/>
        <w:sectPr>
          <w:footerReference r:id="rId15" w:type="default"/>
          <w:headerReference r:id="rId14" w:type="even"/>
          <w:footerReference r:id="rId16" w:type="even"/>
          <w:pgSz w:w="11906" w:h="16838"/>
          <w:pgMar w:top="1928" w:right="1134" w:bottom="1134" w:left="1134" w:header="1418" w:footer="1134" w:gutter="283"/>
          <w:pgNumType w:fmt="upperRoman"/>
          <w:cols w:space="0" w:num="1"/>
          <w:formProt w:val="0"/>
          <w:docGrid w:linePitch="312" w:charSpace="0"/>
        </w:sectPr>
      </w:pPr>
    </w:p>
    <w:bookmarkEnd w:id="31"/>
    <w:sdt>
      <w:sdtPr>
        <w:tag w:val="NEW_STAND_NAME"/>
        <w:id w:val="595910757"/>
        <w:lock w:val="sdtLocked"/>
        <w:placeholder>
          <w:docPart w:val="D33580E5DEE94A56B4AA6E6699E4C1B2"/>
        </w:placeholder>
      </w:sdtPr>
      <w:sdtEndPr>
        <w:rPr>
          <w:rFonts w:hint="eastAsia"/>
        </w:rPr>
      </w:sdtEndPr>
      <w:sdtContent>
        <w:p w14:paraId="044C92CA">
          <w:pPr>
            <w:pStyle w:val="181"/>
            <w:keepNext w:val="0"/>
            <w:keepLines w:val="0"/>
            <w:pageBreakBefore w:val="0"/>
            <w:kinsoku/>
            <w:wordWrap/>
            <w:overflowPunct/>
            <w:topLinePunct w:val="0"/>
            <w:bidi w:val="0"/>
            <w:snapToGrid/>
            <w:spacing w:before="850" w:after="680" w:line="240" w:lineRule="auto"/>
            <w:textAlignment w:val="auto"/>
          </w:pPr>
          <w:bookmarkStart w:id="32" w:name="NEW_STAND_NAME"/>
          <w:bookmarkStart w:id="33" w:name="BookMark4"/>
          <w:r>
            <w:rPr>
              <w:rFonts w:hint="eastAsia"/>
            </w:rPr>
            <w:t>火电厂循环冷却水智能化分级指南</w:t>
          </w:r>
        </w:p>
      </w:sdtContent>
    </w:sdt>
    <w:bookmarkEnd w:id="32"/>
    <w:p w14:paraId="1B252E94">
      <w:pPr>
        <w:pStyle w:val="108"/>
        <w:keepNext w:val="0"/>
        <w:keepLines w:val="0"/>
        <w:pageBreakBefore w:val="0"/>
        <w:kinsoku/>
        <w:wordWrap/>
        <w:overflowPunct/>
        <w:topLinePunct w:val="0"/>
        <w:bidi w:val="0"/>
        <w:snapToGrid/>
        <w:spacing w:line="240" w:lineRule="auto"/>
        <w:textAlignment w:val="auto"/>
      </w:pPr>
      <w:bookmarkStart w:id="34" w:name="_Toc150158767"/>
      <w:bookmarkStart w:id="35" w:name="_Toc28437"/>
      <w:bookmarkStart w:id="36" w:name="_Toc32303"/>
      <w:bookmarkStart w:id="37" w:name="_Toc26648465"/>
      <w:bookmarkStart w:id="38" w:name="_Toc17233325"/>
      <w:bookmarkStart w:id="39" w:name="_Toc17233333"/>
      <w:bookmarkStart w:id="40" w:name="_Toc95920558"/>
      <w:bookmarkStart w:id="41" w:name="_Toc31963"/>
      <w:bookmarkStart w:id="42" w:name="_Toc31759"/>
      <w:bookmarkStart w:id="43" w:name="_Toc26986771"/>
      <w:bookmarkStart w:id="44" w:name="_Toc95723355"/>
      <w:bookmarkStart w:id="45" w:name="_Toc26718930"/>
      <w:bookmarkStart w:id="46" w:name="_Toc8165"/>
      <w:bookmarkStart w:id="47" w:name="_Toc3015"/>
      <w:bookmarkStart w:id="48" w:name="_Toc95920575"/>
      <w:bookmarkStart w:id="49" w:name="_Toc148612845"/>
      <w:bookmarkStart w:id="50" w:name="_Toc24884218"/>
      <w:bookmarkStart w:id="51" w:name="_Toc24884211"/>
      <w:bookmarkStart w:id="52" w:name="_Toc150158740"/>
      <w:bookmarkStart w:id="53" w:name="_Toc16952"/>
      <w:bookmarkStart w:id="54" w:name="_Toc26986530"/>
      <w:bookmarkStart w:id="55" w:name="_Toc23046"/>
      <w:r>
        <w:rPr>
          <w:rFonts w:hint="eastAsia"/>
        </w:rPr>
        <w:t>范围</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7A312AD1">
      <w:pPr>
        <w:pStyle w:val="60"/>
        <w:keepNext w:val="0"/>
        <w:keepLines w:val="0"/>
        <w:pageBreakBefore w:val="0"/>
        <w:kinsoku/>
        <w:wordWrap/>
        <w:overflowPunct/>
        <w:topLinePunct w:val="0"/>
        <w:bidi w:val="0"/>
        <w:snapToGrid/>
        <w:spacing w:line="240" w:lineRule="auto"/>
        <w:ind w:firstLine="420"/>
        <w:textAlignment w:val="auto"/>
        <w:rPr>
          <w:rFonts w:hint="eastAsia"/>
        </w:rPr>
      </w:pPr>
      <w:r>
        <w:rPr>
          <w:rFonts w:hint="eastAsia"/>
        </w:rPr>
        <w:t>本文件规定了火电厂循环冷却水系统智能化分级的总体架构与分级原则、</w:t>
      </w:r>
      <w:r>
        <w:rPr>
          <w:rFonts w:hint="eastAsia"/>
          <w:lang w:val="en-US" w:eastAsia="zh-CN"/>
        </w:rPr>
        <w:t>分级指标体系及评级方法</w:t>
      </w:r>
      <w:r>
        <w:rPr>
          <w:rFonts w:hint="eastAsia"/>
        </w:rPr>
        <w:t>。</w:t>
      </w:r>
    </w:p>
    <w:p w14:paraId="0DB431FB">
      <w:pPr>
        <w:pStyle w:val="60"/>
        <w:keepNext w:val="0"/>
        <w:keepLines w:val="0"/>
        <w:pageBreakBefore w:val="0"/>
        <w:kinsoku/>
        <w:wordWrap/>
        <w:overflowPunct/>
        <w:topLinePunct w:val="0"/>
        <w:bidi w:val="0"/>
        <w:snapToGrid/>
        <w:spacing w:line="240" w:lineRule="auto"/>
        <w:ind w:firstLine="420"/>
        <w:textAlignment w:val="auto"/>
        <w:rPr>
          <w:rFonts w:hint="eastAsia" w:eastAsia="宋体"/>
          <w:lang w:eastAsia="zh-CN"/>
        </w:rPr>
      </w:pPr>
      <w:r>
        <w:rPr>
          <w:rFonts w:hint="eastAsia"/>
        </w:rPr>
        <w:t>本文件适用于火电厂采用循环冷却水系统的智能化分级评定与升级改造</w:t>
      </w:r>
      <w:r>
        <w:rPr>
          <w:rFonts w:hint="eastAsia"/>
          <w:lang w:eastAsia="zh-CN"/>
        </w:rPr>
        <w:t>。</w:t>
      </w:r>
    </w:p>
    <w:p w14:paraId="720FAAF1">
      <w:pPr>
        <w:pStyle w:val="108"/>
        <w:keepNext w:val="0"/>
        <w:keepLines w:val="0"/>
        <w:pageBreakBefore w:val="0"/>
        <w:kinsoku/>
        <w:wordWrap/>
        <w:overflowPunct/>
        <w:topLinePunct w:val="0"/>
        <w:bidi w:val="0"/>
        <w:snapToGrid/>
        <w:spacing w:line="240" w:lineRule="auto"/>
        <w:textAlignment w:val="auto"/>
      </w:pPr>
      <w:bookmarkStart w:id="56" w:name="_Toc95723356"/>
      <w:bookmarkStart w:id="57" w:name="_Toc148612846"/>
      <w:bookmarkStart w:id="58" w:name="_Toc150158768"/>
      <w:bookmarkStart w:id="59" w:name="_Toc26986772"/>
      <w:bookmarkStart w:id="60" w:name="_Toc23549"/>
      <w:bookmarkStart w:id="61" w:name="_Toc24884219"/>
      <w:bookmarkStart w:id="62" w:name="_Toc3515"/>
      <w:bookmarkStart w:id="63" w:name="_Toc24884212"/>
      <w:bookmarkStart w:id="64" w:name="_Toc17233326"/>
      <w:bookmarkStart w:id="65" w:name="_Toc26986531"/>
      <w:bookmarkStart w:id="66" w:name="_Toc150158741"/>
      <w:bookmarkStart w:id="67" w:name="_Toc221"/>
      <w:bookmarkStart w:id="68" w:name="_Toc31578"/>
      <w:bookmarkStart w:id="69" w:name="_Toc12693"/>
      <w:bookmarkStart w:id="70" w:name="_Toc95920576"/>
      <w:bookmarkStart w:id="71" w:name="_Toc10750"/>
      <w:bookmarkStart w:id="72" w:name="_Toc95920559"/>
      <w:bookmarkStart w:id="73" w:name="_Toc26648466"/>
      <w:bookmarkStart w:id="74" w:name="_Toc7083"/>
      <w:bookmarkStart w:id="75" w:name="_Toc17233334"/>
      <w:bookmarkStart w:id="76" w:name="_Toc26718931"/>
      <w:bookmarkStart w:id="77" w:name="_Toc25867"/>
      <w:r>
        <w:rPr>
          <w:rFonts w:hint="eastAsia"/>
        </w:rPr>
        <w:t>规范性引用文件</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sdt>
      <w:sdtPr>
        <w:rPr>
          <w:rFonts w:hint="eastAsia"/>
        </w:rPr>
        <w:id w:val="715848253"/>
        <w:placeholder>
          <w:docPart w:val="5D90168562164F299B43676937C953E8"/>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07ED3F5F">
          <w:pPr>
            <w:pStyle w:val="60"/>
            <w:keepNext w:val="0"/>
            <w:keepLines w:val="0"/>
            <w:pageBreakBefore w:val="0"/>
            <w:kinsoku/>
            <w:wordWrap/>
            <w:overflowPunct/>
            <w:topLinePunct w:val="0"/>
            <w:bidi w:val="0"/>
            <w:snapToGrid/>
            <w:spacing w:line="240" w:lineRule="auto"/>
            <w:ind w:firstLine="420"/>
            <w:textAlignment w:val="auto"/>
            <w:rPr>
              <w:rFonts w:hint="eastAsia" w:ascii="宋体" w:hAnsi="宋体" w:eastAsia="宋体" w:cs="宋体"/>
              <w:szCs w:val="21"/>
              <w:highlight w:val="none"/>
            </w:rPr>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bookmarkStart w:id="78" w:name="_Toc95723357"/>
        </w:p>
      </w:sdtContent>
    </w:sdt>
    <w:p w14:paraId="2E7A79B2">
      <w:pPr>
        <w:pStyle w:val="60"/>
        <w:keepNext w:val="0"/>
        <w:keepLines w:val="0"/>
        <w:pageBreakBefore w:val="0"/>
        <w:kinsoku/>
        <w:wordWrap/>
        <w:overflowPunct/>
        <w:topLinePunct w:val="0"/>
        <w:bidi w:val="0"/>
        <w:snapToGrid/>
        <w:spacing w:line="240" w:lineRule="auto"/>
        <w:ind w:firstLine="420"/>
        <w:jc w:val="left"/>
        <w:textAlignment w:val="auto"/>
        <w:rPr>
          <w:rFonts w:hint="default" w:ascii="宋体" w:hAnsi="宋体" w:eastAsia="宋体" w:cs="宋体"/>
          <w:szCs w:val="21"/>
          <w:highlight w:val="none"/>
          <w:lang w:val="en-US" w:eastAsia="zh-CN"/>
        </w:rPr>
      </w:pPr>
      <w:r>
        <w:rPr>
          <w:rFonts w:hint="eastAsia" w:ascii="宋体" w:hAnsi="宋体" w:eastAsia="宋体" w:cs="宋体"/>
          <w:szCs w:val="21"/>
          <w:highlight w:val="none"/>
        </w:rPr>
        <w:t>GB/T 22239</w:t>
      </w:r>
      <w:r>
        <w:rPr>
          <w:rFonts w:hint="eastAsia" w:hAnsi="宋体" w:cs="宋体"/>
          <w:szCs w:val="21"/>
          <w:highlight w:val="none"/>
          <w:lang w:val="en-US" w:eastAsia="zh-CN"/>
        </w:rPr>
        <w:t xml:space="preserve">  信息安全技术 网络安全等级保护基本要求</w:t>
      </w:r>
    </w:p>
    <w:p w14:paraId="662A8B77">
      <w:pPr>
        <w:pStyle w:val="60"/>
        <w:keepNext w:val="0"/>
        <w:keepLines w:val="0"/>
        <w:pageBreakBefore w:val="0"/>
        <w:kinsoku/>
        <w:wordWrap/>
        <w:overflowPunct/>
        <w:topLinePunct w:val="0"/>
        <w:bidi w:val="0"/>
        <w:snapToGrid/>
        <w:spacing w:line="240" w:lineRule="auto"/>
        <w:ind w:firstLine="420"/>
        <w:jc w:val="left"/>
        <w:textAlignment w:val="auto"/>
        <w:rPr>
          <w:rFonts w:hint="default" w:ascii="宋体" w:hAnsi="宋体" w:eastAsia="宋体" w:cs="宋体"/>
          <w:szCs w:val="21"/>
          <w:highlight w:val="none"/>
          <w:lang w:val="en-US" w:eastAsia="zh-CN"/>
        </w:rPr>
      </w:pPr>
      <w:r>
        <w:rPr>
          <w:rFonts w:hint="eastAsia" w:ascii="宋体" w:hAnsi="宋体" w:eastAsia="宋体" w:cs="宋体"/>
          <w:szCs w:val="21"/>
          <w:highlight w:val="none"/>
        </w:rPr>
        <w:t>GB/T 34953.1</w:t>
      </w:r>
      <w:r>
        <w:rPr>
          <w:rFonts w:hint="eastAsia" w:hAnsi="宋体" w:cs="宋体"/>
          <w:szCs w:val="21"/>
          <w:highlight w:val="none"/>
          <w:lang w:val="en-US" w:eastAsia="zh-CN"/>
        </w:rPr>
        <w:t xml:space="preserve">  信息技术 安全技术 匿名实体鉴别 第1部分：总则</w:t>
      </w:r>
    </w:p>
    <w:p w14:paraId="55FF8E82">
      <w:pPr>
        <w:pStyle w:val="60"/>
        <w:keepNext w:val="0"/>
        <w:keepLines w:val="0"/>
        <w:pageBreakBefore w:val="0"/>
        <w:kinsoku/>
        <w:wordWrap/>
        <w:overflowPunct/>
        <w:topLinePunct w:val="0"/>
        <w:bidi w:val="0"/>
        <w:snapToGrid/>
        <w:spacing w:line="240" w:lineRule="auto"/>
        <w:ind w:firstLine="420"/>
        <w:jc w:val="left"/>
        <w:textAlignment w:val="auto"/>
        <w:rPr>
          <w:rFonts w:hint="default" w:ascii="宋体" w:hAnsi="宋体" w:eastAsia="宋体" w:cs="宋体"/>
          <w:szCs w:val="21"/>
          <w:highlight w:val="none"/>
          <w:lang w:val="en-US" w:eastAsia="zh-CN"/>
        </w:rPr>
      </w:pPr>
      <w:r>
        <w:rPr>
          <w:rFonts w:hint="eastAsia" w:ascii="宋体" w:hAnsi="宋体" w:eastAsia="宋体" w:cs="宋体"/>
          <w:szCs w:val="21"/>
          <w:highlight w:val="none"/>
        </w:rPr>
        <w:t>GB 45669.1</w:t>
      </w:r>
      <w:r>
        <w:rPr>
          <w:rFonts w:hint="eastAsia" w:hAnsi="宋体" w:cs="宋体"/>
          <w:szCs w:val="21"/>
          <w:highlight w:val="none"/>
          <w:lang w:val="en-US" w:eastAsia="zh-CN"/>
        </w:rPr>
        <w:t xml:space="preserve">  黄河流域工业用水定额　第1部分：火力发电</w:t>
      </w:r>
    </w:p>
    <w:p w14:paraId="7EB3DA41">
      <w:pPr>
        <w:pStyle w:val="60"/>
        <w:keepNext w:val="0"/>
        <w:keepLines w:val="0"/>
        <w:pageBreakBefore w:val="0"/>
        <w:kinsoku/>
        <w:wordWrap/>
        <w:overflowPunct/>
        <w:topLinePunct w:val="0"/>
        <w:bidi w:val="0"/>
        <w:snapToGrid/>
        <w:spacing w:line="240" w:lineRule="auto"/>
        <w:ind w:firstLine="420"/>
        <w:jc w:val="left"/>
        <w:textAlignment w:val="auto"/>
        <w:rPr>
          <w:rFonts w:hint="default" w:ascii="宋体" w:hAnsi="宋体" w:eastAsia="宋体" w:cs="宋体"/>
          <w:szCs w:val="21"/>
          <w:highlight w:val="none"/>
          <w:lang w:val="en-US" w:eastAsia="zh-CN"/>
        </w:rPr>
      </w:pPr>
      <w:r>
        <w:rPr>
          <w:rFonts w:hint="eastAsia" w:ascii="宋体" w:hAnsi="宋体" w:eastAsia="宋体" w:cs="宋体"/>
          <w:szCs w:val="21"/>
          <w:highlight w:val="none"/>
        </w:rPr>
        <w:t>GB/T 50050</w:t>
      </w:r>
      <w:r>
        <w:rPr>
          <w:rFonts w:hint="eastAsia" w:hAnsi="宋体" w:cs="宋体"/>
          <w:szCs w:val="21"/>
          <w:highlight w:val="none"/>
          <w:lang w:val="en-US" w:eastAsia="zh-CN"/>
        </w:rPr>
        <w:t xml:space="preserve">  工业循环冷却水处理设计规范</w:t>
      </w:r>
    </w:p>
    <w:p w14:paraId="77CF42AD">
      <w:pPr>
        <w:pStyle w:val="60"/>
        <w:keepNext w:val="0"/>
        <w:keepLines w:val="0"/>
        <w:pageBreakBefore w:val="0"/>
        <w:kinsoku/>
        <w:wordWrap/>
        <w:overflowPunct/>
        <w:topLinePunct w:val="0"/>
        <w:bidi w:val="0"/>
        <w:snapToGrid/>
        <w:spacing w:line="240" w:lineRule="auto"/>
        <w:ind w:firstLine="420"/>
        <w:jc w:val="left"/>
        <w:textAlignment w:val="auto"/>
        <w:rPr>
          <w:rFonts w:hint="default" w:ascii="宋体" w:hAnsi="宋体" w:eastAsia="宋体" w:cs="宋体"/>
          <w:szCs w:val="21"/>
          <w:highlight w:val="none"/>
          <w:lang w:val="en-US" w:eastAsia="zh-CN"/>
        </w:rPr>
      </w:pPr>
      <w:r>
        <w:rPr>
          <w:rFonts w:hint="eastAsia" w:ascii="宋体" w:hAnsi="宋体" w:eastAsia="宋体" w:cs="宋体"/>
          <w:szCs w:val="21"/>
          <w:highlight w:val="none"/>
        </w:rPr>
        <w:t>DL/T 783</w:t>
      </w:r>
      <w:r>
        <w:rPr>
          <w:rFonts w:hint="eastAsia" w:hAnsi="宋体" w:cs="宋体"/>
          <w:szCs w:val="21"/>
          <w:highlight w:val="none"/>
          <w:lang w:val="en-US" w:eastAsia="zh-CN"/>
        </w:rPr>
        <w:t xml:space="preserve">  火力发电厂节水导则</w:t>
      </w:r>
    </w:p>
    <w:p w14:paraId="71BAE279">
      <w:pPr>
        <w:pStyle w:val="60"/>
        <w:keepNext w:val="0"/>
        <w:keepLines w:val="0"/>
        <w:pageBreakBefore w:val="0"/>
        <w:kinsoku/>
        <w:wordWrap/>
        <w:overflowPunct/>
        <w:topLinePunct w:val="0"/>
        <w:bidi w:val="0"/>
        <w:snapToGrid/>
        <w:spacing w:line="240" w:lineRule="auto"/>
        <w:ind w:firstLine="420"/>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t>DL/T 806</w:t>
      </w:r>
      <w:r>
        <w:rPr>
          <w:rFonts w:hint="eastAsia" w:hAnsi="宋体" w:cs="宋体"/>
          <w:szCs w:val="21"/>
          <w:highlight w:val="none"/>
          <w:lang w:val="en-US" w:eastAsia="zh-CN"/>
        </w:rPr>
        <w:t xml:space="preserve">  火力发电厂循环水用阻垢缓蚀剂</w:t>
      </w:r>
    </w:p>
    <w:p w14:paraId="33B04CE7">
      <w:pPr>
        <w:pStyle w:val="108"/>
        <w:keepNext w:val="0"/>
        <w:keepLines w:val="0"/>
        <w:pageBreakBefore w:val="0"/>
        <w:kinsoku/>
        <w:wordWrap/>
        <w:overflowPunct/>
        <w:topLinePunct w:val="0"/>
        <w:bidi w:val="0"/>
        <w:snapToGrid/>
        <w:spacing w:line="240" w:lineRule="auto"/>
        <w:textAlignment w:val="auto"/>
      </w:pPr>
      <w:bookmarkStart w:id="79" w:name="_Toc1462"/>
      <w:bookmarkStart w:id="80" w:name="_Toc522"/>
      <w:bookmarkStart w:id="81" w:name="_Toc27619"/>
      <w:bookmarkStart w:id="82" w:name="_Toc7797"/>
      <w:bookmarkStart w:id="83" w:name="_Toc18478"/>
      <w:bookmarkStart w:id="84" w:name="_Toc3185"/>
      <w:bookmarkStart w:id="85" w:name="_Toc20221"/>
      <w:bookmarkStart w:id="86" w:name="_Toc25008"/>
      <w:r>
        <w:rPr>
          <w:rFonts w:hint="eastAsia"/>
        </w:rPr>
        <w:t>术语和定义</w:t>
      </w:r>
      <w:bookmarkEnd w:id="79"/>
      <w:bookmarkEnd w:id="80"/>
      <w:bookmarkEnd w:id="81"/>
      <w:bookmarkEnd w:id="82"/>
      <w:bookmarkEnd w:id="83"/>
      <w:bookmarkEnd w:id="84"/>
      <w:bookmarkEnd w:id="85"/>
      <w:bookmarkEnd w:id="86"/>
    </w:p>
    <w:p w14:paraId="156DE3C3">
      <w:pPr>
        <w:pStyle w:val="60"/>
        <w:keepNext w:val="0"/>
        <w:keepLines w:val="0"/>
        <w:pageBreakBefore w:val="0"/>
        <w:kinsoku/>
        <w:wordWrap/>
        <w:overflowPunct/>
        <w:topLinePunct w:val="0"/>
        <w:bidi w:val="0"/>
        <w:snapToGrid/>
        <w:spacing w:line="240" w:lineRule="auto"/>
        <w:textAlignment w:val="auto"/>
      </w:pPr>
      <w:sdt>
        <w:sdtPr>
          <w:rPr>
            <w:rFonts w:hint="default" w:ascii="宋体" w:hAnsi="宋体" w:eastAsia="宋体" w:cs="宋体"/>
            <w:highlight w:val="none"/>
            <w:lang w:val="en-US"/>
          </w:rPr>
          <w:id w:val="-166712635"/>
          <w:placeholder>
            <w:docPart w:val="{17f91292-1dc5-46d1-8705-c70758c29d7b}"/>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default" w:ascii="宋体" w:hAnsi="Times New Roman" w:eastAsia="宋体" w:cs="Times New Roman"/>
            <w:sz w:val="21"/>
            <w:highlight w:val="none"/>
            <w:lang w:val="en-US" w:eastAsia="zh-CN" w:bidi="ar-SA"/>
          </w:rPr>
        </w:sdtEndPr>
        <w:sdtContent>
          <w:r>
            <w:rPr>
              <w:rFonts w:hint="default" w:ascii="宋体" w:hAnsi="宋体" w:eastAsia="宋体" w:cs="宋体"/>
              <w:sz w:val="21"/>
              <w:highlight w:val="none"/>
              <w:lang w:val="en-US" w:eastAsia="zh-CN" w:bidi="ar-SA"/>
            </w:rPr>
            <w:t>下列术语和定义适用于本文件。</w:t>
          </w:r>
        </w:sdtContent>
      </w:sdt>
      <w:bookmarkStart w:id="87" w:name="_Toc9732"/>
      <w:bookmarkEnd w:id="87"/>
      <w:bookmarkStart w:id="88" w:name="_Toc11463"/>
      <w:bookmarkEnd w:id="88"/>
      <w:bookmarkStart w:id="89" w:name="_Toc27383"/>
      <w:bookmarkEnd w:id="89"/>
      <w:bookmarkStart w:id="90" w:name="_Toc22396"/>
      <w:bookmarkEnd w:id="90"/>
      <w:bookmarkStart w:id="91" w:name="_Toc23256"/>
      <w:bookmarkEnd w:id="91"/>
      <w:bookmarkStart w:id="92" w:name="_Toc30596"/>
      <w:bookmarkEnd w:id="92"/>
      <w:bookmarkStart w:id="93" w:name="_Toc12163"/>
      <w:bookmarkEnd w:id="93"/>
      <w:bookmarkStart w:id="94" w:name="_Toc14446"/>
      <w:bookmarkEnd w:id="94"/>
      <w:bookmarkStart w:id="95" w:name="_Toc28571"/>
      <w:bookmarkEnd w:id="95"/>
      <w:bookmarkStart w:id="96" w:name="_Toc12732"/>
      <w:bookmarkEnd w:id="96"/>
    </w:p>
    <w:p w14:paraId="45E3AC7F">
      <w:pPr>
        <w:pStyle w:val="109"/>
        <w:keepNext w:val="0"/>
        <w:keepLines w:val="0"/>
        <w:pageBreakBefore w:val="0"/>
        <w:kinsoku/>
        <w:wordWrap/>
        <w:overflowPunct/>
        <w:topLinePunct w:val="0"/>
        <w:bidi w:val="0"/>
        <w:snapToGrid/>
        <w:spacing w:after="120" w:afterLines="50" w:line="240" w:lineRule="auto"/>
        <w:ind w:left="0"/>
        <w:jc w:val="both"/>
        <w:textAlignment w:val="auto"/>
        <w:rPr>
          <w:rFonts w:hint="eastAsia"/>
        </w:rPr>
      </w:pPr>
      <w:bookmarkStart w:id="97" w:name="_Toc986"/>
      <w:bookmarkEnd w:id="97"/>
      <w:bookmarkStart w:id="98" w:name="_Toc28150"/>
      <w:bookmarkEnd w:id="98"/>
      <w:bookmarkStart w:id="99" w:name="_Toc10945"/>
      <w:bookmarkEnd w:id="99"/>
      <w:bookmarkStart w:id="100" w:name="_Toc8578"/>
      <w:bookmarkEnd w:id="100"/>
      <w:bookmarkStart w:id="101" w:name="_Toc32297"/>
      <w:bookmarkEnd w:id="101"/>
      <w:bookmarkStart w:id="102" w:name="_Toc8333"/>
      <w:bookmarkEnd w:id="102"/>
      <w:bookmarkStart w:id="103" w:name="_Toc20564"/>
      <w:bookmarkEnd w:id="103"/>
      <w:bookmarkStart w:id="104" w:name="_Toc24048"/>
    </w:p>
    <w:p w14:paraId="25693C64">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240" w:lineRule="auto"/>
        <w:ind w:left="0" w:leftChars="0" w:firstLine="420" w:firstLineChars="200"/>
        <w:jc w:val="both"/>
        <w:textAlignment w:val="auto"/>
        <w:rPr>
          <w:rFonts w:hint="eastAsia" w:eastAsia="黑体"/>
          <w:lang w:val="en-US" w:eastAsia="zh-CN"/>
        </w:rPr>
      </w:pPr>
      <w:bookmarkStart w:id="105" w:name="_Toc23625"/>
      <w:bookmarkStart w:id="106" w:name="_Toc31347"/>
      <w:bookmarkStart w:id="107" w:name="_Toc22812"/>
      <w:bookmarkStart w:id="108" w:name="_Toc23962"/>
      <w:r>
        <w:rPr>
          <w:rFonts w:hint="eastAsia" w:eastAsia="黑体"/>
          <w:lang w:val="en-US" w:eastAsia="zh-CN"/>
        </w:rPr>
        <w:t xml:space="preserve">循环冷却水系统 </w:t>
      </w:r>
      <w:bookmarkEnd w:id="105"/>
      <w:bookmarkEnd w:id="106"/>
      <w:bookmarkEnd w:id="107"/>
      <w:r>
        <w:rPr>
          <w:rFonts w:hint="eastAsia" w:eastAsia="黑体"/>
          <w:lang w:val="en-US" w:eastAsia="zh-CN"/>
        </w:rPr>
        <w:t>circulating cooling water system</w:t>
      </w:r>
      <w:bookmarkEnd w:id="108"/>
    </w:p>
    <w:p w14:paraId="6C35FAFE">
      <w:pPr>
        <w:pStyle w:val="60"/>
        <w:keepNext w:val="0"/>
        <w:keepLines w:val="0"/>
        <w:pageBreakBefore w:val="0"/>
        <w:kinsoku/>
        <w:wordWrap/>
        <w:overflowPunct/>
        <w:topLinePunct w:val="0"/>
        <w:bidi w:val="0"/>
        <w:snapToGrid/>
        <w:spacing w:line="240" w:lineRule="auto"/>
        <w:textAlignment w:val="auto"/>
        <w:rPr>
          <w:rFonts w:hint="eastAsia"/>
          <w:lang w:val="en-US" w:eastAsia="zh-CN"/>
        </w:rPr>
      </w:pPr>
      <w:r>
        <w:rPr>
          <w:rFonts w:hint="eastAsia"/>
          <w:lang w:val="en-US" w:eastAsia="zh-CN"/>
        </w:rPr>
        <w:t>以水作为冷却介质，由冷却塔、循环水泵、管道、凝汽器、水处理加药装置及旁滤设备等组成，用于带走汽轮机排汽及辅机设备余热的开式或闭式水系统。</w:t>
      </w:r>
    </w:p>
    <w:p w14:paraId="0F0658C8">
      <w:pPr>
        <w:pStyle w:val="109"/>
        <w:keepNext w:val="0"/>
        <w:keepLines w:val="0"/>
        <w:pageBreakBefore w:val="0"/>
        <w:kinsoku/>
        <w:wordWrap/>
        <w:overflowPunct/>
        <w:topLinePunct w:val="0"/>
        <w:bidi w:val="0"/>
        <w:snapToGrid/>
        <w:spacing w:after="120" w:afterLines="50" w:line="240" w:lineRule="auto"/>
        <w:ind w:left="0"/>
        <w:jc w:val="both"/>
        <w:textAlignment w:val="auto"/>
        <w:rPr>
          <w:rFonts w:hint="default"/>
          <w:lang w:val="en-US" w:eastAsia="zh-CN"/>
        </w:rPr>
      </w:pPr>
      <w:bookmarkStart w:id="109" w:name="_Toc16167"/>
      <w:bookmarkEnd w:id="109"/>
      <w:bookmarkStart w:id="110" w:name="_Toc26626"/>
      <w:bookmarkEnd w:id="110"/>
      <w:bookmarkStart w:id="111" w:name="_Toc767"/>
      <w:bookmarkEnd w:id="111"/>
      <w:bookmarkStart w:id="112" w:name="_Toc3241"/>
      <w:bookmarkEnd w:id="112"/>
      <w:bookmarkStart w:id="113" w:name="_Toc21861"/>
      <w:bookmarkEnd w:id="113"/>
    </w:p>
    <w:p w14:paraId="5D9D6905">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240" w:lineRule="auto"/>
        <w:ind w:left="0" w:leftChars="0" w:firstLine="420" w:firstLineChars="200"/>
        <w:jc w:val="both"/>
        <w:textAlignment w:val="auto"/>
        <w:rPr>
          <w:rFonts w:hint="default" w:hAnsi="Times New Roman" w:eastAsia="黑体" w:cs="Times New Roman"/>
          <w:lang w:val="en-US" w:eastAsia="zh-CN"/>
        </w:rPr>
      </w:pPr>
      <w:bookmarkStart w:id="114" w:name="_Toc19871"/>
      <w:r>
        <w:rPr>
          <w:rFonts w:hint="default" w:hAnsi="Times New Roman" w:eastAsia="黑体" w:cs="Times New Roman"/>
          <w:lang w:val="en-US" w:eastAsia="zh-CN"/>
        </w:rPr>
        <w:t>智能化分级 intelligent classification</w:t>
      </w:r>
      <w:bookmarkEnd w:id="114"/>
    </w:p>
    <w:p w14:paraId="0E9613E2">
      <w:pPr>
        <w:pStyle w:val="60"/>
        <w:keepNext w:val="0"/>
        <w:keepLines w:val="0"/>
        <w:pageBreakBefore w:val="0"/>
        <w:kinsoku/>
        <w:wordWrap/>
        <w:overflowPunct/>
        <w:topLinePunct w:val="0"/>
        <w:bidi w:val="0"/>
        <w:snapToGrid/>
        <w:spacing w:line="240" w:lineRule="auto"/>
        <w:textAlignment w:val="auto"/>
        <w:rPr>
          <w:rFonts w:hint="default"/>
          <w:lang w:val="en-US" w:eastAsia="zh-CN"/>
        </w:rPr>
      </w:pPr>
      <w:r>
        <w:rPr>
          <w:rFonts w:hint="default"/>
          <w:lang w:val="en-US" w:eastAsia="zh-CN"/>
        </w:rPr>
        <w:t>依据循环冷却水系统在感知监测、数据通信、智能控制、分析决策、运维管理及效益绩效等方面的能力水平，按统一指标体系划分的智能化成熟度等级。</w:t>
      </w:r>
    </w:p>
    <w:p w14:paraId="4FEE1AC9">
      <w:pPr>
        <w:pStyle w:val="109"/>
        <w:keepNext w:val="0"/>
        <w:keepLines w:val="0"/>
        <w:pageBreakBefore w:val="0"/>
        <w:kinsoku/>
        <w:wordWrap/>
        <w:overflowPunct/>
        <w:topLinePunct w:val="0"/>
        <w:bidi w:val="0"/>
        <w:snapToGrid/>
        <w:spacing w:after="120" w:afterLines="50" w:line="240" w:lineRule="auto"/>
        <w:ind w:left="0"/>
        <w:jc w:val="both"/>
        <w:textAlignment w:val="auto"/>
        <w:rPr>
          <w:rFonts w:hint="default"/>
          <w:lang w:val="en-US" w:eastAsia="zh-CN"/>
        </w:rPr>
      </w:pPr>
      <w:bookmarkStart w:id="115" w:name="_Toc11228"/>
      <w:bookmarkEnd w:id="115"/>
      <w:bookmarkStart w:id="116" w:name="_Toc10566"/>
      <w:bookmarkEnd w:id="116"/>
      <w:bookmarkStart w:id="117" w:name="_Toc26237"/>
      <w:bookmarkEnd w:id="117"/>
      <w:bookmarkStart w:id="118" w:name="_Toc28705"/>
      <w:bookmarkEnd w:id="118"/>
      <w:bookmarkStart w:id="119" w:name="_Toc19156"/>
      <w:bookmarkEnd w:id="119"/>
    </w:p>
    <w:p w14:paraId="16BAA3AD">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240" w:lineRule="auto"/>
        <w:ind w:left="0" w:leftChars="0" w:firstLine="420" w:firstLineChars="200"/>
        <w:jc w:val="both"/>
        <w:textAlignment w:val="auto"/>
        <w:rPr>
          <w:rFonts w:hint="default" w:hAnsi="Times New Roman" w:eastAsia="黑体" w:cs="Times New Roman"/>
          <w:lang w:val="en-US" w:eastAsia="zh-CN"/>
        </w:rPr>
      </w:pPr>
      <w:bookmarkStart w:id="120" w:name="_Toc21370"/>
      <w:r>
        <w:rPr>
          <w:rFonts w:hint="default" w:hAnsi="Times New Roman" w:eastAsia="黑体" w:cs="Times New Roman"/>
          <w:lang w:val="en-US" w:eastAsia="zh-CN"/>
        </w:rPr>
        <w:t>浓缩倍率 concentration ratio</w:t>
      </w:r>
      <w:bookmarkEnd w:id="120"/>
    </w:p>
    <w:p w14:paraId="20D1A2D6">
      <w:pPr>
        <w:pStyle w:val="60"/>
        <w:keepNext w:val="0"/>
        <w:keepLines w:val="0"/>
        <w:pageBreakBefore w:val="0"/>
        <w:kinsoku/>
        <w:wordWrap/>
        <w:overflowPunct/>
        <w:topLinePunct w:val="0"/>
        <w:bidi w:val="0"/>
        <w:snapToGrid/>
        <w:spacing w:line="240" w:lineRule="auto"/>
        <w:textAlignment w:val="auto"/>
        <w:rPr>
          <w:rFonts w:hint="default"/>
          <w:lang w:val="en-US" w:eastAsia="zh-CN"/>
        </w:rPr>
      </w:pPr>
      <w:r>
        <w:rPr>
          <w:rFonts w:hint="default"/>
          <w:lang w:val="en-US" w:eastAsia="zh-CN"/>
        </w:rPr>
        <w:t>循环冷却水含盐量与补充水含盐量的比值，通常以氯离子（Cl</w:t>
      </w:r>
      <w:r>
        <w:rPr>
          <w:rFonts w:hint="eastAsia"/>
          <w:vertAlign w:val="superscript"/>
          <w:lang w:val="en-US" w:eastAsia="zh-CN"/>
        </w:rPr>
        <w:t>-</w:t>
      </w:r>
      <w:r>
        <w:rPr>
          <w:rFonts w:hint="default"/>
          <w:lang w:val="en-US" w:eastAsia="zh-CN"/>
        </w:rPr>
        <w:t>）或钾离子（K</w:t>
      </w:r>
      <w:r>
        <w:rPr>
          <w:rFonts w:hint="eastAsia"/>
          <w:vertAlign w:val="superscript"/>
          <w:lang w:val="en-US" w:eastAsia="zh-CN"/>
        </w:rPr>
        <w:t>+</w:t>
      </w:r>
      <w:r>
        <w:rPr>
          <w:rFonts w:hint="default"/>
          <w:lang w:val="en-US" w:eastAsia="zh-CN"/>
        </w:rPr>
        <w:t>）浓度之比计算</w:t>
      </w:r>
      <w:r>
        <w:rPr>
          <w:rFonts w:hint="eastAsia"/>
          <w:lang w:val="en-US" w:eastAsia="zh-CN"/>
        </w:rPr>
        <w:t>。</w:t>
      </w:r>
    </w:p>
    <w:p w14:paraId="564C04D1">
      <w:pPr>
        <w:pStyle w:val="109"/>
        <w:keepNext w:val="0"/>
        <w:keepLines w:val="0"/>
        <w:pageBreakBefore w:val="0"/>
        <w:kinsoku/>
        <w:wordWrap/>
        <w:overflowPunct/>
        <w:topLinePunct w:val="0"/>
        <w:bidi w:val="0"/>
        <w:snapToGrid/>
        <w:spacing w:after="120" w:afterLines="50" w:line="240" w:lineRule="auto"/>
        <w:ind w:left="0"/>
        <w:jc w:val="both"/>
        <w:textAlignment w:val="auto"/>
        <w:rPr>
          <w:rFonts w:hint="default"/>
          <w:lang w:val="en-US" w:eastAsia="zh-CN"/>
        </w:rPr>
      </w:pPr>
      <w:bookmarkStart w:id="121" w:name="_Toc10685"/>
      <w:bookmarkEnd w:id="121"/>
      <w:bookmarkStart w:id="122" w:name="_Toc26066"/>
      <w:bookmarkEnd w:id="122"/>
      <w:bookmarkStart w:id="123" w:name="_Toc20986"/>
      <w:bookmarkEnd w:id="123"/>
      <w:bookmarkStart w:id="124" w:name="_Toc30089"/>
      <w:bookmarkEnd w:id="124"/>
      <w:bookmarkStart w:id="125" w:name="_Toc25321"/>
      <w:bookmarkEnd w:id="125"/>
    </w:p>
    <w:p w14:paraId="70A5D08A">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240" w:lineRule="auto"/>
        <w:ind w:left="0" w:leftChars="0" w:firstLine="420" w:firstLineChars="200"/>
        <w:jc w:val="both"/>
        <w:textAlignment w:val="auto"/>
        <w:rPr>
          <w:rFonts w:hint="default" w:hAnsi="Times New Roman" w:eastAsia="黑体" w:cs="Times New Roman"/>
          <w:lang w:val="en-US" w:eastAsia="zh-CN"/>
        </w:rPr>
      </w:pPr>
      <w:bookmarkStart w:id="126" w:name="_Toc31208"/>
      <w:r>
        <w:rPr>
          <w:rFonts w:hint="default" w:hAnsi="Times New Roman" w:eastAsia="黑体" w:cs="Times New Roman"/>
          <w:lang w:val="en-US" w:eastAsia="zh-CN"/>
        </w:rPr>
        <w:t>数字孪生 digital twin</w:t>
      </w:r>
      <w:bookmarkEnd w:id="126"/>
    </w:p>
    <w:p w14:paraId="585C3AF7">
      <w:pPr>
        <w:pStyle w:val="60"/>
        <w:keepNext w:val="0"/>
        <w:keepLines w:val="0"/>
        <w:pageBreakBefore w:val="0"/>
        <w:kinsoku/>
        <w:wordWrap/>
        <w:overflowPunct/>
        <w:topLinePunct w:val="0"/>
        <w:bidi w:val="0"/>
        <w:snapToGrid/>
        <w:spacing w:line="240" w:lineRule="auto"/>
        <w:textAlignment w:val="auto"/>
        <w:rPr>
          <w:rFonts w:hint="default"/>
          <w:lang w:val="en-US" w:eastAsia="zh-CN"/>
        </w:rPr>
      </w:pPr>
      <w:r>
        <w:rPr>
          <w:rFonts w:hint="default"/>
          <w:lang w:val="en-US" w:eastAsia="zh-CN"/>
        </w:rPr>
        <w:t>基于物理循环冷却水系统构建的数字化镜像模型，通过实时数据映射、水力热力仿真与预测模拟，实现对系统全生命周期的虚拟映射与优化决策。</w:t>
      </w:r>
    </w:p>
    <w:p w14:paraId="3188A6C9">
      <w:pPr>
        <w:pStyle w:val="109"/>
        <w:keepNext w:val="0"/>
        <w:keepLines w:val="0"/>
        <w:pageBreakBefore w:val="0"/>
        <w:kinsoku/>
        <w:wordWrap/>
        <w:overflowPunct/>
        <w:topLinePunct w:val="0"/>
        <w:bidi w:val="0"/>
        <w:snapToGrid/>
        <w:spacing w:after="120" w:afterLines="50" w:line="240" w:lineRule="auto"/>
        <w:ind w:left="0"/>
        <w:jc w:val="both"/>
        <w:textAlignment w:val="auto"/>
        <w:rPr>
          <w:rFonts w:hint="default"/>
          <w:lang w:val="en-US" w:eastAsia="zh-CN"/>
        </w:rPr>
      </w:pPr>
      <w:bookmarkStart w:id="127" w:name="_Toc7865"/>
      <w:bookmarkEnd w:id="127"/>
      <w:bookmarkStart w:id="128" w:name="_Toc29783"/>
      <w:bookmarkEnd w:id="128"/>
      <w:bookmarkStart w:id="129" w:name="_Toc22654"/>
      <w:bookmarkEnd w:id="129"/>
      <w:bookmarkStart w:id="130" w:name="_Toc24761"/>
      <w:bookmarkEnd w:id="130"/>
    </w:p>
    <w:p w14:paraId="1ADA7CED">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240" w:lineRule="auto"/>
        <w:ind w:left="0" w:leftChars="0" w:firstLine="420" w:firstLineChars="200"/>
        <w:jc w:val="both"/>
        <w:textAlignment w:val="auto"/>
        <w:rPr>
          <w:rFonts w:hint="default" w:hAnsi="Times New Roman" w:eastAsia="黑体" w:cs="Times New Roman"/>
          <w:lang w:val="en-US" w:eastAsia="zh-CN"/>
        </w:rPr>
      </w:pPr>
      <w:bookmarkStart w:id="131" w:name="_Toc30155"/>
      <w:r>
        <w:rPr>
          <w:rFonts w:hint="default" w:hAnsi="Times New Roman" w:eastAsia="黑体" w:cs="Times New Roman"/>
          <w:lang w:val="en-US" w:eastAsia="zh-CN"/>
        </w:rPr>
        <w:t>预测性维护 predictive maintenance</w:t>
      </w:r>
      <w:bookmarkEnd w:id="131"/>
    </w:p>
    <w:p w14:paraId="6DCE6D54">
      <w:pPr>
        <w:pStyle w:val="60"/>
        <w:keepNext w:val="0"/>
        <w:keepLines w:val="0"/>
        <w:pageBreakBefore w:val="0"/>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基于设备运行数据与算法模型，预测循环水泵、冷却塔风机等关键设备的故障趋势与剩余寿命，并提前安排维护的主动式管理策略。</w:t>
      </w:r>
    </w:p>
    <w:p w14:paraId="5EA1A89A">
      <w:pPr>
        <w:pStyle w:val="109"/>
        <w:keepNext w:val="0"/>
        <w:keepLines w:val="0"/>
        <w:pageBreakBefore w:val="0"/>
        <w:kinsoku/>
        <w:wordWrap/>
        <w:overflowPunct/>
        <w:topLinePunct w:val="0"/>
        <w:bidi w:val="0"/>
        <w:snapToGrid/>
        <w:spacing w:after="120" w:afterLines="50" w:line="240" w:lineRule="auto"/>
        <w:ind w:left="0"/>
        <w:jc w:val="both"/>
        <w:textAlignment w:val="auto"/>
        <w:rPr>
          <w:rFonts w:hint="default"/>
          <w:lang w:val="en-US" w:eastAsia="zh-CN"/>
        </w:rPr>
      </w:pPr>
      <w:bookmarkStart w:id="132" w:name="_Toc21205"/>
      <w:bookmarkEnd w:id="132"/>
      <w:bookmarkStart w:id="133" w:name="_Toc23114"/>
      <w:bookmarkEnd w:id="133"/>
      <w:bookmarkStart w:id="134" w:name="_Toc8330"/>
      <w:bookmarkEnd w:id="134"/>
      <w:bookmarkStart w:id="135" w:name="_Toc13110"/>
      <w:bookmarkEnd w:id="135"/>
    </w:p>
    <w:p w14:paraId="0D6F094A">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240" w:lineRule="auto"/>
        <w:ind w:left="0" w:leftChars="0" w:firstLine="420" w:firstLineChars="200"/>
        <w:jc w:val="both"/>
        <w:textAlignment w:val="auto"/>
        <w:rPr>
          <w:rFonts w:hint="default" w:hAnsi="Times New Roman" w:eastAsia="黑体" w:cs="Times New Roman"/>
          <w:lang w:val="en-US" w:eastAsia="zh-CN"/>
        </w:rPr>
      </w:pPr>
      <w:bookmarkStart w:id="136" w:name="_Toc14720"/>
      <w:r>
        <w:rPr>
          <w:rFonts w:hint="default" w:hAnsi="Times New Roman" w:eastAsia="黑体" w:cs="Times New Roman"/>
          <w:lang w:val="en-US" w:eastAsia="zh-CN"/>
        </w:rPr>
        <w:t>智能加药 intelligent dosing</w:t>
      </w:r>
      <w:bookmarkEnd w:id="136"/>
    </w:p>
    <w:p w14:paraId="70A6C754">
      <w:pPr>
        <w:pStyle w:val="60"/>
        <w:keepNext w:val="0"/>
        <w:keepLines w:val="0"/>
        <w:pageBreakBefore w:val="0"/>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根据循环水水质在线监测数据与负荷变化，通过算法模型自动计算并调节阻垢缓蚀剂、杀菌剂及硫酸等药剂的投加量，实现水质稳定的闭环控制方式。</w:t>
      </w:r>
    </w:p>
    <w:p w14:paraId="60BA445F">
      <w:pPr>
        <w:pStyle w:val="109"/>
        <w:keepNext w:val="0"/>
        <w:keepLines w:val="0"/>
        <w:pageBreakBefore w:val="0"/>
        <w:kinsoku/>
        <w:wordWrap/>
        <w:overflowPunct/>
        <w:topLinePunct w:val="0"/>
        <w:bidi w:val="0"/>
        <w:snapToGrid/>
        <w:spacing w:after="120" w:afterLines="50" w:line="240" w:lineRule="auto"/>
        <w:ind w:left="0"/>
        <w:jc w:val="both"/>
        <w:textAlignment w:val="auto"/>
        <w:rPr>
          <w:rFonts w:hint="default"/>
          <w:lang w:val="en-US" w:eastAsia="zh-CN"/>
        </w:rPr>
      </w:pPr>
      <w:bookmarkStart w:id="137" w:name="_Toc11844"/>
      <w:bookmarkEnd w:id="137"/>
      <w:bookmarkStart w:id="138" w:name="_Toc15223"/>
      <w:bookmarkEnd w:id="138"/>
      <w:bookmarkStart w:id="139" w:name="_Toc6302"/>
      <w:bookmarkEnd w:id="139"/>
      <w:bookmarkStart w:id="140" w:name="_Toc3511"/>
      <w:bookmarkEnd w:id="140"/>
    </w:p>
    <w:p w14:paraId="7B70B9AD">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240" w:lineRule="auto"/>
        <w:ind w:left="0" w:leftChars="0" w:firstLine="420" w:firstLineChars="200"/>
        <w:jc w:val="both"/>
        <w:textAlignment w:val="auto"/>
        <w:rPr>
          <w:rFonts w:hint="default" w:hAnsi="Times New Roman" w:eastAsia="黑体" w:cs="Times New Roman"/>
          <w:lang w:val="en-US" w:eastAsia="zh-CN"/>
        </w:rPr>
      </w:pPr>
      <w:bookmarkStart w:id="141" w:name="_Toc13249"/>
      <w:r>
        <w:rPr>
          <w:rFonts w:hint="default" w:hAnsi="Times New Roman" w:eastAsia="黑体" w:cs="Times New Roman"/>
          <w:lang w:val="en-US" w:eastAsia="zh-CN"/>
        </w:rPr>
        <w:t>边缘计算节点 edge computing node</w:t>
      </w:r>
      <w:bookmarkEnd w:id="141"/>
    </w:p>
    <w:p w14:paraId="33497C5F">
      <w:pPr>
        <w:pStyle w:val="60"/>
        <w:keepNext w:val="0"/>
        <w:keepLines w:val="0"/>
        <w:pageBreakBefore w:val="0"/>
        <w:kinsoku/>
        <w:wordWrap/>
        <w:overflowPunct/>
        <w:topLinePunct w:val="0"/>
        <w:bidi w:val="0"/>
        <w:snapToGrid/>
        <w:spacing w:line="240" w:lineRule="auto"/>
        <w:textAlignment w:val="auto"/>
        <w:rPr>
          <w:rFonts w:hint="default"/>
          <w:lang w:val="en-US" w:eastAsia="zh-CN"/>
        </w:rPr>
      </w:pPr>
      <w:r>
        <w:rPr>
          <w:rFonts w:hint="default"/>
          <w:lang w:val="en-US" w:eastAsia="zh-CN"/>
        </w:rPr>
        <w:t>部署在循环水系统现场，具备数据采集、预处理与实时控制功能的计算单元，可实现本地化快速决策响应，降低云端传输延迟。</w:t>
      </w:r>
    </w:p>
    <w:p w14:paraId="3588B628">
      <w:pPr>
        <w:pStyle w:val="108"/>
        <w:keepNext w:val="0"/>
        <w:keepLines w:val="0"/>
        <w:pageBreakBefore w:val="0"/>
        <w:kinsoku/>
        <w:wordWrap/>
        <w:overflowPunct/>
        <w:topLinePunct w:val="0"/>
        <w:bidi w:val="0"/>
        <w:snapToGrid/>
        <w:spacing w:line="240" w:lineRule="auto"/>
        <w:textAlignment w:val="auto"/>
      </w:pPr>
      <w:bookmarkStart w:id="142" w:name="_Toc28837"/>
      <w:bookmarkEnd w:id="142"/>
      <w:bookmarkStart w:id="143" w:name="_Toc4546"/>
      <w:r>
        <w:rPr>
          <w:rFonts w:hint="eastAsia"/>
        </w:rPr>
        <w:t>总体架构与分级原则</w:t>
      </w:r>
      <w:bookmarkEnd w:id="143"/>
    </w:p>
    <w:bookmarkEnd w:id="78"/>
    <w:bookmarkEnd w:id="104"/>
    <w:p w14:paraId="46CE3BE7">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pPr>
      <w:bookmarkStart w:id="144" w:name="_Toc7889"/>
      <w:r>
        <w:rPr>
          <w:rFonts w:hint="eastAsia"/>
        </w:rPr>
        <w:t>总体架构</w:t>
      </w:r>
      <w:bookmarkEnd w:id="144"/>
    </w:p>
    <w:p w14:paraId="3CF2B714">
      <w:pPr>
        <w:pStyle w:val="60"/>
        <w:rPr>
          <w:rFonts w:hint="eastAsia"/>
        </w:rPr>
      </w:pPr>
      <w:r>
        <w:rPr>
          <w:rFonts w:hint="eastAsia"/>
        </w:rPr>
        <w:t>火电厂循环冷却水智能化系统采用</w:t>
      </w:r>
      <w:r>
        <w:rPr>
          <w:rFonts w:hint="eastAsia"/>
          <w:lang w:eastAsia="zh-CN"/>
        </w:rPr>
        <w:t>“</w:t>
      </w:r>
      <w:r>
        <w:rPr>
          <w:rFonts w:hint="eastAsia"/>
        </w:rPr>
        <w:t>感知层—传输层—平台层—应用层</w:t>
      </w:r>
      <w:r>
        <w:rPr>
          <w:rFonts w:hint="eastAsia"/>
          <w:lang w:eastAsia="zh-CN"/>
        </w:rPr>
        <w:t>”</w:t>
      </w:r>
      <w:r>
        <w:rPr>
          <w:rFonts w:hint="eastAsia"/>
        </w:rPr>
        <w:t>四层架构，各层功能如下：</w:t>
      </w:r>
    </w:p>
    <w:p w14:paraId="1D27F5D0">
      <w:pPr>
        <w:pStyle w:val="178"/>
        <w:keepNext w:val="0"/>
        <w:keepLines w:val="0"/>
        <w:pageBreakBefore w:val="0"/>
        <w:numPr>
          <w:ilvl w:val="0"/>
          <w:numId w:val="38"/>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感知层：由水质多参数在线分析仪、流量/压力/温度传感器、设备状态监测仪表及视频监控等组成，负责循环水系统运行状态与水质参数的全面感知与数据采集；</w:t>
      </w:r>
    </w:p>
    <w:p w14:paraId="5C22B847">
      <w:pPr>
        <w:pStyle w:val="178"/>
        <w:keepNext w:val="0"/>
        <w:keepLines w:val="0"/>
        <w:pageBreakBefore w:val="0"/>
        <w:numPr>
          <w:ilvl w:val="0"/>
          <w:numId w:val="38"/>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传输层：采用工业以太网、5G或LoRa等通信技术，实现感知层数据向边缘节点与平台层的可靠传输，支持Modbus TCP、OPC UA等工业协议；</w:t>
      </w:r>
    </w:p>
    <w:p w14:paraId="4F76EED1">
      <w:pPr>
        <w:pStyle w:val="178"/>
        <w:keepNext w:val="0"/>
        <w:keepLines w:val="0"/>
        <w:pageBreakBefore w:val="0"/>
        <w:numPr>
          <w:ilvl w:val="0"/>
          <w:numId w:val="38"/>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平台层：包括边缘计算节点与云端数据平台，提供数据存储、清洗、建模分析及API服务，具备实时数据库与历史数据库，支持AI算法部署与数字孪生模型运行；</w:t>
      </w:r>
    </w:p>
    <w:p w14:paraId="1CAB3DF3">
      <w:pPr>
        <w:pStyle w:val="178"/>
        <w:keepNext w:val="0"/>
        <w:keepLines w:val="0"/>
        <w:pageBreakBefore w:val="0"/>
        <w:numPr>
          <w:ilvl w:val="0"/>
          <w:numId w:val="38"/>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应用层：面向运行、维护与管理决策，提供智能加药控制、能效优化调度、水质预警、预测性维护、可视化大屏及移动巡检等业务应用。</w:t>
      </w:r>
    </w:p>
    <w:p w14:paraId="730D33D0">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rPr>
      </w:pPr>
      <w:bookmarkStart w:id="145" w:name="_Toc31774"/>
      <w:r>
        <w:rPr>
          <w:rFonts w:hint="eastAsia"/>
        </w:rPr>
        <w:t>分级原则</w:t>
      </w:r>
      <w:bookmarkEnd w:id="145"/>
    </w:p>
    <w:p w14:paraId="6EA807FD">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系统性原则：分级评价应覆盖循环水系统从数据采集、传输、分析、决策到控制执行的全流程，确保评价结果全面反映系统智能化整体水平。</w:t>
      </w:r>
    </w:p>
    <w:p w14:paraId="580D6533">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递进性原则：分级标准应体现智能化水平的阶梯式提升，从基础自动化到自主优化形成清晰的技术演进路径，各级别之间具有明确的技术边界与升级关系。</w:t>
      </w:r>
    </w:p>
    <w:p w14:paraId="47037DB1">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适用性原则：分级指标应充分考虑不同容量机组、不同水源条件及不同冷却方式的实际情况，兼顾技术先进性与经济可行性。</w:t>
      </w:r>
    </w:p>
    <w:p w14:paraId="55DA41B6">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安全性原则：智能化系统应符合电力安全生产要求，网络安全防护应满足GB/T 22239中等级保护二级及以上要求，具备完善的权限管理与应急处理机制。</w:t>
      </w:r>
    </w:p>
    <w:p w14:paraId="05EC6E85">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节能性原则：分级指标应突出节水降耗导向，将浓缩倍率、补水率、吨水耗电量等作为智能化水平的重要衡量标准，与DL/T 783及GB 45669.1的节水要求相衔接。</w:t>
      </w:r>
    </w:p>
    <w:p w14:paraId="6A1772AB">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rPr>
      </w:pPr>
      <w:bookmarkStart w:id="146" w:name="_Toc10687"/>
      <w:r>
        <w:rPr>
          <w:rFonts w:hint="eastAsia"/>
        </w:rPr>
        <w:t>等级划分</w:t>
      </w:r>
      <w:bookmarkEnd w:id="146"/>
    </w:p>
    <w:p w14:paraId="74FD60C4">
      <w:pPr>
        <w:pStyle w:val="60"/>
        <w:rPr>
          <w:rFonts w:hint="eastAsia"/>
        </w:rPr>
      </w:pPr>
      <w:r>
        <w:rPr>
          <w:rFonts w:hint="eastAsia"/>
        </w:rPr>
        <w:t>根据智能化能力由低到高，将火电厂循环冷却水系统智能化水平划分为五个等级：</w:t>
      </w:r>
    </w:p>
    <w:p w14:paraId="1A81C4E6">
      <w:pPr>
        <w:pStyle w:val="178"/>
        <w:keepNext w:val="0"/>
        <w:keepLines w:val="0"/>
        <w:pageBreakBefore w:val="0"/>
        <w:numPr>
          <w:ilvl w:val="0"/>
          <w:numId w:val="39"/>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L1基础级（数字化起步）：实现关键参数在线监测与基础自动化控制，数据以本地存储与人工分析为主；</w:t>
      </w:r>
    </w:p>
    <w:p w14:paraId="05013572">
      <w:pPr>
        <w:pStyle w:val="178"/>
        <w:keepNext w:val="0"/>
        <w:keepLines w:val="0"/>
        <w:pageBreakBefore w:val="0"/>
        <w:numPr>
          <w:ilvl w:val="0"/>
          <w:numId w:val="39"/>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L2规范级（网络化协同）：实现全参数监测与数据集中管理，具备远程监控与基础自动控制能力；</w:t>
      </w:r>
    </w:p>
    <w:p w14:paraId="4DB8C134">
      <w:pPr>
        <w:pStyle w:val="178"/>
        <w:keepNext w:val="0"/>
        <w:keepLines w:val="0"/>
        <w:pageBreakBefore w:val="0"/>
        <w:numPr>
          <w:ilvl w:val="0"/>
          <w:numId w:val="39"/>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L3集成级（智能化集成）：实现多系统数据集成与智能闭环控制，具备水质预警与设备故障诊断能力；</w:t>
      </w:r>
    </w:p>
    <w:p w14:paraId="0313CD63">
      <w:pPr>
        <w:pStyle w:val="178"/>
        <w:keepNext w:val="0"/>
        <w:keepLines w:val="0"/>
        <w:pageBreakBefore w:val="0"/>
        <w:numPr>
          <w:ilvl w:val="0"/>
          <w:numId w:val="39"/>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L4优化级（智慧化优化）：建成数字孪生平台，具备AI预测与优化调度能力，实现预测性维护与自主决策；</w:t>
      </w:r>
    </w:p>
    <w:p w14:paraId="7DB89D1B">
      <w:pPr>
        <w:pStyle w:val="178"/>
        <w:keepNext w:val="0"/>
        <w:keepLines w:val="0"/>
        <w:pageBreakBefore w:val="0"/>
        <w:numPr>
          <w:ilvl w:val="0"/>
          <w:numId w:val="39"/>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L5引领级（生态化引领）：实现跨系统协同优化与碳足迹管理，具备AI模型自学习与自优化能力，达到行业引领水平。</w:t>
      </w:r>
    </w:p>
    <w:bookmarkEnd w:id="33"/>
    <w:p w14:paraId="7E0ED0CE">
      <w:pPr>
        <w:pStyle w:val="108"/>
        <w:keepNext w:val="0"/>
        <w:keepLines w:val="0"/>
        <w:pageBreakBefore w:val="0"/>
        <w:kinsoku/>
        <w:wordWrap/>
        <w:overflowPunct/>
        <w:topLinePunct w:val="0"/>
        <w:bidi w:val="0"/>
        <w:snapToGrid/>
        <w:spacing w:line="240" w:lineRule="auto"/>
        <w:textAlignment w:val="auto"/>
        <w:rPr>
          <w:rFonts w:hint="eastAsia"/>
          <w:lang w:val="en-US" w:eastAsia="zh-CN"/>
        </w:rPr>
      </w:pPr>
      <w:bookmarkStart w:id="147" w:name="_Toc6002"/>
      <w:r>
        <w:rPr>
          <w:rFonts w:hint="eastAsia"/>
          <w:lang w:val="en-US" w:eastAsia="zh-CN"/>
        </w:rPr>
        <w:t>分级指标体系</w:t>
      </w:r>
      <w:bookmarkEnd w:id="147"/>
    </w:p>
    <w:p w14:paraId="2B1173B4">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lang w:val="en-US" w:eastAsia="zh-CN"/>
        </w:rPr>
      </w:pPr>
      <w:bookmarkStart w:id="148" w:name="_Toc21762"/>
      <w:r>
        <w:rPr>
          <w:rFonts w:hint="eastAsia"/>
          <w:lang w:val="en-US" w:eastAsia="zh-CN"/>
        </w:rPr>
        <w:t>一般规定</w:t>
      </w:r>
      <w:bookmarkEnd w:id="148"/>
    </w:p>
    <w:p w14:paraId="593872A0">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火电厂循环冷却水智能化分级指标体系由感知与监测、数据与通信、智能控制、分析决策、运维管理、</w:t>
      </w:r>
      <w:r>
        <w:rPr>
          <w:rFonts w:hint="eastAsia" w:ascii="宋体" w:eastAsia="宋体" w:cs="Times New Roman"/>
          <w:sz w:val="21"/>
          <w:lang w:val="en-US" w:eastAsia="zh-CN" w:bidi="ar-SA"/>
        </w:rPr>
        <w:t>运行效能</w:t>
      </w:r>
      <w:r>
        <w:rPr>
          <w:rFonts w:hint="eastAsia" w:ascii="宋体" w:hAnsi="Times New Roman" w:eastAsia="宋体" w:cs="Times New Roman"/>
          <w:sz w:val="21"/>
          <w:lang w:val="en-US" w:eastAsia="zh-CN" w:bidi="ar-SA"/>
        </w:rPr>
        <w:t>六个维度构成，各等级应同时满足该等级在六个维度的全部要求。</w:t>
      </w:r>
    </w:p>
    <w:p w14:paraId="36EC25E6">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lang w:val="en-US" w:eastAsia="zh-CN"/>
        </w:rPr>
      </w:pPr>
      <w:r>
        <w:rPr>
          <w:rFonts w:hint="eastAsia" w:ascii="宋体" w:hAnsi="Times New Roman" w:eastAsia="宋体" w:cs="Times New Roman"/>
          <w:sz w:val="21"/>
          <w:lang w:val="en-US" w:eastAsia="zh-CN" w:bidi="ar-SA"/>
        </w:rPr>
        <w:t>循环冷却水水质控制应符合GB/T 50050的规定。</w:t>
      </w:r>
    </w:p>
    <w:p w14:paraId="482483C2">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lang w:val="en-US" w:eastAsia="zh-CN"/>
        </w:rPr>
      </w:pPr>
      <w:bookmarkStart w:id="149" w:name="_Toc2313"/>
      <w:r>
        <w:rPr>
          <w:rFonts w:hint="eastAsia"/>
          <w:lang w:val="en-US" w:eastAsia="zh-CN"/>
        </w:rPr>
        <w:t>L1基础级</w:t>
      </w:r>
      <w:bookmarkEnd w:id="149"/>
    </w:p>
    <w:p w14:paraId="411755F5">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黑体" w:hAnsi="黑体" w:eastAsia="黑体" w:cs="黑体"/>
          <w:sz w:val="21"/>
          <w:lang w:val="en-US" w:eastAsia="zh-CN" w:bidi="ar-SA"/>
        </w:rPr>
      </w:pPr>
      <w:r>
        <w:rPr>
          <w:rFonts w:hint="eastAsia" w:ascii="黑体" w:hAnsi="黑体" w:eastAsia="黑体" w:cs="黑体"/>
          <w:sz w:val="21"/>
          <w:lang w:val="en-US" w:eastAsia="zh-CN" w:bidi="ar-SA"/>
        </w:rPr>
        <w:t>感知与监测</w:t>
      </w:r>
    </w:p>
    <w:p w14:paraId="5AADADF9">
      <w:pPr>
        <w:pStyle w:val="60"/>
        <w:keepNext w:val="0"/>
        <w:keepLines w:val="0"/>
        <w:pageBreakBefore w:val="0"/>
        <w:widowControl/>
        <w:kinsoku/>
        <w:wordWrap/>
        <w:overflowPunct/>
        <w:topLinePunct w:val="0"/>
        <w:autoSpaceDE w:val="0"/>
        <w:autoSpaceDN w:val="0"/>
        <w:bidi w:val="0"/>
        <w:adjustRightInd/>
        <w:snapToGrid/>
        <w:ind w:left="0" w:leftChars="0" w:firstLine="420" w:firstLineChars="200"/>
        <w:textAlignment w:val="auto"/>
        <w:rPr>
          <w:rFonts w:hint="default"/>
          <w:lang w:val="en-US" w:eastAsia="zh-CN"/>
        </w:rPr>
      </w:pPr>
      <w:r>
        <w:rPr>
          <w:rFonts w:hint="eastAsia"/>
          <w:lang w:val="en-US" w:eastAsia="zh-CN"/>
        </w:rPr>
        <w:t>具体要求如下：</w:t>
      </w:r>
    </w:p>
    <w:p w14:paraId="2AC6076B">
      <w:pPr>
        <w:pStyle w:val="178"/>
        <w:keepNext w:val="0"/>
        <w:keepLines w:val="0"/>
        <w:pageBreakBefore w:val="0"/>
        <w:numPr>
          <w:ilvl w:val="0"/>
          <w:numId w:val="40"/>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关键工艺参数（循环水进出口温度、压力、流量、液位）在线监测覆盖率不低于60%；</w:t>
      </w:r>
    </w:p>
    <w:p w14:paraId="70F65C97">
      <w:pPr>
        <w:pStyle w:val="178"/>
        <w:keepNext w:val="0"/>
        <w:keepLines w:val="0"/>
        <w:pageBreakBefore w:val="0"/>
        <w:numPr>
          <w:ilvl w:val="0"/>
          <w:numId w:val="40"/>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应安装水质常规指标在线监测仪表，监测参数不少于3项（宜包括pH值、电导率、浊度），采集频率不低于1次/15min；</w:t>
      </w:r>
    </w:p>
    <w:p w14:paraId="345F6266">
      <w:pPr>
        <w:pStyle w:val="178"/>
        <w:keepNext w:val="0"/>
        <w:keepLines w:val="0"/>
        <w:pageBreakBefore w:val="0"/>
        <w:numPr>
          <w:ilvl w:val="0"/>
          <w:numId w:val="40"/>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循环水泵应具备电机电流与基本温度监测功能；</w:t>
      </w:r>
    </w:p>
    <w:p w14:paraId="28277EA2">
      <w:pPr>
        <w:pStyle w:val="178"/>
        <w:keepNext w:val="0"/>
        <w:keepLines w:val="0"/>
        <w:pageBreakBefore w:val="0"/>
        <w:numPr>
          <w:ilvl w:val="0"/>
          <w:numId w:val="40"/>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环境参数（干湿球温度、风速）采用人工记录方式；</w:t>
      </w:r>
    </w:p>
    <w:p w14:paraId="5B57BBE6">
      <w:pPr>
        <w:pStyle w:val="178"/>
        <w:keepNext w:val="0"/>
        <w:keepLines w:val="0"/>
        <w:pageBreakBefore w:val="0"/>
        <w:numPr>
          <w:ilvl w:val="0"/>
          <w:numId w:val="40"/>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工艺参数采集频率不低于1次/5min。</w:t>
      </w:r>
    </w:p>
    <w:p w14:paraId="6B4B3E80">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default" w:ascii="黑体" w:hAnsi="黑体" w:eastAsia="黑体" w:cs="黑体"/>
          <w:sz w:val="21"/>
          <w:lang w:val="en-US" w:eastAsia="zh-CN" w:bidi="ar-SA"/>
        </w:rPr>
      </w:pPr>
      <w:r>
        <w:rPr>
          <w:rFonts w:hint="eastAsia" w:ascii="黑体" w:hAnsi="黑体" w:eastAsia="黑体" w:cs="黑体"/>
          <w:sz w:val="21"/>
          <w:lang w:val="en-US" w:eastAsia="zh-CN" w:bidi="ar-SA"/>
        </w:rPr>
        <w:t>数据与通信</w:t>
      </w:r>
    </w:p>
    <w:p w14:paraId="4153ADA8">
      <w:pPr>
        <w:pStyle w:val="60"/>
        <w:keepNext w:val="0"/>
        <w:keepLines w:val="0"/>
        <w:pageBreakBefore w:val="0"/>
        <w:widowControl/>
        <w:kinsoku/>
        <w:wordWrap/>
        <w:overflowPunct/>
        <w:topLinePunct w:val="0"/>
        <w:autoSpaceDE w:val="0"/>
        <w:autoSpaceDN w:val="0"/>
        <w:bidi w:val="0"/>
        <w:adjustRightInd/>
        <w:snapToGrid/>
        <w:ind w:left="0" w:leftChars="0" w:firstLine="420" w:firstLineChars="200"/>
        <w:textAlignment w:val="auto"/>
        <w:rPr>
          <w:rFonts w:hint="default"/>
          <w:lang w:val="en-US" w:eastAsia="zh-CN"/>
        </w:rPr>
      </w:pPr>
      <w:r>
        <w:rPr>
          <w:rFonts w:hint="eastAsia"/>
          <w:lang w:val="en-US" w:eastAsia="zh-CN"/>
        </w:rPr>
        <w:t>具体要求如下：</w:t>
      </w:r>
    </w:p>
    <w:p w14:paraId="431E6C49">
      <w:pPr>
        <w:pStyle w:val="178"/>
        <w:keepNext w:val="0"/>
        <w:keepLines w:val="0"/>
        <w:pageBreakBefore w:val="0"/>
        <w:numPr>
          <w:ilvl w:val="0"/>
          <w:numId w:val="41"/>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应建立基础运行数据记录制度，数据本地保存周期不少于3个月；</w:t>
      </w:r>
    </w:p>
    <w:p w14:paraId="7D5675ED">
      <w:pPr>
        <w:pStyle w:val="178"/>
        <w:keepNext w:val="0"/>
        <w:keepLines w:val="0"/>
        <w:pageBreakBefore w:val="0"/>
        <w:numPr>
          <w:ilvl w:val="0"/>
          <w:numId w:val="41"/>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应实现主要运行参数的本地显示和超限报警功能；</w:t>
      </w:r>
    </w:p>
    <w:p w14:paraId="5C1CEC77">
      <w:pPr>
        <w:pStyle w:val="178"/>
        <w:keepNext w:val="0"/>
        <w:keepLines w:val="0"/>
        <w:pageBreakBefore w:val="0"/>
        <w:numPr>
          <w:ilvl w:val="0"/>
          <w:numId w:val="41"/>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应具备人工录入水质分析数据的功能，数据准确率不低于95%；</w:t>
      </w:r>
    </w:p>
    <w:p w14:paraId="5531F513">
      <w:pPr>
        <w:pStyle w:val="178"/>
        <w:keepNext w:val="0"/>
        <w:keepLines w:val="0"/>
        <w:pageBreakBefore w:val="0"/>
        <w:numPr>
          <w:ilvl w:val="0"/>
          <w:numId w:val="41"/>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应采用工业总线或以太网实现控制柜与就地仪表的数据传输。</w:t>
      </w:r>
    </w:p>
    <w:p w14:paraId="69729732">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黑体" w:hAnsi="黑体" w:eastAsia="黑体" w:cs="黑体"/>
          <w:sz w:val="21"/>
          <w:lang w:val="en-US" w:eastAsia="zh-CN" w:bidi="ar-SA"/>
        </w:rPr>
      </w:pPr>
      <w:r>
        <w:rPr>
          <w:rFonts w:hint="eastAsia" w:ascii="黑体" w:hAnsi="黑体" w:eastAsia="黑体" w:cs="黑体"/>
          <w:sz w:val="21"/>
          <w:lang w:val="en-US" w:eastAsia="zh-CN" w:bidi="ar-SA"/>
        </w:rPr>
        <w:t>智能控制</w:t>
      </w:r>
    </w:p>
    <w:p w14:paraId="01A220F0">
      <w:pPr>
        <w:pStyle w:val="60"/>
        <w:keepNext w:val="0"/>
        <w:keepLines w:val="0"/>
        <w:pageBreakBefore w:val="0"/>
        <w:widowControl/>
        <w:kinsoku/>
        <w:wordWrap/>
        <w:overflowPunct/>
        <w:topLinePunct w:val="0"/>
        <w:autoSpaceDE w:val="0"/>
        <w:autoSpaceDN w:val="0"/>
        <w:bidi w:val="0"/>
        <w:adjustRightInd/>
        <w:snapToGrid/>
        <w:ind w:left="0" w:leftChars="0" w:firstLine="420" w:firstLineChars="200"/>
        <w:textAlignment w:val="auto"/>
        <w:rPr>
          <w:rFonts w:hint="eastAsia" w:ascii="宋体" w:hAnsi="宋体" w:eastAsia="宋体" w:cs="宋体"/>
          <w:lang w:val="en-US" w:eastAsia="zh-CN"/>
        </w:rPr>
      </w:pPr>
      <w:r>
        <w:rPr>
          <w:rFonts w:hint="eastAsia"/>
          <w:lang w:val="en-US" w:eastAsia="zh-CN"/>
        </w:rPr>
        <w:t>具体要求如下：</w:t>
      </w:r>
    </w:p>
    <w:p w14:paraId="7562164A">
      <w:pPr>
        <w:pStyle w:val="178"/>
        <w:keepNext w:val="0"/>
        <w:keepLines w:val="0"/>
        <w:pageBreakBefore w:val="0"/>
        <w:numPr>
          <w:ilvl w:val="0"/>
          <w:numId w:val="42"/>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应具备循环水泵启停、阀门开关的远程操作功能；</w:t>
      </w:r>
    </w:p>
    <w:p w14:paraId="54AAD100">
      <w:pPr>
        <w:pStyle w:val="178"/>
        <w:keepNext w:val="0"/>
        <w:keepLines w:val="0"/>
        <w:pageBreakBefore w:val="0"/>
        <w:numPr>
          <w:ilvl w:val="0"/>
          <w:numId w:val="42"/>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应实现补水量的自动调节控制；</w:t>
      </w:r>
    </w:p>
    <w:p w14:paraId="15D73020">
      <w:pPr>
        <w:pStyle w:val="178"/>
        <w:keepNext w:val="0"/>
        <w:keepLines w:val="0"/>
        <w:pageBreakBefore w:val="0"/>
        <w:numPr>
          <w:ilvl w:val="0"/>
          <w:numId w:val="42"/>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加药采用人工投加或简单定时投加方式；</w:t>
      </w:r>
    </w:p>
    <w:p w14:paraId="1C8C7310">
      <w:pPr>
        <w:pStyle w:val="178"/>
        <w:keepNext w:val="0"/>
        <w:keepLines w:val="0"/>
        <w:pageBreakBefore w:val="0"/>
        <w:numPr>
          <w:ilvl w:val="0"/>
          <w:numId w:val="42"/>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浓缩倍率采用人工化验计算方式。</w:t>
      </w:r>
    </w:p>
    <w:p w14:paraId="65A578B2">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黑体" w:hAnsi="黑体" w:eastAsia="黑体" w:cs="黑体"/>
          <w:sz w:val="21"/>
          <w:lang w:val="en-US" w:eastAsia="zh-CN" w:bidi="ar-SA"/>
        </w:rPr>
      </w:pPr>
      <w:r>
        <w:rPr>
          <w:rFonts w:hint="eastAsia" w:ascii="黑体" w:hAnsi="黑体" w:eastAsia="黑体" w:cs="黑体"/>
          <w:sz w:val="21"/>
          <w:lang w:val="en-US" w:eastAsia="zh-CN" w:bidi="ar-SA"/>
        </w:rPr>
        <w:t>分析决策</w:t>
      </w:r>
    </w:p>
    <w:p w14:paraId="4CB95F52">
      <w:pPr>
        <w:pStyle w:val="60"/>
        <w:keepNext w:val="0"/>
        <w:keepLines w:val="0"/>
        <w:pageBreakBefore w:val="0"/>
        <w:widowControl/>
        <w:kinsoku/>
        <w:wordWrap/>
        <w:overflowPunct/>
        <w:topLinePunct w:val="0"/>
        <w:autoSpaceDE w:val="0"/>
        <w:autoSpaceDN w:val="0"/>
        <w:bidi w:val="0"/>
        <w:adjustRightInd/>
        <w:snapToGrid/>
        <w:ind w:left="0" w:leftChars="0" w:firstLine="420" w:firstLineChars="200"/>
        <w:textAlignment w:val="auto"/>
        <w:rPr>
          <w:rFonts w:hint="eastAsia"/>
          <w:lang w:val="en-US" w:eastAsia="zh-CN"/>
        </w:rPr>
      </w:pPr>
      <w:r>
        <w:rPr>
          <w:rFonts w:hint="eastAsia"/>
          <w:lang w:val="en-US" w:eastAsia="zh-CN"/>
        </w:rPr>
        <w:t>具体要求如下：</w:t>
      </w:r>
    </w:p>
    <w:p w14:paraId="28A2136E">
      <w:pPr>
        <w:pStyle w:val="178"/>
        <w:keepNext w:val="0"/>
        <w:keepLines w:val="0"/>
        <w:pageBreakBefore w:val="0"/>
        <w:numPr>
          <w:ilvl w:val="0"/>
          <w:numId w:val="43"/>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应具备基本的运行参数趋势显示功能；</w:t>
      </w:r>
    </w:p>
    <w:p w14:paraId="561FD38E">
      <w:pPr>
        <w:pStyle w:val="178"/>
        <w:keepNext w:val="0"/>
        <w:keepLines w:val="0"/>
        <w:pageBreakBefore w:val="0"/>
        <w:numPr>
          <w:ilvl w:val="0"/>
          <w:numId w:val="43"/>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应具备超限报警功能，报警响应时间不超过30min；</w:t>
      </w:r>
    </w:p>
    <w:p w14:paraId="2A3BA145">
      <w:pPr>
        <w:pStyle w:val="178"/>
        <w:keepNext w:val="0"/>
        <w:keepLines w:val="0"/>
        <w:pageBreakBefore w:val="0"/>
        <w:numPr>
          <w:ilvl w:val="0"/>
          <w:numId w:val="43"/>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水质分析与运行优化以人工判断为主。</w:t>
      </w:r>
    </w:p>
    <w:p w14:paraId="36580DF1">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黑体" w:hAnsi="黑体" w:eastAsia="黑体" w:cs="黑体"/>
          <w:sz w:val="21"/>
          <w:lang w:val="en-US" w:eastAsia="zh-CN" w:bidi="ar-SA"/>
        </w:rPr>
      </w:pPr>
      <w:r>
        <w:rPr>
          <w:rFonts w:hint="eastAsia" w:ascii="黑体" w:hAnsi="黑体" w:eastAsia="黑体" w:cs="黑体"/>
          <w:sz w:val="21"/>
          <w:lang w:val="en-US" w:eastAsia="zh-CN" w:bidi="ar-SA"/>
        </w:rPr>
        <w:t>运维管理</w:t>
      </w:r>
    </w:p>
    <w:p w14:paraId="0814FCF8">
      <w:pPr>
        <w:pStyle w:val="60"/>
        <w:keepNext w:val="0"/>
        <w:keepLines w:val="0"/>
        <w:pageBreakBefore w:val="0"/>
        <w:widowControl/>
        <w:kinsoku/>
        <w:wordWrap/>
        <w:overflowPunct/>
        <w:topLinePunct w:val="0"/>
        <w:autoSpaceDE w:val="0"/>
        <w:autoSpaceDN w:val="0"/>
        <w:bidi w:val="0"/>
        <w:adjustRightInd/>
        <w:snapToGrid/>
        <w:ind w:left="0" w:leftChars="0" w:firstLine="420" w:firstLineChars="200"/>
        <w:textAlignment w:val="auto"/>
        <w:rPr>
          <w:rFonts w:hint="eastAsia"/>
          <w:lang w:val="en-US" w:eastAsia="zh-CN"/>
        </w:rPr>
      </w:pPr>
      <w:r>
        <w:rPr>
          <w:rFonts w:hint="eastAsia"/>
          <w:lang w:val="en-US" w:eastAsia="zh-CN"/>
        </w:rPr>
        <w:t>具体要求如下：</w:t>
      </w:r>
    </w:p>
    <w:p w14:paraId="58F7D7BF">
      <w:pPr>
        <w:pStyle w:val="178"/>
        <w:keepNext w:val="0"/>
        <w:keepLines w:val="0"/>
        <w:pageBreakBefore w:val="0"/>
        <w:numPr>
          <w:ilvl w:val="0"/>
          <w:numId w:val="44"/>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以人工巡检为主，建立日常巡检制度；</w:t>
      </w:r>
    </w:p>
    <w:p w14:paraId="786AD144">
      <w:pPr>
        <w:pStyle w:val="178"/>
        <w:keepNext w:val="0"/>
        <w:keepLines w:val="0"/>
        <w:pageBreakBefore w:val="0"/>
        <w:numPr>
          <w:ilvl w:val="0"/>
          <w:numId w:val="44"/>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运维记录采用纸质或简单电子表格方式；</w:t>
      </w:r>
    </w:p>
    <w:p w14:paraId="399DAE6D">
      <w:pPr>
        <w:pStyle w:val="178"/>
        <w:keepNext w:val="0"/>
        <w:keepLines w:val="0"/>
        <w:pageBreakBefore w:val="0"/>
        <w:numPr>
          <w:ilvl w:val="0"/>
          <w:numId w:val="44"/>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应建立基本的故障报警与处理流程。</w:t>
      </w:r>
    </w:p>
    <w:p w14:paraId="32EE87EA">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黑体" w:hAnsi="黑体" w:eastAsia="黑体" w:cs="黑体"/>
          <w:sz w:val="21"/>
          <w:lang w:val="en-US" w:eastAsia="zh-CN" w:bidi="ar-SA"/>
        </w:rPr>
      </w:pPr>
      <w:r>
        <w:rPr>
          <w:rFonts w:hint="eastAsia" w:hAnsi="黑体" w:cs="黑体"/>
          <w:sz w:val="21"/>
          <w:lang w:val="en-US" w:eastAsia="zh-CN" w:bidi="ar-SA"/>
        </w:rPr>
        <w:t>运行效能</w:t>
      </w:r>
    </w:p>
    <w:p w14:paraId="702D640A">
      <w:pPr>
        <w:pStyle w:val="60"/>
        <w:keepNext w:val="0"/>
        <w:keepLines w:val="0"/>
        <w:pageBreakBefore w:val="0"/>
        <w:widowControl/>
        <w:kinsoku/>
        <w:wordWrap/>
        <w:overflowPunct/>
        <w:topLinePunct w:val="0"/>
        <w:autoSpaceDE w:val="0"/>
        <w:autoSpaceDN w:val="0"/>
        <w:bidi w:val="0"/>
        <w:adjustRightInd/>
        <w:snapToGrid/>
        <w:ind w:left="0" w:leftChars="0" w:firstLine="420" w:firstLineChars="200"/>
        <w:textAlignment w:val="auto"/>
        <w:rPr>
          <w:rFonts w:hint="eastAsia"/>
          <w:lang w:val="en-US" w:eastAsia="zh-CN"/>
        </w:rPr>
      </w:pPr>
      <w:r>
        <w:rPr>
          <w:rFonts w:hint="eastAsia"/>
          <w:lang w:val="en-US" w:eastAsia="zh-CN"/>
        </w:rPr>
        <w:t>具体要求如下：</w:t>
      </w:r>
    </w:p>
    <w:p w14:paraId="60CADD70">
      <w:pPr>
        <w:pStyle w:val="178"/>
        <w:keepNext w:val="0"/>
        <w:keepLines w:val="0"/>
        <w:pageBreakBefore w:val="0"/>
        <w:numPr>
          <w:ilvl w:val="0"/>
          <w:numId w:val="45"/>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浓缩倍率（淡水补水）不低于3.0倍；</w:t>
      </w:r>
    </w:p>
    <w:p w14:paraId="6E56977C">
      <w:pPr>
        <w:pStyle w:val="178"/>
        <w:keepNext w:val="0"/>
        <w:keepLines w:val="0"/>
        <w:pageBreakBefore w:val="0"/>
        <w:numPr>
          <w:ilvl w:val="0"/>
          <w:numId w:val="45"/>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冷却系统补水率（敞开式）不高于1.5%；</w:t>
      </w:r>
    </w:p>
    <w:p w14:paraId="71F1A72C">
      <w:pPr>
        <w:pStyle w:val="178"/>
        <w:keepNext w:val="0"/>
        <w:keepLines w:val="0"/>
        <w:pageBreakBefore w:val="0"/>
        <w:numPr>
          <w:ilvl w:val="0"/>
          <w:numId w:val="45"/>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循环水输送工序吨水百米耗电量不高于0.35kW·h；</w:t>
      </w:r>
    </w:p>
    <w:p w14:paraId="013EF997">
      <w:pPr>
        <w:pStyle w:val="178"/>
        <w:keepNext w:val="0"/>
        <w:keepLines w:val="0"/>
        <w:pageBreakBefore w:val="0"/>
        <w:numPr>
          <w:ilvl w:val="0"/>
          <w:numId w:val="45"/>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碳钢设备腐蚀速率小于0.075mm/a，铜合金及不锈钢设备腐蚀速率小于0.005mm/a；</w:t>
      </w:r>
    </w:p>
    <w:p w14:paraId="0894BB12">
      <w:pPr>
        <w:pStyle w:val="178"/>
        <w:keepNext w:val="0"/>
        <w:keepLines w:val="0"/>
        <w:pageBreakBefore w:val="0"/>
        <w:numPr>
          <w:ilvl w:val="0"/>
          <w:numId w:val="45"/>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污垢热阻值不大于3.44×10</w:t>
      </w:r>
      <w:r>
        <w:rPr>
          <w:rFonts w:hint="eastAsia" w:hAnsi="宋体" w:cs="宋体"/>
          <w:vertAlign w:val="superscript"/>
          <w:lang w:val="en-US" w:eastAsia="zh-CN"/>
        </w:rPr>
        <w:t>-4</w:t>
      </w:r>
      <w:r>
        <w:rPr>
          <w:rFonts w:hint="eastAsia" w:ascii="宋体" w:hAnsi="宋体" w:eastAsia="宋体" w:cs="宋体"/>
          <w:lang w:val="en-US" w:eastAsia="zh-CN"/>
        </w:rPr>
        <w:t>m</w:t>
      </w:r>
      <w:r>
        <w:rPr>
          <w:rFonts w:hint="eastAsia" w:hAnsi="宋体" w:cs="宋体"/>
          <w:vertAlign w:val="superscript"/>
          <w:lang w:val="en-US" w:eastAsia="zh-CN"/>
        </w:rPr>
        <w:t>2</w:t>
      </w:r>
      <w:r>
        <w:rPr>
          <w:rFonts w:hint="eastAsia" w:ascii="宋体" w:hAnsi="宋体" w:eastAsia="宋体" w:cs="宋体"/>
          <w:lang w:val="en-US" w:eastAsia="zh-CN"/>
        </w:rPr>
        <w:t>·K/W；</w:t>
      </w:r>
    </w:p>
    <w:p w14:paraId="3B96598E">
      <w:pPr>
        <w:pStyle w:val="178"/>
        <w:keepNext w:val="0"/>
        <w:keepLines w:val="0"/>
        <w:pageBreakBefore w:val="0"/>
        <w:numPr>
          <w:ilvl w:val="0"/>
          <w:numId w:val="45"/>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异养菌总数不大于1×10</w:t>
      </w:r>
      <w:r>
        <w:rPr>
          <w:rFonts w:hint="eastAsia" w:hAnsi="宋体" w:cs="宋体"/>
          <w:vertAlign w:val="superscript"/>
          <w:lang w:val="en-US" w:eastAsia="zh-CN"/>
        </w:rPr>
        <w:t>5</w:t>
      </w:r>
      <w:r>
        <w:rPr>
          <w:rFonts w:hint="eastAsia" w:ascii="宋体" w:hAnsi="宋体" w:eastAsia="宋体" w:cs="宋体"/>
          <w:lang w:val="en-US" w:eastAsia="zh-CN"/>
        </w:rPr>
        <w:t>CFU/mL；</w:t>
      </w:r>
    </w:p>
    <w:p w14:paraId="59EECDC3">
      <w:pPr>
        <w:pStyle w:val="178"/>
        <w:keepNext w:val="0"/>
        <w:keepLines w:val="0"/>
        <w:pageBreakBefore w:val="0"/>
        <w:numPr>
          <w:ilvl w:val="0"/>
          <w:numId w:val="45"/>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每年因循环水系统问题导致的非计划停机次数不超过2次；</w:t>
      </w:r>
    </w:p>
    <w:p w14:paraId="1B081E4D">
      <w:pPr>
        <w:pStyle w:val="178"/>
        <w:keepNext w:val="0"/>
        <w:keepLines w:val="0"/>
        <w:pageBreakBefore w:val="0"/>
        <w:numPr>
          <w:ilvl w:val="0"/>
          <w:numId w:val="45"/>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自动控制覆盖率不低于30%。</w:t>
      </w:r>
    </w:p>
    <w:p w14:paraId="0227F27C">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lang w:val="en-US" w:eastAsia="zh-CN"/>
        </w:rPr>
      </w:pPr>
      <w:bookmarkStart w:id="150" w:name="_Toc25792"/>
      <w:r>
        <w:rPr>
          <w:rFonts w:hint="eastAsia"/>
          <w:lang w:val="en-US" w:eastAsia="zh-CN"/>
        </w:rPr>
        <w:t>L2规范级</w:t>
      </w:r>
      <w:bookmarkEnd w:id="150"/>
    </w:p>
    <w:p w14:paraId="155B5438">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黑体" w:hAnsi="黑体" w:eastAsia="黑体" w:cs="黑体"/>
          <w:sz w:val="21"/>
          <w:lang w:val="en-US" w:eastAsia="zh-CN" w:bidi="ar-SA"/>
        </w:rPr>
      </w:pPr>
      <w:r>
        <w:rPr>
          <w:rFonts w:hint="eastAsia" w:ascii="黑体" w:hAnsi="黑体" w:eastAsia="黑体" w:cs="黑体"/>
          <w:sz w:val="21"/>
          <w:lang w:val="en-US" w:eastAsia="zh-CN" w:bidi="ar-SA"/>
        </w:rPr>
        <w:t>感知与监测</w:t>
      </w:r>
    </w:p>
    <w:p w14:paraId="716F4C6E">
      <w:pPr>
        <w:pStyle w:val="60"/>
        <w:keepNext w:val="0"/>
        <w:keepLines w:val="0"/>
        <w:pageBreakBefore w:val="0"/>
        <w:widowControl/>
        <w:kinsoku/>
        <w:wordWrap/>
        <w:overflowPunct/>
        <w:topLinePunct w:val="0"/>
        <w:autoSpaceDE w:val="0"/>
        <w:autoSpaceDN w:val="0"/>
        <w:bidi w:val="0"/>
        <w:adjustRightInd/>
        <w:snapToGrid/>
        <w:ind w:left="0" w:leftChars="0" w:firstLine="420" w:firstLineChars="200"/>
        <w:textAlignment w:val="auto"/>
        <w:rPr>
          <w:rFonts w:hint="eastAsia"/>
          <w:lang w:val="en-US" w:eastAsia="zh-CN"/>
        </w:rPr>
      </w:pPr>
      <w:r>
        <w:rPr>
          <w:rFonts w:hint="eastAsia"/>
          <w:lang w:val="en-US" w:eastAsia="zh-CN"/>
        </w:rPr>
        <w:t>具体要求如下：</w:t>
      </w:r>
    </w:p>
    <w:p w14:paraId="284D4252">
      <w:pPr>
        <w:pStyle w:val="178"/>
        <w:keepNext w:val="0"/>
        <w:keepLines w:val="0"/>
        <w:pageBreakBefore w:val="0"/>
        <w:numPr>
          <w:ilvl w:val="0"/>
          <w:numId w:val="46"/>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关键工艺参数在线监测覆盖率不低于90%；</w:t>
      </w:r>
    </w:p>
    <w:p w14:paraId="598FB7A8">
      <w:pPr>
        <w:pStyle w:val="178"/>
        <w:keepNext w:val="0"/>
        <w:keepLines w:val="0"/>
        <w:pageBreakBefore w:val="0"/>
        <w:numPr>
          <w:ilvl w:val="0"/>
          <w:numId w:val="46"/>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水质常规五参数（pH值、电导率、浊度、余氯、ORP）在线监测仪表齐全，采集频率不低于1次/5min；</w:t>
      </w:r>
    </w:p>
    <w:p w14:paraId="69578588">
      <w:pPr>
        <w:pStyle w:val="178"/>
        <w:keepNext w:val="0"/>
        <w:keepLines w:val="0"/>
        <w:pageBreakBefore w:val="0"/>
        <w:numPr>
          <w:ilvl w:val="0"/>
          <w:numId w:val="46"/>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循环水泵、冷却塔风机等关键设备应加装振动、温度、轴承油位等状态监测传感器；</w:t>
      </w:r>
    </w:p>
    <w:p w14:paraId="156597B4">
      <w:pPr>
        <w:pStyle w:val="178"/>
        <w:keepNext w:val="0"/>
        <w:keepLines w:val="0"/>
        <w:pageBreakBefore w:val="0"/>
        <w:numPr>
          <w:ilvl w:val="0"/>
          <w:numId w:val="46"/>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环境参数（干湿球温度、风速）应实现在线监测；</w:t>
      </w:r>
    </w:p>
    <w:p w14:paraId="7CFFE18A">
      <w:pPr>
        <w:pStyle w:val="178"/>
        <w:keepNext w:val="0"/>
        <w:keepLines w:val="0"/>
        <w:pageBreakBefore w:val="0"/>
        <w:numPr>
          <w:ilvl w:val="0"/>
          <w:numId w:val="46"/>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工艺参数采集频率不低于1次/min，设备状态参数不低于1次/10s；</w:t>
      </w:r>
    </w:p>
    <w:p w14:paraId="5AF1160F">
      <w:pPr>
        <w:pStyle w:val="178"/>
        <w:keepNext w:val="0"/>
        <w:keepLines w:val="0"/>
        <w:pageBreakBefore w:val="0"/>
        <w:numPr>
          <w:ilvl w:val="0"/>
          <w:numId w:val="46"/>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关键区域（冷却塔、加药间、泵房）应安装视频监控。</w:t>
      </w:r>
    </w:p>
    <w:p w14:paraId="08626DC5">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黑体" w:hAnsi="黑体" w:eastAsia="黑体" w:cs="黑体"/>
          <w:sz w:val="21"/>
          <w:lang w:val="en-US" w:eastAsia="zh-CN" w:bidi="ar-SA"/>
        </w:rPr>
      </w:pPr>
      <w:r>
        <w:rPr>
          <w:rFonts w:hint="eastAsia" w:ascii="黑体" w:hAnsi="黑体" w:eastAsia="黑体" w:cs="黑体"/>
          <w:sz w:val="21"/>
          <w:lang w:val="en-US" w:eastAsia="zh-CN" w:bidi="ar-SA"/>
        </w:rPr>
        <w:t>数据与通信</w:t>
      </w:r>
    </w:p>
    <w:p w14:paraId="09EC6B52">
      <w:pPr>
        <w:pStyle w:val="60"/>
        <w:keepNext w:val="0"/>
        <w:keepLines w:val="0"/>
        <w:pageBreakBefore w:val="0"/>
        <w:widowControl/>
        <w:kinsoku/>
        <w:wordWrap/>
        <w:overflowPunct/>
        <w:topLinePunct w:val="0"/>
        <w:autoSpaceDE w:val="0"/>
        <w:autoSpaceDN w:val="0"/>
        <w:bidi w:val="0"/>
        <w:adjustRightInd/>
        <w:snapToGrid/>
        <w:ind w:left="0" w:leftChars="0" w:firstLine="420" w:firstLineChars="200"/>
        <w:textAlignment w:val="auto"/>
        <w:rPr>
          <w:rFonts w:hint="eastAsia"/>
          <w:lang w:val="en-US" w:eastAsia="zh-CN"/>
        </w:rPr>
      </w:pPr>
      <w:r>
        <w:rPr>
          <w:rFonts w:hint="eastAsia"/>
          <w:lang w:val="en-US" w:eastAsia="zh-CN"/>
        </w:rPr>
        <w:t>具体要求如下：</w:t>
      </w:r>
    </w:p>
    <w:p w14:paraId="5F56D457">
      <w:pPr>
        <w:pStyle w:val="178"/>
        <w:keepNext w:val="0"/>
        <w:keepLines w:val="0"/>
        <w:pageBreakBefore w:val="0"/>
        <w:numPr>
          <w:ilvl w:val="0"/>
          <w:numId w:val="47"/>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应建立循环水系统数据库，实现运行数据与维护记录的集中存储，数据保存周期不少于1年；</w:t>
      </w:r>
    </w:p>
    <w:p w14:paraId="44EC2570">
      <w:pPr>
        <w:pStyle w:val="178"/>
        <w:keepNext w:val="0"/>
        <w:keepLines w:val="0"/>
        <w:pageBreakBefore w:val="0"/>
        <w:numPr>
          <w:ilvl w:val="0"/>
          <w:numId w:val="47"/>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应实现与电厂SIS（厂级监控信息系统）的数据对接，支持数据共享；</w:t>
      </w:r>
    </w:p>
    <w:p w14:paraId="3F69F5B5">
      <w:pPr>
        <w:pStyle w:val="178"/>
        <w:keepNext w:val="0"/>
        <w:keepLines w:val="0"/>
        <w:pageBreakBefore w:val="0"/>
        <w:numPr>
          <w:ilvl w:val="0"/>
          <w:numId w:val="47"/>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应具备数据完整性校验功能，关键数据准确率不低于99%；</w:t>
      </w:r>
    </w:p>
    <w:p w14:paraId="0AE97000">
      <w:pPr>
        <w:pStyle w:val="178"/>
        <w:keepNext w:val="0"/>
        <w:keepLines w:val="0"/>
        <w:pageBreakBefore w:val="0"/>
        <w:numPr>
          <w:ilvl w:val="0"/>
          <w:numId w:val="47"/>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应建立独立的工业控制网络，与管理网络实现物理隔离或防火墙隔离。</w:t>
      </w:r>
    </w:p>
    <w:p w14:paraId="36F47747">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黑体" w:hAnsi="黑体" w:eastAsia="黑体" w:cs="黑体"/>
          <w:sz w:val="21"/>
          <w:lang w:val="en-US" w:eastAsia="zh-CN" w:bidi="ar-SA"/>
        </w:rPr>
      </w:pPr>
      <w:r>
        <w:rPr>
          <w:rFonts w:hint="eastAsia" w:ascii="黑体" w:hAnsi="黑体" w:eastAsia="黑体" w:cs="黑体"/>
          <w:sz w:val="21"/>
          <w:lang w:val="en-US" w:eastAsia="zh-CN" w:bidi="ar-SA"/>
        </w:rPr>
        <w:t>智能控制</w:t>
      </w:r>
    </w:p>
    <w:p w14:paraId="0CC61BDD">
      <w:pPr>
        <w:pStyle w:val="60"/>
        <w:keepNext w:val="0"/>
        <w:keepLines w:val="0"/>
        <w:pageBreakBefore w:val="0"/>
        <w:widowControl/>
        <w:kinsoku/>
        <w:wordWrap/>
        <w:overflowPunct/>
        <w:topLinePunct w:val="0"/>
        <w:autoSpaceDE w:val="0"/>
        <w:autoSpaceDN w:val="0"/>
        <w:bidi w:val="0"/>
        <w:adjustRightInd/>
        <w:snapToGrid/>
        <w:ind w:left="0" w:leftChars="0" w:firstLine="420" w:firstLineChars="200"/>
        <w:textAlignment w:val="auto"/>
        <w:rPr>
          <w:rFonts w:hint="eastAsia" w:ascii="宋体" w:hAnsi="宋体" w:eastAsia="宋体" w:cs="宋体"/>
          <w:lang w:val="en-US" w:eastAsia="zh-CN"/>
        </w:rPr>
      </w:pPr>
      <w:r>
        <w:rPr>
          <w:rFonts w:hint="eastAsia"/>
          <w:lang w:val="en-US" w:eastAsia="zh-CN"/>
        </w:rPr>
        <w:t>具体要求如下：</w:t>
      </w:r>
    </w:p>
    <w:p w14:paraId="64D25C7B">
      <w:pPr>
        <w:pStyle w:val="178"/>
        <w:keepNext w:val="0"/>
        <w:keepLines w:val="0"/>
        <w:pageBreakBefore w:val="0"/>
        <w:numPr>
          <w:ilvl w:val="0"/>
          <w:numId w:val="48"/>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应实现循环水流量、压力、水温的自动调节控制；</w:t>
      </w:r>
    </w:p>
    <w:p w14:paraId="187FBFC3">
      <w:pPr>
        <w:pStyle w:val="178"/>
        <w:keepNext w:val="0"/>
        <w:keepLines w:val="0"/>
        <w:pageBreakBefore w:val="0"/>
        <w:numPr>
          <w:ilvl w:val="0"/>
          <w:numId w:val="48"/>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应具备阻垢缓蚀剂与杀菌剂的自动投加功能，投加精度不低于±10%，药剂性能应符合DL/T 806的要求；</w:t>
      </w:r>
    </w:p>
    <w:p w14:paraId="28483C19">
      <w:pPr>
        <w:pStyle w:val="178"/>
        <w:keepNext w:val="0"/>
        <w:keepLines w:val="0"/>
        <w:pageBreakBefore w:val="0"/>
        <w:numPr>
          <w:ilvl w:val="0"/>
          <w:numId w:val="48"/>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循环水泵与冷却塔风机应配置变频调速装置，实现根据负荷与环境温度的自动调节；</w:t>
      </w:r>
    </w:p>
    <w:p w14:paraId="67B06CF6">
      <w:pPr>
        <w:pStyle w:val="178"/>
        <w:keepNext w:val="0"/>
        <w:keepLines w:val="0"/>
        <w:pageBreakBefore w:val="0"/>
        <w:numPr>
          <w:ilvl w:val="0"/>
          <w:numId w:val="48"/>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应实现浓缩倍率的在线计算与自动排污控制。</w:t>
      </w:r>
    </w:p>
    <w:p w14:paraId="01C23089">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黑体" w:hAnsi="黑体" w:eastAsia="黑体" w:cs="黑体"/>
          <w:sz w:val="21"/>
          <w:lang w:val="en-US" w:eastAsia="zh-CN" w:bidi="ar-SA"/>
        </w:rPr>
      </w:pPr>
      <w:r>
        <w:rPr>
          <w:rFonts w:hint="eastAsia" w:ascii="黑体" w:hAnsi="黑体" w:eastAsia="黑体" w:cs="黑体"/>
          <w:sz w:val="21"/>
          <w:lang w:val="en-US" w:eastAsia="zh-CN" w:bidi="ar-SA"/>
        </w:rPr>
        <w:t>分析决策</w:t>
      </w:r>
    </w:p>
    <w:p w14:paraId="556110F7">
      <w:pPr>
        <w:pStyle w:val="60"/>
        <w:keepNext w:val="0"/>
        <w:keepLines w:val="0"/>
        <w:pageBreakBefore w:val="0"/>
        <w:widowControl/>
        <w:kinsoku/>
        <w:wordWrap/>
        <w:overflowPunct/>
        <w:topLinePunct w:val="0"/>
        <w:autoSpaceDE w:val="0"/>
        <w:autoSpaceDN w:val="0"/>
        <w:bidi w:val="0"/>
        <w:adjustRightInd/>
        <w:snapToGrid/>
        <w:ind w:left="0" w:leftChars="0" w:firstLine="420" w:firstLineChars="200"/>
        <w:textAlignment w:val="auto"/>
        <w:rPr>
          <w:rFonts w:hint="eastAsia" w:ascii="宋体" w:hAnsi="宋体" w:eastAsia="宋体" w:cs="宋体"/>
          <w:lang w:val="en-US" w:eastAsia="zh-CN"/>
        </w:rPr>
      </w:pPr>
      <w:r>
        <w:rPr>
          <w:rFonts w:hint="eastAsia"/>
          <w:lang w:val="en-US" w:eastAsia="zh-CN"/>
        </w:rPr>
        <w:t>具体要求如下：</w:t>
      </w:r>
    </w:p>
    <w:p w14:paraId="7F05AFCF">
      <w:pPr>
        <w:pStyle w:val="178"/>
        <w:keepNext w:val="0"/>
        <w:keepLines w:val="0"/>
        <w:pageBreakBefore w:val="0"/>
        <w:numPr>
          <w:ilvl w:val="0"/>
          <w:numId w:val="49"/>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应具备水质参数趋势显示与超限报警功能，报警响应时间不超过30min；</w:t>
      </w:r>
    </w:p>
    <w:p w14:paraId="1DAF7D84">
      <w:pPr>
        <w:pStyle w:val="178"/>
        <w:keepNext w:val="0"/>
        <w:keepLines w:val="0"/>
        <w:pageBreakBefore w:val="0"/>
        <w:numPr>
          <w:ilvl w:val="0"/>
          <w:numId w:val="49"/>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应实现能耗统计分析功能，生成月度能效评估报告；</w:t>
      </w:r>
    </w:p>
    <w:p w14:paraId="21D11BBA">
      <w:pPr>
        <w:pStyle w:val="178"/>
        <w:keepNext w:val="0"/>
        <w:keepLines w:val="0"/>
        <w:pageBreakBefore w:val="0"/>
        <w:numPr>
          <w:ilvl w:val="0"/>
          <w:numId w:val="49"/>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应建立设备状态监测与故障诊断系统，具备常见故障的自动识别功能。</w:t>
      </w:r>
    </w:p>
    <w:p w14:paraId="16472A53">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黑体" w:hAnsi="黑体" w:eastAsia="黑体" w:cs="黑体"/>
          <w:sz w:val="21"/>
          <w:lang w:val="en-US" w:eastAsia="zh-CN" w:bidi="ar-SA"/>
        </w:rPr>
      </w:pPr>
      <w:r>
        <w:rPr>
          <w:rFonts w:hint="eastAsia" w:ascii="黑体" w:hAnsi="黑体" w:eastAsia="黑体" w:cs="黑体"/>
          <w:sz w:val="21"/>
          <w:lang w:val="en-US" w:eastAsia="zh-CN" w:bidi="ar-SA"/>
        </w:rPr>
        <w:t>运维管理</w:t>
      </w:r>
    </w:p>
    <w:p w14:paraId="240E69E7">
      <w:pPr>
        <w:pStyle w:val="60"/>
        <w:keepNext w:val="0"/>
        <w:keepLines w:val="0"/>
        <w:pageBreakBefore w:val="0"/>
        <w:widowControl/>
        <w:kinsoku/>
        <w:wordWrap/>
        <w:overflowPunct/>
        <w:topLinePunct w:val="0"/>
        <w:autoSpaceDE w:val="0"/>
        <w:autoSpaceDN w:val="0"/>
        <w:bidi w:val="0"/>
        <w:adjustRightInd/>
        <w:snapToGrid/>
        <w:ind w:left="0" w:leftChars="0" w:firstLine="420" w:firstLineChars="200"/>
        <w:textAlignment w:val="auto"/>
        <w:rPr>
          <w:rFonts w:hint="eastAsia" w:ascii="宋体" w:hAnsi="宋体" w:eastAsia="宋体" w:cs="宋体"/>
          <w:lang w:val="en-US" w:eastAsia="zh-CN"/>
        </w:rPr>
      </w:pPr>
      <w:r>
        <w:rPr>
          <w:rFonts w:hint="eastAsia"/>
          <w:lang w:val="en-US" w:eastAsia="zh-CN"/>
        </w:rPr>
        <w:t>具体要求如下：</w:t>
      </w:r>
    </w:p>
    <w:p w14:paraId="239A703D">
      <w:pPr>
        <w:pStyle w:val="178"/>
        <w:keepNext w:val="0"/>
        <w:keepLines w:val="0"/>
        <w:pageBreakBefore w:val="0"/>
        <w:numPr>
          <w:ilvl w:val="0"/>
          <w:numId w:val="50"/>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应配置移动巡检终端，实现巡检电子化；</w:t>
      </w:r>
    </w:p>
    <w:p w14:paraId="541F7EA3">
      <w:pPr>
        <w:pStyle w:val="178"/>
        <w:keepNext w:val="0"/>
        <w:keepLines w:val="0"/>
        <w:pageBreakBefore w:val="0"/>
        <w:numPr>
          <w:ilvl w:val="0"/>
          <w:numId w:val="50"/>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应实现运维工单的电子化流转与闭环管理；</w:t>
      </w:r>
    </w:p>
    <w:p w14:paraId="209E1BAB">
      <w:pPr>
        <w:pStyle w:val="178"/>
        <w:keepNext w:val="0"/>
        <w:keepLines w:val="0"/>
        <w:pageBreakBefore w:val="0"/>
        <w:numPr>
          <w:ilvl w:val="0"/>
          <w:numId w:val="50"/>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应具备集中监控可视化大屏。</w:t>
      </w:r>
    </w:p>
    <w:p w14:paraId="0F2E5A73">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黑体" w:hAnsi="黑体" w:eastAsia="黑体" w:cs="黑体"/>
          <w:sz w:val="21"/>
          <w:lang w:val="en-US" w:eastAsia="zh-CN" w:bidi="ar-SA"/>
        </w:rPr>
      </w:pPr>
      <w:r>
        <w:rPr>
          <w:rFonts w:hint="eastAsia" w:hAnsi="黑体" w:cs="黑体"/>
          <w:sz w:val="21"/>
          <w:lang w:val="en-US" w:eastAsia="zh-CN" w:bidi="ar-SA"/>
        </w:rPr>
        <w:t>运行效能</w:t>
      </w:r>
    </w:p>
    <w:p w14:paraId="47E3C33F">
      <w:pPr>
        <w:pStyle w:val="60"/>
        <w:keepNext w:val="0"/>
        <w:keepLines w:val="0"/>
        <w:pageBreakBefore w:val="0"/>
        <w:widowControl/>
        <w:kinsoku/>
        <w:wordWrap/>
        <w:overflowPunct/>
        <w:topLinePunct w:val="0"/>
        <w:autoSpaceDE w:val="0"/>
        <w:autoSpaceDN w:val="0"/>
        <w:bidi w:val="0"/>
        <w:adjustRightInd/>
        <w:snapToGrid/>
        <w:ind w:left="0" w:leftChars="0" w:firstLine="420" w:firstLineChars="200"/>
        <w:textAlignment w:val="auto"/>
        <w:rPr>
          <w:rFonts w:hint="eastAsia" w:ascii="宋体" w:hAnsi="宋体" w:eastAsia="宋体" w:cs="宋体"/>
          <w:lang w:val="en-US" w:eastAsia="zh-CN"/>
        </w:rPr>
      </w:pPr>
      <w:r>
        <w:rPr>
          <w:rFonts w:hint="eastAsia"/>
          <w:lang w:val="en-US" w:eastAsia="zh-CN"/>
        </w:rPr>
        <w:t>具体要求如下：</w:t>
      </w:r>
    </w:p>
    <w:p w14:paraId="25F756BF">
      <w:pPr>
        <w:pStyle w:val="178"/>
        <w:keepNext w:val="0"/>
        <w:keepLines w:val="0"/>
        <w:pageBreakBefore w:val="0"/>
        <w:numPr>
          <w:ilvl w:val="0"/>
          <w:numId w:val="51"/>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浓缩倍率（淡水补水）不低于4.0倍；</w:t>
      </w:r>
    </w:p>
    <w:p w14:paraId="276383DD">
      <w:pPr>
        <w:pStyle w:val="178"/>
        <w:keepNext w:val="0"/>
        <w:keepLines w:val="0"/>
        <w:pageBreakBefore w:val="0"/>
        <w:numPr>
          <w:ilvl w:val="0"/>
          <w:numId w:val="51"/>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冷却系统补水率（敞开式）不高于1.3%；</w:t>
      </w:r>
    </w:p>
    <w:p w14:paraId="5B3B9945">
      <w:pPr>
        <w:pStyle w:val="178"/>
        <w:keepNext w:val="0"/>
        <w:keepLines w:val="0"/>
        <w:pageBreakBefore w:val="0"/>
        <w:numPr>
          <w:ilvl w:val="0"/>
          <w:numId w:val="51"/>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循环水输送工序吨水百米耗电量不高于0.32kW·h；</w:t>
      </w:r>
    </w:p>
    <w:p w14:paraId="3BAB54D5">
      <w:pPr>
        <w:pStyle w:val="178"/>
        <w:keepNext w:val="0"/>
        <w:keepLines w:val="0"/>
        <w:pageBreakBefore w:val="0"/>
        <w:numPr>
          <w:ilvl w:val="0"/>
          <w:numId w:val="51"/>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碳钢设备腐蚀速率小于0.075mm/a，铜合金及不锈钢设备腐蚀速率小于0.005mm/a；</w:t>
      </w:r>
    </w:p>
    <w:p w14:paraId="574FD542">
      <w:pPr>
        <w:pStyle w:val="178"/>
        <w:keepNext w:val="0"/>
        <w:keepLines w:val="0"/>
        <w:pageBreakBefore w:val="0"/>
        <w:numPr>
          <w:ilvl w:val="0"/>
          <w:numId w:val="51"/>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污垢热阻值不大于3.44×10</w:t>
      </w:r>
      <w:r>
        <w:rPr>
          <w:rFonts w:hint="eastAsia" w:hAnsi="宋体" w:cs="宋体"/>
          <w:vertAlign w:val="superscript"/>
          <w:lang w:val="en-US" w:eastAsia="zh-CN"/>
        </w:rPr>
        <w:t>-4</w:t>
      </w:r>
      <w:r>
        <w:rPr>
          <w:rFonts w:hint="eastAsia" w:ascii="宋体" w:hAnsi="宋体" w:eastAsia="宋体" w:cs="宋体"/>
          <w:lang w:val="en-US" w:eastAsia="zh-CN"/>
        </w:rPr>
        <w:t>m</w:t>
      </w:r>
      <w:r>
        <w:rPr>
          <w:rFonts w:hint="eastAsia" w:hAnsi="宋体" w:cs="宋体"/>
          <w:vertAlign w:val="superscript"/>
          <w:lang w:val="en-US" w:eastAsia="zh-CN"/>
        </w:rPr>
        <w:t>2</w:t>
      </w:r>
      <w:r>
        <w:rPr>
          <w:rFonts w:hint="eastAsia" w:ascii="宋体" w:hAnsi="宋体" w:eastAsia="宋体" w:cs="宋体"/>
          <w:lang w:val="en-US" w:eastAsia="zh-CN"/>
        </w:rPr>
        <w:t>·K/W；</w:t>
      </w:r>
    </w:p>
    <w:p w14:paraId="103327E3">
      <w:pPr>
        <w:pStyle w:val="178"/>
        <w:keepNext w:val="0"/>
        <w:keepLines w:val="0"/>
        <w:pageBreakBefore w:val="0"/>
        <w:numPr>
          <w:ilvl w:val="0"/>
          <w:numId w:val="51"/>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异养菌总数不大于1×10</w:t>
      </w:r>
      <w:r>
        <w:rPr>
          <w:rFonts w:hint="eastAsia" w:hAnsi="宋体" w:cs="宋体"/>
          <w:vertAlign w:val="superscript"/>
          <w:lang w:val="en-US" w:eastAsia="zh-CN"/>
        </w:rPr>
        <w:t>5</w:t>
      </w:r>
      <w:r>
        <w:rPr>
          <w:rFonts w:hint="eastAsia" w:ascii="宋体" w:hAnsi="宋体" w:eastAsia="宋体" w:cs="宋体"/>
          <w:lang w:val="en-US" w:eastAsia="zh-CN"/>
        </w:rPr>
        <w:t>CFU/mL；</w:t>
      </w:r>
    </w:p>
    <w:p w14:paraId="796AF377">
      <w:pPr>
        <w:pStyle w:val="178"/>
        <w:keepNext w:val="0"/>
        <w:keepLines w:val="0"/>
        <w:pageBreakBefore w:val="0"/>
        <w:numPr>
          <w:ilvl w:val="0"/>
          <w:numId w:val="51"/>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每年因循环水系统问题导致的非计划停机次数不超过1次；</w:t>
      </w:r>
    </w:p>
    <w:p w14:paraId="63184355">
      <w:pPr>
        <w:pStyle w:val="178"/>
        <w:keepNext w:val="0"/>
        <w:keepLines w:val="0"/>
        <w:pageBreakBefore w:val="0"/>
        <w:numPr>
          <w:ilvl w:val="0"/>
          <w:numId w:val="51"/>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自动控制覆盖率不低于60%；</w:t>
      </w:r>
    </w:p>
    <w:p w14:paraId="74113DE2">
      <w:pPr>
        <w:pStyle w:val="178"/>
        <w:keepNext w:val="0"/>
        <w:keepLines w:val="0"/>
        <w:pageBreakBefore w:val="0"/>
        <w:numPr>
          <w:ilvl w:val="0"/>
          <w:numId w:val="51"/>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药剂投加量较定额节约率不低于3%；</w:t>
      </w:r>
    </w:p>
    <w:p w14:paraId="4B8B99A0">
      <w:pPr>
        <w:pStyle w:val="178"/>
        <w:keepNext w:val="0"/>
        <w:keepLines w:val="0"/>
        <w:pageBreakBefore w:val="0"/>
        <w:numPr>
          <w:ilvl w:val="0"/>
          <w:numId w:val="51"/>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年系统节能率不低于3%。</w:t>
      </w:r>
    </w:p>
    <w:p w14:paraId="0357BD5A">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lang w:val="en-US" w:eastAsia="zh-CN"/>
        </w:rPr>
      </w:pPr>
      <w:bookmarkStart w:id="151" w:name="_Toc28776"/>
      <w:r>
        <w:rPr>
          <w:rFonts w:hint="eastAsia"/>
          <w:lang w:val="en-US" w:eastAsia="zh-CN"/>
        </w:rPr>
        <w:t>L3集成级</w:t>
      </w:r>
      <w:bookmarkEnd w:id="151"/>
    </w:p>
    <w:p w14:paraId="33887470">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黑体" w:hAnsi="黑体" w:eastAsia="黑体" w:cs="黑体"/>
          <w:sz w:val="21"/>
          <w:lang w:val="en-US" w:eastAsia="zh-CN" w:bidi="ar-SA"/>
        </w:rPr>
      </w:pPr>
      <w:r>
        <w:rPr>
          <w:rFonts w:hint="eastAsia" w:ascii="黑体" w:hAnsi="黑体" w:eastAsia="黑体" w:cs="黑体"/>
          <w:sz w:val="21"/>
          <w:lang w:val="en-US" w:eastAsia="zh-CN" w:bidi="ar-SA"/>
        </w:rPr>
        <w:t>感知与监测</w:t>
      </w:r>
    </w:p>
    <w:p w14:paraId="57F8F102">
      <w:pPr>
        <w:pStyle w:val="60"/>
        <w:rPr>
          <w:rFonts w:hint="eastAsia"/>
          <w:lang w:val="en-US" w:eastAsia="zh-CN"/>
        </w:rPr>
      </w:pPr>
      <w:r>
        <w:rPr>
          <w:rFonts w:hint="eastAsia"/>
          <w:lang w:val="en-US" w:eastAsia="zh-CN"/>
        </w:rPr>
        <w:t>具体要求如下：</w:t>
      </w:r>
    </w:p>
    <w:p w14:paraId="7D56B7CD">
      <w:pPr>
        <w:pStyle w:val="178"/>
        <w:keepNext w:val="0"/>
        <w:keepLines w:val="0"/>
        <w:pageBreakBefore w:val="0"/>
        <w:numPr>
          <w:ilvl w:val="0"/>
          <w:numId w:val="52"/>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关键工艺参数在线监测覆盖率达到100%；</w:t>
      </w:r>
    </w:p>
    <w:p w14:paraId="16FED0C9">
      <w:pPr>
        <w:pStyle w:val="178"/>
        <w:keepNext w:val="0"/>
        <w:keepLines w:val="0"/>
        <w:pageBreakBefore w:val="0"/>
        <w:numPr>
          <w:ilvl w:val="0"/>
          <w:numId w:val="52"/>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应在常规五参数基础上增加腐蚀速率在线监测仪、结垢趋势监测仪及浓缩倍率在线计算功能，水质参数采集频率不低于1次/min；</w:t>
      </w:r>
    </w:p>
    <w:p w14:paraId="65515BF7">
      <w:pPr>
        <w:pStyle w:val="178"/>
        <w:keepNext w:val="0"/>
        <w:keepLines w:val="0"/>
        <w:pageBreakBefore w:val="0"/>
        <w:numPr>
          <w:ilvl w:val="0"/>
          <w:numId w:val="52"/>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关键转动设备应实现振动频谱分析，具备轴承故障早期识别能力；</w:t>
      </w:r>
    </w:p>
    <w:p w14:paraId="54F8F09C">
      <w:pPr>
        <w:pStyle w:val="178"/>
        <w:keepNext w:val="0"/>
        <w:keepLines w:val="0"/>
        <w:pageBreakBefore w:val="0"/>
        <w:numPr>
          <w:ilvl w:val="0"/>
          <w:numId w:val="52"/>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视频监控实现全覆盖；</w:t>
      </w:r>
    </w:p>
    <w:p w14:paraId="2109F673">
      <w:pPr>
        <w:pStyle w:val="178"/>
        <w:keepNext w:val="0"/>
        <w:keepLines w:val="0"/>
        <w:pageBreakBefore w:val="0"/>
        <w:numPr>
          <w:ilvl w:val="0"/>
          <w:numId w:val="52"/>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工艺参数采集频率不低于1次/10s，设备状态振动信号采样频率不低于10kHz。</w:t>
      </w:r>
    </w:p>
    <w:p w14:paraId="2B4A883A">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黑体" w:hAnsi="黑体" w:eastAsia="黑体" w:cs="黑体"/>
          <w:sz w:val="21"/>
          <w:lang w:val="en-US" w:eastAsia="zh-CN" w:bidi="ar-SA"/>
        </w:rPr>
      </w:pPr>
      <w:r>
        <w:rPr>
          <w:rFonts w:hint="eastAsia" w:ascii="黑体" w:hAnsi="黑体" w:eastAsia="黑体" w:cs="黑体"/>
          <w:sz w:val="21"/>
          <w:lang w:val="en-US" w:eastAsia="zh-CN" w:bidi="ar-SA"/>
        </w:rPr>
        <w:t>数据与通信</w:t>
      </w:r>
    </w:p>
    <w:p w14:paraId="00D592B9">
      <w:pPr>
        <w:pStyle w:val="60"/>
        <w:rPr>
          <w:rFonts w:hint="eastAsia"/>
          <w:lang w:val="en-US" w:eastAsia="zh-CN"/>
        </w:rPr>
      </w:pPr>
      <w:r>
        <w:rPr>
          <w:rFonts w:hint="eastAsia"/>
          <w:lang w:val="en-US" w:eastAsia="zh-CN"/>
        </w:rPr>
        <w:t>具体要求如下：</w:t>
      </w:r>
    </w:p>
    <w:p w14:paraId="6F52C84F">
      <w:pPr>
        <w:pStyle w:val="178"/>
        <w:keepNext w:val="0"/>
        <w:keepLines w:val="0"/>
        <w:pageBreakBefore w:val="0"/>
        <w:numPr>
          <w:ilvl w:val="0"/>
          <w:numId w:val="53"/>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应建立覆盖全系统的实时数据库与历史数据库，数据保存周期不少于3年；</w:t>
      </w:r>
    </w:p>
    <w:p w14:paraId="2EDE7ACD">
      <w:pPr>
        <w:pStyle w:val="178"/>
        <w:keepNext w:val="0"/>
        <w:keepLines w:val="0"/>
        <w:pageBreakBefore w:val="0"/>
        <w:numPr>
          <w:ilvl w:val="0"/>
          <w:numId w:val="53"/>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应实现与电厂MIS（管理信息系统）及ERP系统的数据集成；</w:t>
      </w:r>
    </w:p>
    <w:p w14:paraId="22C67C70">
      <w:pPr>
        <w:pStyle w:val="178"/>
        <w:keepNext w:val="0"/>
        <w:keepLines w:val="0"/>
        <w:pageBreakBefore w:val="0"/>
        <w:numPr>
          <w:ilvl w:val="0"/>
          <w:numId w:val="53"/>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应具备数据质量自动诊断与异常数据修复功能，数据完整率不低于99.5%；</w:t>
      </w:r>
    </w:p>
    <w:p w14:paraId="0BFF9635">
      <w:pPr>
        <w:pStyle w:val="178"/>
        <w:keepNext w:val="0"/>
        <w:keepLines w:val="0"/>
        <w:pageBreakBefore w:val="0"/>
        <w:numPr>
          <w:ilvl w:val="0"/>
          <w:numId w:val="53"/>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应配置独立的边缘计算节点，实现本地化数据处理与控制决策，边缘节点数据处理能力不低于每秒500点。</w:t>
      </w:r>
    </w:p>
    <w:p w14:paraId="57D798CF">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黑体" w:hAnsi="黑体" w:eastAsia="黑体" w:cs="黑体"/>
          <w:sz w:val="21"/>
          <w:lang w:val="en-US" w:eastAsia="zh-CN" w:bidi="ar-SA"/>
        </w:rPr>
      </w:pPr>
      <w:r>
        <w:rPr>
          <w:rFonts w:hint="eastAsia" w:ascii="黑体" w:hAnsi="黑体" w:eastAsia="黑体" w:cs="黑体"/>
          <w:sz w:val="21"/>
          <w:lang w:val="en-US" w:eastAsia="zh-CN" w:bidi="ar-SA"/>
        </w:rPr>
        <w:t>智能控制</w:t>
      </w:r>
    </w:p>
    <w:p w14:paraId="1F25C02C">
      <w:pPr>
        <w:pStyle w:val="60"/>
        <w:rPr>
          <w:rFonts w:hint="eastAsia"/>
          <w:lang w:val="en-US" w:eastAsia="zh-CN"/>
        </w:rPr>
      </w:pPr>
      <w:r>
        <w:rPr>
          <w:rFonts w:hint="eastAsia"/>
          <w:lang w:val="en-US" w:eastAsia="zh-CN"/>
        </w:rPr>
        <w:t>具体要求如下：</w:t>
      </w:r>
    </w:p>
    <w:p w14:paraId="0F586CDA">
      <w:pPr>
        <w:pStyle w:val="178"/>
        <w:keepNext w:val="0"/>
        <w:keepLines w:val="0"/>
        <w:pageBreakBefore w:val="0"/>
        <w:numPr>
          <w:ilvl w:val="0"/>
          <w:numId w:val="54"/>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应实现基于水质在线监测数据的闭环智能加药，投加精度不低于±5%，并支持硫酸自动投加以控制碱度；</w:t>
      </w:r>
    </w:p>
    <w:p w14:paraId="36D0399E">
      <w:pPr>
        <w:pStyle w:val="178"/>
        <w:keepNext w:val="0"/>
        <w:keepLines w:val="0"/>
        <w:pageBreakBefore w:val="0"/>
        <w:numPr>
          <w:ilvl w:val="0"/>
          <w:numId w:val="54"/>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应实现循环水泵与冷却塔风机的联合优化调度，在保证凝汽器真空的前提下最小化系统能耗；</w:t>
      </w:r>
    </w:p>
    <w:p w14:paraId="358CC144">
      <w:pPr>
        <w:pStyle w:val="178"/>
        <w:keepNext w:val="0"/>
        <w:keepLines w:val="0"/>
        <w:pageBreakBefore w:val="0"/>
        <w:numPr>
          <w:ilvl w:val="0"/>
          <w:numId w:val="54"/>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应实现浓缩倍率的闭环自动控制，根据水质变化自动调节排污量；</w:t>
      </w:r>
    </w:p>
    <w:p w14:paraId="3DB03BED">
      <w:pPr>
        <w:pStyle w:val="178"/>
        <w:keepNext w:val="0"/>
        <w:keepLines w:val="0"/>
        <w:pageBreakBefore w:val="0"/>
        <w:numPr>
          <w:ilvl w:val="0"/>
          <w:numId w:val="54"/>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应实现循环水系统与机组负荷的联动控制，根据机组负荷、环境温湿度自动优化循环水泵运行台数与频率，凝汽器最佳真空度预测偏差不大于±0.5kPa。</w:t>
      </w:r>
    </w:p>
    <w:p w14:paraId="2E8376F0">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黑体" w:hAnsi="黑体" w:eastAsia="黑体" w:cs="黑体"/>
          <w:sz w:val="21"/>
          <w:lang w:val="en-US" w:eastAsia="zh-CN" w:bidi="ar-SA"/>
        </w:rPr>
      </w:pPr>
      <w:r>
        <w:rPr>
          <w:rFonts w:hint="eastAsia" w:ascii="黑体" w:hAnsi="黑体" w:eastAsia="黑体" w:cs="黑体"/>
          <w:sz w:val="21"/>
          <w:lang w:val="en-US" w:eastAsia="zh-CN" w:bidi="ar-SA"/>
        </w:rPr>
        <w:t>分析决策</w:t>
      </w:r>
    </w:p>
    <w:p w14:paraId="6CD40FDD">
      <w:pPr>
        <w:pStyle w:val="60"/>
        <w:rPr>
          <w:rFonts w:hint="eastAsia"/>
          <w:lang w:val="en-US" w:eastAsia="zh-CN"/>
        </w:rPr>
      </w:pPr>
      <w:r>
        <w:rPr>
          <w:rFonts w:hint="eastAsia"/>
          <w:lang w:val="en-US" w:eastAsia="zh-CN"/>
        </w:rPr>
        <w:t>具体要求如下：</w:t>
      </w:r>
    </w:p>
    <w:p w14:paraId="566CBD56">
      <w:pPr>
        <w:pStyle w:val="178"/>
        <w:keepNext w:val="0"/>
        <w:keepLines w:val="0"/>
        <w:pageBreakBefore w:val="0"/>
        <w:numPr>
          <w:ilvl w:val="0"/>
          <w:numId w:val="55"/>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应具备基于历史数据的水质变化趋势预测与超标预警功能，提前预警时间不少于2h；</w:t>
      </w:r>
    </w:p>
    <w:p w14:paraId="796C560E">
      <w:pPr>
        <w:pStyle w:val="178"/>
        <w:keepNext w:val="0"/>
        <w:keepLines w:val="0"/>
        <w:pageBreakBefore w:val="0"/>
        <w:numPr>
          <w:ilvl w:val="0"/>
          <w:numId w:val="55"/>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应建立结垢倾向与腐蚀速率预测模型，结合朗格利尔饱和指数（LSI）、雷兹纳稳定指数（RSI）及在线腐蚀监测数据，实现结垢与腐蚀风险的分级预警；当钙硬度与全碱度之和大于1100mg/L（以CaCO</w:t>
      </w:r>
      <w:r>
        <w:rPr>
          <w:rFonts w:hint="eastAsia" w:hAnsi="宋体" w:cs="宋体"/>
          <w:vertAlign w:val="subscript"/>
          <w:lang w:val="en-US" w:eastAsia="zh-CN"/>
        </w:rPr>
        <w:t>3</w:t>
      </w:r>
      <w:r>
        <w:rPr>
          <w:rFonts w:hint="eastAsia" w:ascii="宋体" w:hAnsi="宋体" w:eastAsia="宋体" w:cs="宋体"/>
          <w:lang w:val="en-US" w:eastAsia="zh-CN"/>
        </w:rPr>
        <w:t>计）或RSI小于3.3时，系统应自动触发加酸或软化处理建议；</w:t>
      </w:r>
    </w:p>
    <w:p w14:paraId="0C20BBCA">
      <w:pPr>
        <w:pStyle w:val="178"/>
        <w:keepNext w:val="0"/>
        <w:keepLines w:val="0"/>
        <w:pageBreakBefore w:val="0"/>
        <w:numPr>
          <w:ilvl w:val="0"/>
          <w:numId w:val="55"/>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应具备循环水系统能效分析功能，自动计算循环水输送工序吨水百米耗电量、冷却系统补水率等指标，生成月度能效评估报告；</w:t>
      </w:r>
    </w:p>
    <w:p w14:paraId="3F76D2CA">
      <w:pPr>
        <w:pStyle w:val="178"/>
        <w:keepNext w:val="0"/>
        <w:keepLines w:val="0"/>
        <w:pageBreakBefore w:val="0"/>
        <w:numPr>
          <w:ilvl w:val="0"/>
          <w:numId w:val="55"/>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应具备关键设备故障诊断功能，常见故障自动识别率不低于80%。</w:t>
      </w:r>
    </w:p>
    <w:p w14:paraId="55AF0BC6">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黑体" w:hAnsi="黑体" w:eastAsia="黑体" w:cs="黑体"/>
          <w:sz w:val="21"/>
          <w:lang w:val="en-US" w:eastAsia="zh-CN" w:bidi="ar-SA"/>
        </w:rPr>
      </w:pPr>
      <w:r>
        <w:rPr>
          <w:rFonts w:hint="eastAsia" w:ascii="黑体" w:hAnsi="黑体" w:eastAsia="黑体" w:cs="黑体"/>
          <w:sz w:val="21"/>
          <w:lang w:val="en-US" w:eastAsia="zh-CN" w:bidi="ar-SA"/>
        </w:rPr>
        <w:t>运维管理</w:t>
      </w:r>
    </w:p>
    <w:p w14:paraId="712EFEF4">
      <w:pPr>
        <w:pStyle w:val="60"/>
        <w:rPr>
          <w:rFonts w:hint="eastAsia"/>
          <w:lang w:val="en-US" w:eastAsia="zh-CN"/>
        </w:rPr>
      </w:pPr>
      <w:r>
        <w:rPr>
          <w:rFonts w:hint="eastAsia"/>
          <w:lang w:val="en-US" w:eastAsia="zh-CN"/>
        </w:rPr>
        <w:t>具体要求如下：</w:t>
      </w:r>
    </w:p>
    <w:p w14:paraId="794A5BCA">
      <w:pPr>
        <w:pStyle w:val="178"/>
        <w:keepNext w:val="0"/>
        <w:keepLines w:val="0"/>
        <w:pageBreakBefore w:val="0"/>
        <w:numPr>
          <w:ilvl w:val="0"/>
          <w:numId w:val="56"/>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宜配置无人巡检机器人或无人机，关键区域无人巡检覆盖率不低于70%；</w:t>
      </w:r>
    </w:p>
    <w:p w14:paraId="7F27743E">
      <w:pPr>
        <w:pStyle w:val="178"/>
        <w:keepNext w:val="0"/>
        <w:keepLines w:val="0"/>
        <w:pageBreakBefore w:val="0"/>
        <w:numPr>
          <w:ilvl w:val="0"/>
          <w:numId w:val="56"/>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应实现工单与设备状态、报警信息的自动关联与智能派单；</w:t>
      </w:r>
    </w:p>
    <w:p w14:paraId="7BFA2462">
      <w:pPr>
        <w:pStyle w:val="178"/>
        <w:keepNext w:val="0"/>
        <w:keepLines w:val="0"/>
        <w:pageBreakBefore w:val="0"/>
        <w:numPr>
          <w:ilvl w:val="0"/>
          <w:numId w:val="56"/>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应建立循环水处理专家知识库，包含典型故障案例、处理方案及药剂配方库；</w:t>
      </w:r>
    </w:p>
    <w:p w14:paraId="0337F262">
      <w:pPr>
        <w:pStyle w:val="178"/>
        <w:keepNext w:val="0"/>
        <w:keepLines w:val="0"/>
        <w:pageBreakBefore w:val="0"/>
        <w:numPr>
          <w:ilvl w:val="0"/>
          <w:numId w:val="56"/>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应支持三维可视化展示。</w:t>
      </w:r>
    </w:p>
    <w:p w14:paraId="02E7A055">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黑体" w:hAnsi="黑体" w:eastAsia="黑体" w:cs="黑体"/>
          <w:sz w:val="21"/>
          <w:lang w:val="en-US" w:eastAsia="zh-CN" w:bidi="ar-SA"/>
        </w:rPr>
      </w:pPr>
      <w:r>
        <w:rPr>
          <w:rFonts w:hint="eastAsia" w:ascii="黑体" w:hAnsi="黑体" w:eastAsia="黑体" w:cs="黑体"/>
          <w:sz w:val="21"/>
          <w:lang w:val="en-US" w:eastAsia="zh-CN" w:bidi="ar-SA"/>
        </w:rPr>
        <w:t>运行效能</w:t>
      </w:r>
    </w:p>
    <w:p w14:paraId="4043A87B">
      <w:pPr>
        <w:pStyle w:val="60"/>
        <w:rPr>
          <w:rFonts w:hint="eastAsia"/>
          <w:lang w:val="en-US" w:eastAsia="zh-CN"/>
        </w:rPr>
      </w:pPr>
      <w:r>
        <w:rPr>
          <w:rFonts w:hint="eastAsia"/>
          <w:lang w:val="en-US" w:eastAsia="zh-CN"/>
        </w:rPr>
        <w:t>具体要求如下：</w:t>
      </w:r>
    </w:p>
    <w:p w14:paraId="6541A986">
      <w:pPr>
        <w:pStyle w:val="178"/>
        <w:keepNext w:val="0"/>
        <w:keepLines w:val="0"/>
        <w:pageBreakBefore w:val="0"/>
        <w:numPr>
          <w:ilvl w:val="0"/>
          <w:numId w:val="57"/>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浓缩倍率（淡水补水）不低于5.0倍；</w:t>
      </w:r>
    </w:p>
    <w:p w14:paraId="5C0B350F">
      <w:pPr>
        <w:pStyle w:val="178"/>
        <w:keepNext w:val="0"/>
        <w:keepLines w:val="0"/>
        <w:pageBreakBefore w:val="0"/>
        <w:numPr>
          <w:ilvl w:val="0"/>
          <w:numId w:val="57"/>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冷却系统补水率（敞开式）不高于1.2%；</w:t>
      </w:r>
    </w:p>
    <w:p w14:paraId="4C9DA9C1">
      <w:pPr>
        <w:pStyle w:val="178"/>
        <w:keepNext w:val="0"/>
        <w:keepLines w:val="0"/>
        <w:pageBreakBefore w:val="0"/>
        <w:numPr>
          <w:ilvl w:val="0"/>
          <w:numId w:val="57"/>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循环水输送工序吨水百米耗电量不高于0.30kW·h；</w:t>
      </w:r>
    </w:p>
    <w:p w14:paraId="7DBAF26B">
      <w:pPr>
        <w:pStyle w:val="178"/>
        <w:keepNext w:val="0"/>
        <w:keepLines w:val="0"/>
        <w:pageBreakBefore w:val="0"/>
        <w:numPr>
          <w:ilvl w:val="0"/>
          <w:numId w:val="57"/>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碳钢设备腐蚀速率小于0.05mm/a，铜合金及不锈钢设备腐蚀速率小于0.004mm/a；</w:t>
      </w:r>
    </w:p>
    <w:p w14:paraId="77AB62F3">
      <w:pPr>
        <w:pStyle w:val="178"/>
        <w:keepNext w:val="0"/>
        <w:keepLines w:val="0"/>
        <w:pageBreakBefore w:val="0"/>
        <w:numPr>
          <w:ilvl w:val="0"/>
          <w:numId w:val="57"/>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污垢热阻值不大于2.5×10</w:t>
      </w:r>
      <w:r>
        <w:rPr>
          <w:rFonts w:hint="eastAsia" w:ascii="宋体" w:hAnsi="宋体" w:eastAsia="宋体" w:cs="宋体"/>
          <w:vertAlign w:val="superscript"/>
          <w:lang w:val="en-US" w:eastAsia="zh-CN"/>
        </w:rPr>
        <w:t>-4</w:t>
      </w:r>
      <w:r>
        <w:rPr>
          <w:rFonts w:hint="eastAsia" w:ascii="宋体" w:hAnsi="宋体" w:eastAsia="宋体" w:cs="宋体"/>
          <w:lang w:val="en-US" w:eastAsia="zh-CN"/>
        </w:rPr>
        <w:t>m²·K/W；</w:t>
      </w:r>
    </w:p>
    <w:p w14:paraId="70B477EC">
      <w:pPr>
        <w:pStyle w:val="178"/>
        <w:keepNext w:val="0"/>
        <w:keepLines w:val="0"/>
        <w:pageBreakBefore w:val="0"/>
        <w:numPr>
          <w:ilvl w:val="0"/>
          <w:numId w:val="57"/>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异养菌总数不大于5×10</w:t>
      </w:r>
      <w:r>
        <w:rPr>
          <w:rFonts w:hint="eastAsia" w:ascii="宋体" w:hAnsi="宋体" w:eastAsia="宋体" w:cs="宋体"/>
          <w:vertAlign w:val="superscript"/>
          <w:lang w:val="en-US" w:eastAsia="zh-CN"/>
        </w:rPr>
        <w:t>4</w:t>
      </w:r>
      <w:r>
        <w:rPr>
          <w:rFonts w:hint="eastAsia" w:ascii="宋体" w:hAnsi="宋体" w:eastAsia="宋体" w:cs="宋体"/>
          <w:lang w:val="en-US" w:eastAsia="zh-CN"/>
        </w:rPr>
        <w:t>CFU/mL；</w:t>
      </w:r>
    </w:p>
    <w:p w14:paraId="22FD412B">
      <w:pPr>
        <w:pStyle w:val="178"/>
        <w:keepNext w:val="0"/>
        <w:keepLines w:val="0"/>
        <w:pageBreakBefore w:val="0"/>
        <w:numPr>
          <w:ilvl w:val="0"/>
          <w:numId w:val="57"/>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每年因循环水系统问题导致的非计划停机次数不超过1次；</w:t>
      </w:r>
    </w:p>
    <w:p w14:paraId="22C67558">
      <w:pPr>
        <w:pStyle w:val="178"/>
        <w:keepNext w:val="0"/>
        <w:keepLines w:val="0"/>
        <w:pageBreakBefore w:val="0"/>
        <w:numPr>
          <w:ilvl w:val="0"/>
          <w:numId w:val="57"/>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自动控制覆盖率不低于80%；</w:t>
      </w:r>
    </w:p>
    <w:p w14:paraId="6FB97F22">
      <w:pPr>
        <w:pStyle w:val="178"/>
        <w:keepNext w:val="0"/>
        <w:keepLines w:val="0"/>
        <w:pageBreakBefore w:val="0"/>
        <w:numPr>
          <w:ilvl w:val="0"/>
          <w:numId w:val="57"/>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药剂投加量较定额节约率不低于8%；</w:t>
      </w:r>
    </w:p>
    <w:p w14:paraId="57DC023F">
      <w:pPr>
        <w:pStyle w:val="178"/>
        <w:keepNext w:val="0"/>
        <w:keepLines w:val="0"/>
        <w:pageBreakBefore w:val="0"/>
        <w:numPr>
          <w:ilvl w:val="0"/>
          <w:numId w:val="57"/>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故障预警准确率不低于70%；</w:t>
      </w:r>
    </w:p>
    <w:p w14:paraId="6E48FFF5">
      <w:pPr>
        <w:pStyle w:val="178"/>
        <w:keepNext w:val="0"/>
        <w:keepLines w:val="0"/>
        <w:pageBreakBefore w:val="0"/>
        <w:numPr>
          <w:ilvl w:val="0"/>
          <w:numId w:val="57"/>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年系统节能率不低于5%。</w:t>
      </w:r>
    </w:p>
    <w:p w14:paraId="4265E1D1">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lang w:val="en-US" w:eastAsia="zh-CN"/>
        </w:rPr>
      </w:pPr>
      <w:bookmarkStart w:id="152" w:name="_Toc7801"/>
      <w:r>
        <w:rPr>
          <w:rFonts w:hint="eastAsia"/>
          <w:lang w:val="en-US" w:eastAsia="zh-CN"/>
        </w:rPr>
        <w:t>L4优化级</w:t>
      </w:r>
      <w:bookmarkEnd w:id="152"/>
    </w:p>
    <w:p w14:paraId="4767CEE8">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黑体" w:hAnsi="黑体" w:eastAsia="黑体" w:cs="黑体"/>
          <w:sz w:val="21"/>
          <w:lang w:val="en-US" w:eastAsia="zh-CN" w:bidi="ar-SA"/>
        </w:rPr>
      </w:pPr>
      <w:r>
        <w:rPr>
          <w:rFonts w:hint="eastAsia" w:ascii="黑体" w:hAnsi="黑体" w:eastAsia="黑体" w:cs="黑体"/>
          <w:sz w:val="21"/>
          <w:lang w:val="en-US" w:eastAsia="zh-CN" w:bidi="ar-SA"/>
        </w:rPr>
        <w:t>感知与监测</w:t>
      </w:r>
    </w:p>
    <w:p w14:paraId="3A59B67E">
      <w:pPr>
        <w:pStyle w:val="60"/>
        <w:rPr>
          <w:rFonts w:hint="eastAsia"/>
          <w:lang w:val="en-US" w:eastAsia="zh-CN"/>
        </w:rPr>
      </w:pPr>
      <w:r>
        <w:rPr>
          <w:rFonts w:hint="eastAsia"/>
          <w:lang w:val="en-US" w:eastAsia="zh-CN"/>
        </w:rPr>
        <w:t>具体要求如下：</w:t>
      </w:r>
    </w:p>
    <w:p w14:paraId="3C8CB809">
      <w:pPr>
        <w:pStyle w:val="178"/>
        <w:keepNext w:val="0"/>
        <w:keepLines w:val="0"/>
        <w:pageBreakBefore w:val="0"/>
        <w:numPr>
          <w:ilvl w:val="0"/>
          <w:numId w:val="58"/>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应实现全系统参数的网格化监测，传感器与智能仪表覆盖率达到100%；</w:t>
      </w:r>
    </w:p>
    <w:p w14:paraId="1DDD975A">
      <w:pPr>
        <w:pStyle w:val="178"/>
        <w:keepNext w:val="0"/>
        <w:keepLines w:val="0"/>
        <w:pageBreakBefore w:val="0"/>
        <w:numPr>
          <w:ilvl w:val="0"/>
          <w:numId w:val="58"/>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宜配置总磷、总硬度、钙离子等特征离子在线分析仪，实现水质全参数监测；</w:t>
      </w:r>
    </w:p>
    <w:p w14:paraId="46A543B1">
      <w:pPr>
        <w:pStyle w:val="178"/>
        <w:keepNext w:val="0"/>
        <w:keepLines w:val="0"/>
        <w:pageBreakBefore w:val="0"/>
        <w:numPr>
          <w:ilvl w:val="0"/>
          <w:numId w:val="58"/>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关键转动设备应安装在线油液分析传感器；</w:t>
      </w:r>
    </w:p>
    <w:p w14:paraId="34B992E7">
      <w:pPr>
        <w:pStyle w:val="178"/>
        <w:keepNext w:val="0"/>
        <w:keepLines w:val="0"/>
        <w:pageBreakBefore w:val="0"/>
        <w:numPr>
          <w:ilvl w:val="0"/>
          <w:numId w:val="58"/>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视频监控应具备AI智能识别功能（如人员闯入、设备异常跑冒滴漏识别）；</w:t>
      </w:r>
    </w:p>
    <w:p w14:paraId="41AF212E">
      <w:pPr>
        <w:pStyle w:val="178"/>
        <w:keepNext w:val="0"/>
        <w:keepLines w:val="0"/>
        <w:pageBreakBefore w:val="0"/>
        <w:numPr>
          <w:ilvl w:val="0"/>
          <w:numId w:val="58"/>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环境监测应实现与气象数据联动；</w:t>
      </w:r>
    </w:p>
    <w:p w14:paraId="4CC03DB0">
      <w:pPr>
        <w:pStyle w:val="178"/>
        <w:keepNext w:val="0"/>
        <w:keepLines w:val="0"/>
        <w:pageBreakBefore w:val="0"/>
        <w:numPr>
          <w:ilvl w:val="0"/>
          <w:numId w:val="58"/>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关键工艺参数采集频率不低于1次/s。</w:t>
      </w:r>
    </w:p>
    <w:p w14:paraId="6EC13E0E">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黑体" w:hAnsi="黑体" w:eastAsia="黑体" w:cs="黑体"/>
          <w:sz w:val="21"/>
          <w:lang w:val="en-US" w:eastAsia="zh-CN" w:bidi="ar-SA"/>
        </w:rPr>
      </w:pPr>
      <w:r>
        <w:rPr>
          <w:rFonts w:hint="eastAsia" w:ascii="黑体" w:hAnsi="黑体" w:eastAsia="黑体" w:cs="黑体"/>
          <w:sz w:val="21"/>
          <w:lang w:val="en-US" w:eastAsia="zh-CN" w:bidi="ar-SA"/>
        </w:rPr>
        <w:t>数据与通信</w:t>
      </w:r>
    </w:p>
    <w:p w14:paraId="5032D97C">
      <w:pPr>
        <w:pStyle w:val="60"/>
        <w:rPr>
          <w:rFonts w:hint="eastAsia"/>
          <w:lang w:val="en-US" w:eastAsia="zh-CN"/>
        </w:rPr>
      </w:pPr>
      <w:r>
        <w:rPr>
          <w:rFonts w:hint="eastAsia"/>
          <w:lang w:val="en-US" w:eastAsia="zh-CN"/>
        </w:rPr>
        <w:t>具体要求如下：</w:t>
      </w:r>
    </w:p>
    <w:p w14:paraId="606DA42E">
      <w:pPr>
        <w:pStyle w:val="178"/>
        <w:keepNext w:val="0"/>
        <w:keepLines w:val="0"/>
        <w:pageBreakBefore w:val="0"/>
        <w:numPr>
          <w:ilvl w:val="0"/>
          <w:numId w:val="59"/>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应支持PB级数据存储与冷热数据分层管理；</w:t>
      </w:r>
    </w:p>
    <w:p w14:paraId="22F47B4A">
      <w:pPr>
        <w:pStyle w:val="178"/>
        <w:keepNext w:val="0"/>
        <w:keepLines w:val="0"/>
        <w:pageBreakBefore w:val="0"/>
        <w:numPr>
          <w:ilvl w:val="0"/>
          <w:numId w:val="59"/>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边缘计算节点数据处理能力不低于每秒1000点；</w:t>
      </w:r>
    </w:p>
    <w:p w14:paraId="25258EBD">
      <w:pPr>
        <w:pStyle w:val="178"/>
        <w:keepNext w:val="0"/>
        <w:keepLines w:val="0"/>
        <w:pageBreakBefore w:val="0"/>
        <w:numPr>
          <w:ilvl w:val="0"/>
          <w:numId w:val="59"/>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应采用加密传输技术，符合GB/T 34953.1的要求；</w:t>
      </w:r>
    </w:p>
    <w:p w14:paraId="283F5373">
      <w:pPr>
        <w:pStyle w:val="178"/>
        <w:keepNext w:val="0"/>
        <w:keepLines w:val="0"/>
        <w:pageBreakBefore w:val="0"/>
        <w:numPr>
          <w:ilvl w:val="0"/>
          <w:numId w:val="59"/>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网络安全防护</w:t>
      </w:r>
      <w:r>
        <w:rPr>
          <w:rFonts w:hint="eastAsia" w:hAnsi="宋体" w:cs="宋体"/>
          <w:lang w:val="en-US" w:eastAsia="zh-CN"/>
        </w:rPr>
        <w:t>宜</w:t>
      </w:r>
      <w:r>
        <w:rPr>
          <w:rFonts w:hint="eastAsia" w:ascii="宋体" w:hAnsi="宋体" w:eastAsia="宋体" w:cs="宋体"/>
          <w:lang w:val="en-US" w:eastAsia="zh-CN"/>
        </w:rPr>
        <w:t>达到GB/T 22239等级保护三级要求；</w:t>
      </w:r>
    </w:p>
    <w:p w14:paraId="537AAD05">
      <w:pPr>
        <w:pStyle w:val="178"/>
        <w:keepNext w:val="0"/>
        <w:keepLines w:val="0"/>
        <w:pageBreakBefore w:val="0"/>
        <w:numPr>
          <w:ilvl w:val="0"/>
          <w:numId w:val="59"/>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应配置冗余的数据采集服务器和控制服务器，确保系统可靠性。</w:t>
      </w:r>
    </w:p>
    <w:p w14:paraId="0603976D">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黑体" w:hAnsi="黑体" w:eastAsia="黑体" w:cs="黑体"/>
          <w:sz w:val="21"/>
          <w:lang w:val="en-US" w:eastAsia="zh-CN" w:bidi="ar-SA"/>
        </w:rPr>
      </w:pPr>
      <w:r>
        <w:rPr>
          <w:rFonts w:hint="eastAsia" w:ascii="黑体" w:hAnsi="黑体" w:eastAsia="黑体" w:cs="黑体"/>
          <w:sz w:val="21"/>
          <w:lang w:val="en-US" w:eastAsia="zh-CN" w:bidi="ar-SA"/>
        </w:rPr>
        <w:t>智能控制</w:t>
      </w:r>
    </w:p>
    <w:p w14:paraId="1FDFB4E5">
      <w:pPr>
        <w:pStyle w:val="60"/>
        <w:rPr>
          <w:rFonts w:hint="eastAsia"/>
          <w:lang w:val="en-US" w:eastAsia="zh-CN"/>
        </w:rPr>
      </w:pPr>
      <w:r>
        <w:rPr>
          <w:rFonts w:hint="eastAsia"/>
          <w:lang w:val="en-US" w:eastAsia="zh-CN"/>
        </w:rPr>
        <w:t>具体要求如下：</w:t>
      </w:r>
    </w:p>
    <w:p w14:paraId="0FA724D1">
      <w:pPr>
        <w:pStyle w:val="178"/>
        <w:keepNext w:val="0"/>
        <w:keepLines w:val="0"/>
        <w:pageBreakBefore w:val="0"/>
        <w:numPr>
          <w:ilvl w:val="0"/>
          <w:numId w:val="60"/>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应实现基于AI算法的药剂配方动态优化与精准投加，投加精度不低于±2%；</w:t>
      </w:r>
    </w:p>
    <w:p w14:paraId="5539E4AA">
      <w:pPr>
        <w:pStyle w:val="178"/>
        <w:keepNext w:val="0"/>
        <w:keepLines w:val="0"/>
        <w:pageBreakBefore w:val="0"/>
        <w:numPr>
          <w:ilvl w:val="0"/>
          <w:numId w:val="60"/>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应实现全工况下的循环水系统自主优化调节，无需人工干预即可适应负荷与环境变化；</w:t>
      </w:r>
    </w:p>
    <w:p w14:paraId="7DDC7653">
      <w:pPr>
        <w:pStyle w:val="178"/>
        <w:keepNext w:val="0"/>
        <w:keepLines w:val="0"/>
        <w:pageBreakBefore w:val="0"/>
        <w:numPr>
          <w:ilvl w:val="0"/>
          <w:numId w:val="60"/>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应具备智能应急响应功能，支持极端工况下的自动调控策略。</w:t>
      </w:r>
    </w:p>
    <w:p w14:paraId="1F0C975A">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黑体" w:hAnsi="黑体" w:eastAsia="黑体" w:cs="黑体"/>
          <w:sz w:val="21"/>
          <w:lang w:val="en-US" w:eastAsia="zh-CN" w:bidi="ar-SA"/>
        </w:rPr>
      </w:pPr>
      <w:r>
        <w:rPr>
          <w:rFonts w:hint="eastAsia" w:ascii="黑体" w:hAnsi="黑体" w:eastAsia="黑体" w:cs="黑体"/>
          <w:sz w:val="21"/>
          <w:lang w:val="en-US" w:eastAsia="zh-CN" w:bidi="ar-SA"/>
        </w:rPr>
        <w:t>分析决策</w:t>
      </w:r>
    </w:p>
    <w:p w14:paraId="16B0074F">
      <w:pPr>
        <w:pStyle w:val="60"/>
        <w:rPr>
          <w:rFonts w:hint="eastAsia"/>
          <w:lang w:val="en-US" w:eastAsia="zh-CN"/>
        </w:rPr>
      </w:pPr>
      <w:r>
        <w:rPr>
          <w:rFonts w:hint="eastAsia"/>
          <w:lang w:val="en-US" w:eastAsia="zh-CN"/>
        </w:rPr>
        <w:t>具体要求如下：</w:t>
      </w:r>
    </w:p>
    <w:p w14:paraId="70630DF9">
      <w:pPr>
        <w:pStyle w:val="178"/>
        <w:keepNext w:val="0"/>
        <w:keepLines w:val="0"/>
        <w:pageBreakBefore w:val="0"/>
        <w:numPr>
          <w:ilvl w:val="0"/>
          <w:numId w:val="61"/>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应具备基于机器学习的水质异常检测与根因分析能力；</w:t>
      </w:r>
    </w:p>
    <w:p w14:paraId="4C347262">
      <w:pPr>
        <w:pStyle w:val="178"/>
        <w:keepNext w:val="0"/>
        <w:keepLines w:val="0"/>
        <w:pageBreakBefore w:val="0"/>
        <w:numPr>
          <w:ilvl w:val="0"/>
          <w:numId w:val="61"/>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应建成循环水系统数字孪生平台，实现物理系统与虚拟模型的实时映射，支持水力热力仿真、故障情景模拟与优化方案验证，模型预测准确率不低于90%；</w:t>
      </w:r>
    </w:p>
    <w:p w14:paraId="48EEA69C">
      <w:pPr>
        <w:pStyle w:val="178"/>
        <w:keepNext w:val="0"/>
        <w:keepLines w:val="0"/>
        <w:pageBreakBefore w:val="0"/>
        <w:numPr>
          <w:ilvl w:val="0"/>
          <w:numId w:val="61"/>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应具备基于数字孪生的全工况能效仿真与优化调度功能，优化后系统节能率不低于5%；</w:t>
      </w:r>
    </w:p>
    <w:p w14:paraId="20E6325A">
      <w:pPr>
        <w:pStyle w:val="178"/>
        <w:keepNext w:val="0"/>
        <w:keepLines w:val="0"/>
        <w:pageBreakBefore w:val="0"/>
        <w:numPr>
          <w:ilvl w:val="0"/>
          <w:numId w:val="61"/>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应实现关键设备的预测性维护，故障预警准确率不低于85%，预测性维护覆盖率不低于80%。</w:t>
      </w:r>
    </w:p>
    <w:p w14:paraId="1AA08CC3">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黑体" w:hAnsi="黑体" w:eastAsia="黑体" w:cs="黑体"/>
          <w:sz w:val="21"/>
          <w:lang w:val="en-US" w:eastAsia="zh-CN" w:bidi="ar-SA"/>
        </w:rPr>
      </w:pPr>
      <w:r>
        <w:rPr>
          <w:rFonts w:hint="eastAsia" w:ascii="黑体" w:hAnsi="黑体" w:eastAsia="黑体" w:cs="黑体"/>
          <w:sz w:val="21"/>
          <w:lang w:val="en-US" w:eastAsia="zh-CN" w:bidi="ar-SA"/>
        </w:rPr>
        <w:t>运维管理</w:t>
      </w:r>
    </w:p>
    <w:p w14:paraId="6C853069">
      <w:pPr>
        <w:pStyle w:val="60"/>
        <w:rPr>
          <w:rFonts w:hint="eastAsia"/>
          <w:lang w:val="en-US" w:eastAsia="zh-CN"/>
        </w:rPr>
      </w:pPr>
      <w:r>
        <w:rPr>
          <w:rFonts w:hint="eastAsia"/>
          <w:lang w:val="en-US" w:eastAsia="zh-CN"/>
        </w:rPr>
        <w:t>具体要求如下：</w:t>
      </w:r>
    </w:p>
    <w:p w14:paraId="05344949">
      <w:pPr>
        <w:pStyle w:val="178"/>
        <w:keepNext w:val="0"/>
        <w:keepLines w:val="0"/>
        <w:pageBreakBefore w:val="0"/>
        <w:numPr>
          <w:ilvl w:val="0"/>
          <w:numId w:val="62"/>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预测性维护应覆盖全部关键设备；</w:t>
      </w:r>
    </w:p>
    <w:p w14:paraId="338E4DCF">
      <w:pPr>
        <w:pStyle w:val="178"/>
        <w:keepNext w:val="0"/>
        <w:keepLines w:val="0"/>
        <w:pageBreakBefore w:val="0"/>
        <w:numPr>
          <w:ilvl w:val="0"/>
          <w:numId w:val="62"/>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应具备知识图谱与智能问答功能；</w:t>
      </w:r>
    </w:p>
    <w:p w14:paraId="15AD2D39">
      <w:pPr>
        <w:pStyle w:val="178"/>
        <w:keepNext w:val="0"/>
        <w:keepLines w:val="0"/>
        <w:pageBreakBefore w:val="0"/>
        <w:numPr>
          <w:ilvl w:val="0"/>
          <w:numId w:val="62"/>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应支持数字孪生可视化与移动端APP实时查看；</w:t>
      </w:r>
    </w:p>
    <w:p w14:paraId="57CF261A">
      <w:pPr>
        <w:pStyle w:val="178"/>
        <w:keepNext w:val="0"/>
        <w:keepLines w:val="0"/>
        <w:pageBreakBefore w:val="0"/>
        <w:numPr>
          <w:ilvl w:val="0"/>
          <w:numId w:val="62"/>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应实现与电厂ERP系统的集成，支持运维流程闭环管理。</w:t>
      </w:r>
    </w:p>
    <w:p w14:paraId="60E3C73F">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黑体" w:hAnsi="黑体" w:eastAsia="黑体" w:cs="黑体"/>
          <w:sz w:val="21"/>
          <w:lang w:val="en-US" w:eastAsia="zh-CN" w:bidi="ar-SA"/>
        </w:rPr>
      </w:pPr>
      <w:r>
        <w:rPr>
          <w:rFonts w:hint="eastAsia" w:ascii="黑体" w:hAnsi="黑体" w:eastAsia="黑体" w:cs="黑体"/>
          <w:sz w:val="21"/>
          <w:lang w:val="en-US" w:eastAsia="zh-CN" w:bidi="ar-SA"/>
        </w:rPr>
        <w:t>运行效能</w:t>
      </w:r>
    </w:p>
    <w:p w14:paraId="0F814F01">
      <w:pPr>
        <w:pStyle w:val="60"/>
        <w:rPr>
          <w:rFonts w:hint="eastAsia"/>
          <w:lang w:val="en-US" w:eastAsia="zh-CN"/>
        </w:rPr>
      </w:pPr>
      <w:r>
        <w:rPr>
          <w:rFonts w:hint="eastAsia"/>
          <w:lang w:val="en-US" w:eastAsia="zh-CN"/>
        </w:rPr>
        <w:t>具体要求如下：</w:t>
      </w:r>
    </w:p>
    <w:p w14:paraId="346F8901">
      <w:pPr>
        <w:pStyle w:val="178"/>
        <w:keepNext w:val="0"/>
        <w:keepLines w:val="0"/>
        <w:pageBreakBefore w:val="0"/>
        <w:numPr>
          <w:ilvl w:val="0"/>
          <w:numId w:val="63"/>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浓缩倍率（淡水补水）不低于5.5倍；</w:t>
      </w:r>
    </w:p>
    <w:p w14:paraId="335DB984">
      <w:pPr>
        <w:pStyle w:val="178"/>
        <w:keepNext w:val="0"/>
        <w:keepLines w:val="0"/>
        <w:pageBreakBefore w:val="0"/>
        <w:numPr>
          <w:ilvl w:val="0"/>
          <w:numId w:val="63"/>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冷却系统补水率（敞开式）不高于1.0%；</w:t>
      </w:r>
    </w:p>
    <w:p w14:paraId="25AFC9C7">
      <w:pPr>
        <w:pStyle w:val="178"/>
        <w:keepNext w:val="0"/>
        <w:keepLines w:val="0"/>
        <w:pageBreakBefore w:val="0"/>
        <w:numPr>
          <w:ilvl w:val="0"/>
          <w:numId w:val="63"/>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循环水输送工序吨水百米耗电量不高于0.28kW·h；</w:t>
      </w:r>
    </w:p>
    <w:p w14:paraId="77BFDF1D">
      <w:pPr>
        <w:pStyle w:val="178"/>
        <w:keepNext w:val="0"/>
        <w:keepLines w:val="0"/>
        <w:pageBreakBefore w:val="0"/>
        <w:numPr>
          <w:ilvl w:val="0"/>
          <w:numId w:val="63"/>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碳钢设备腐蚀速率小于0.03mm/a，铜合金及不锈钢设备腐蚀速率小于0.003mm/a；</w:t>
      </w:r>
    </w:p>
    <w:p w14:paraId="0A8D6516">
      <w:pPr>
        <w:pStyle w:val="178"/>
        <w:keepNext w:val="0"/>
        <w:keepLines w:val="0"/>
        <w:pageBreakBefore w:val="0"/>
        <w:numPr>
          <w:ilvl w:val="0"/>
          <w:numId w:val="63"/>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污垢热阻值不大于2.0×10</w:t>
      </w:r>
      <w:r>
        <w:rPr>
          <w:rFonts w:hint="eastAsia" w:hAnsi="宋体" w:cs="宋体"/>
          <w:vertAlign w:val="superscript"/>
          <w:lang w:val="en-US" w:eastAsia="zh-CN"/>
        </w:rPr>
        <w:t>-4</w:t>
      </w:r>
      <w:r>
        <w:rPr>
          <w:rFonts w:hint="eastAsia" w:ascii="宋体" w:hAnsi="宋体" w:eastAsia="宋体" w:cs="宋体"/>
          <w:lang w:val="en-US" w:eastAsia="zh-CN"/>
        </w:rPr>
        <w:t>m²·K/W；</w:t>
      </w:r>
    </w:p>
    <w:p w14:paraId="55ACAC65">
      <w:pPr>
        <w:pStyle w:val="178"/>
        <w:keepNext w:val="0"/>
        <w:keepLines w:val="0"/>
        <w:pageBreakBefore w:val="0"/>
        <w:numPr>
          <w:ilvl w:val="0"/>
          <w:numId w:val="63"/>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异养菌总数不大于1×10</w:t>
      </w:r>
      <w:r>
        <w:rPr>
          <w:rFonts w:hint="eastAsia" w:hAnsi="宋体" w:cs="宋体"/>
          <w:vertAlign w:val="superscript"/>
          <w:lang w:val="en-US" w:eastAsia="zh-CN"/>
        </w:rPr>
        <w:t>4</w:t>
      </w:r>
      <w:r>
        <w:rPr>
          <w:rFonts w:hint="eastAsia" w:ascii="宋体" w:hAnsi="宋体" w:eastAsia="宋体" w:cs="宋体"/>
          <w:lang w:val="en-US" w:eastAsia="zh-CN"/>
        </w:rPr>
        <w:t>CFU/mL；</w:t>
      </w:r>
    </w:p>
    <w:p w14:paraId="00E401D2">
      <w:pPr>
        <w:pStyle w:val="178"/>
        <w:keepNext w:val="0"/>
        <w:keepLines w:val="0"/>
        <w:pageBreakBefore w:val="0"/>
        <w:numPr>
          <w:ilvl w:val="0"/>
          <w:numId w:val="63"/>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因循环水系统问题导致的年非计划停机次数为0；</w:t>
      </w:r>
    </w:p>
    <w:p w14:paraId="75F4D1DF">
      <w:pPr>
        <w:pStyle w:val="178"/>
        <w:keepNext w:val="0"/>
        <w:keepLines w:val="0"/>
        <w:pageBreakBefore w:val="0"/>
        <w:numPr>
          <w:ilvl w:val="0"/>
          <w:numId w:val="63"/>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自动控制覆盖率不低于95%；</w:t>
      </w:r>
    </w:p>
    <w:p w14:paraId="16CD61DF">
      <w:pPr>
        <w:pStyle w:val="178"/>
        <w:keepNext w:val="0"/>
        <w:keepLines w:val="0"/>
        <w:pageBreakBefore w:val="0"/>
        <w:numPr>
          <w:ilvl w:val="0"/>
          <w:numId w:val="63"/>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药剂投加量较定额节约率不低于12%；</w:t>
      </w:r>
    </w:p>
    <w:p w14:paraId="017F35EA">
      <w:pPr>
        <w:pStyle w:val="178"/>
        <w:keepNext w:val="0"/>
        <w:keepLines w:val="0"/>
        <w:pageBreakBefore w:val="0"/>
        <w:numPr>
          <w:ilvl w:val="0"/>
          <w:numId w:val="63"/>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故障预警准确率不低于85%；</w:t>
      </w:r>
    </w:p>
    <w:p w14:paraId="003879ED">
      <w:pPr>
        <w:pStyle w:val="178"/>
        <w:keepNext w:val="0"/>
        <w:keepLines w:val="0"/>
        <w:pageBreakBefore w:val="0"/>
        <w:numPr>
          <w:ilvl w:val="0"/>
          <w:numId w:val="63"/>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年系统节能率不低于10%；</w:t>
      </w:r>
    </w:p>
    <w:p w14:paraId="3DA7A3BD">
      <w:pPr>
        <w:pStyle w:val="178"/>
        <w:keepNext w:val="0"/>
        <w:keepLines w:val="0"/>
        <w:pageBreakBefore w:val="0"/>
        <w:numPr>
          <w:ilvl w:val="0"/>
          <w:numId w:val="63"/>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年故障停机时间不超过8h。</w:t>
      </w:r>
    </w:p>
    <w:p w14:paraId="0C224DCA">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lang w:val="en-US" w:eastAsia="zh-CN"/>
        </w:rPr>
      </w:pPr>
      <w:bookmarkStart w:id="153" w:name="_Toc22744"/>
      <w:r>
        <w:rPr>
          <w:rFonts w:hint="eastAsia"/>
          <w:lang w:val="en-US" w:eastAsia="zh-CN"/>
        </w:rPr>
        <w:t>L5引领级</w:t>
      </w:r>
      <w:bookmarkEnd w:id="153"/>
    </w:p>
    <w:p w14:paraId="0558D106">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黑体" w:hAnsi="黑体" w:eastAsia="黑体" w:cs="黑体"/>
          <w:sz w:val="21"/>
          <w:lang w:val="en-US" w:eastAsia="zh-CN" w:bidi="ar-SA"/>
        </w:rPr>
      </w:pPr>
      <w:r>
        <w:rPr>
          <w:rFonts w:hint="eastAsia" w:ascii="黑体" w:hAnsi="黑体" w:eastAsia="黑体" w:cs="黑体"/>
          <w:sz w:val="21"/>
          <w:lang w:val="en-US" w:eastAsia="zh-CN" w:bidi="ar-SA"/>
        </w:rPr>
        <w:t>感知与监测</w:t>
      </w:r>
    </w:p>
    <w:p w14:paraId="194C1815">
      <w:pPr>
        <w:pStyle w:val="60"/>
        <w:rPr>
          <w:rFonts w:hint="eastAsia"/>
          <w:lang w:val="en-US" w:eastAsia="zh-CN"/>
        </w:rPr>
      </w:pPr>
      <w:r>
        <w:rPr>
          <w:rFonts w:hint="eastAsia"/>
          <w:lang w:val="en-US" w:eastAsia="zh-CN"/>
        </w:rPr>
        <w:t>具体要求如下：</w:t>
      </w:r>
    </w:p>
    <w:p w14:paraId="204F9E3C">
      <w:pPr>
        <w:pStyle w:val="178"/>
        <w:keepNext w:val="0"/>
        <w:keepLines w:val="0"/>
        <w:pageBreakBefore w:val="0"/>
        <w:numPr>
          <w:ilvl w:val="0"/>
          <w:numId w:val="64"/>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应实现跨厂区循环水系统的协同监测网络，支持多源数据融合；</w:t>
      </w:r>
    </w:p>
    <w:p w14:paraId="55E51835">
      <w:pPr>
        <w:pStyle w:val="178"/>
        <w:keepNext w:val="0"/>
        <w:keepLines w:val="0"/>
        <w:pageBreakBefore w:val="0"/>
        <w:numPr>
          <w:ilvl w:val="0"/>
          <w:numId w:val="64"/>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应配备水质生物毒性在线监测仪等高级监测设备；</w:t>
      </w:r>
    </w:p>
    <w:p w14:paraId="0F4AACE0">
      <w:pPr>
        <w:pStyle w:val="178"/>
        <w:keepNext w:val="0"/>
        <w:keepLines w:val="0"/>
        <w:pageBreakBefore w:val="0"/>
        <w:numPr>
          <w:ilvl w:val="0"/>
          <w:numId w:val="64"/>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应实现全参数1次/s级实时采集与毫秒级异常响应；</w:t>
      </w:r>
    </w:p>
    <w:p w14:paraId="41CBA7BF">
      <w:pPr>
        <w:pStyle w:val="178"/>
        <w:keepNext w:val="0"/>
        <w:keepLines w:val="0"/>
        <w:pageBreakBefore w:val="0"/>
        <w:numPr>
          <w:ilvl w:val="0"/>
          <w:numId w:val="64"/>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应建立独立的网络安全防护体系，包括入侵检测、漏洞扫描、态势感知等功能。</w:t>
      </w:r>
    </w:p>
    <w:p w14:paraId="44DB6970">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黑体" w:hAnsi="黑体" w:eastAsia="黑体" w:cs="黑体"/>
          <w:sz w:val="21"/>
          <w:lang w:val="en-US" w:eastAsia="zh-CN" w:bidi="ar-SA"/>
        </w:rPr>
      </w:pPr>
      <w:r>
        <w:rPr>
          <w:rFonts w:hint="eastAsia" w:ascii="黑体" w:hAnsi="黑体" w:eastAsia="黑体" w:cs="黑体"/>
          <w:sz w:val="21"/>
          <w:lang w:val="en-US" w:eastAsia="zh-CN" w:bidi="ar-SA"/>
        </w:rPr>
        <w:t>数据与通信</w:t>
      </w:r>
    </w:p>
    <w:p w14:paraId="376A220E">
      <w:pPr>
        <w:pStyle w:val="60"/>
        <w:rPr>
          <w:rFonts w:hint="eastAsia" w:ascii="黑体" w:hAnsi="黑体" w:eastAsia="黑体" w:cs="黑体"/>
          <w:sz w:val="21"/>
          <w:lang w:val="en-US" w:eastAsia="zh-CN" w:bidi="ar-SA"/>
        </w:rPr>
      </w:pPr>
      <w:r>
        <w:rPr>
          <w:rFonts w:hint="eastAsia"/>
          <w:lang w:val="en-US" w:eastAsia="zh-CN"/>
        </w:rPr>
        <w:t>具体要求如下：</w:t>
      </w:r>
    </w:p>
    <w:p w14:paraId="077F8B5B">
      <w:pPr>
        <w:pStyle w:val="178"/>
        <w:keepNext w:val="0"/>
        <w:keepLines w:val="0"/>
        <w:pageBreakBefore w:val="0"/>
        <w:numPr>
          <w:ilvl w:val="0"/>
          <w:numId w:val="65"/>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应建立企业级循环水大数据平台，支持PB级数据存储和分析；</w:t>
      </w:r>
    </w:p>
    <w:p w14:paraId="12C57292">
      <w:pPr>
        <w:pStyle w:val="178"/>
        <w:keepNext w:val="0"/>
        <w:keepLines w:val="0"/>
        <w:pageBreakBefore w:val="0"/>
        <w:numPr>
          <w:ilvl w:val="0"/>
          <w:numId w:val="65"/>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应具备数据资产化管理功能，实现数据价值评估和优化利用；</w:t>
      </w:r>
    </w:p>
    <w:p w14:paraId="0AA5BAA4">
      <w:pPr>
        <w:pStyle w:val="178"/>
        <w:keepNext w:val="0"/>
        <w:keepLines w:val="0"/>
        <w:pageBreakBefore w:val="0"/>
        <w:numPr>
          <w:ilvl w:val="0"/>
          <w:numId w:val="65"/>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应支持与上下游产业链数据共享，构建行业数据生态；</w:t>
      </w:r>
    </w:p>
    <w:p w14:paraId="3AD604A9">
      <w:pPr>
        <w:pStyle w:val="178"/>
        <w:keepNext w:val="0"/>
        <w:keepLines w:val="0"/>
        <w:pageBreakBefore w:val="0"/>
        <w:numPr>
          <w:ilvl w:val="0"/>
          <w:numId w:val="65"/>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应具备AI模型自训练、自优化能力，适应不同运行工况；</w:t>
      </w:r>
    </w:p>
    <w:p w14:paraId="4BDF336A">
      <w:pPr>
        <w:pStyle w:val="178"/>
        <w:keepNext w:val="0"/>
        <w:keepLines w:val="0"/>
        <w:pageBreakBefore w:val="0"/>
        <w:numPr>
          <w:ilvl w:val="0"/>
          <w:numId w:val="65"/>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应部署边缘计算与云计算协同的混合架构。</w:t>
      </w:r>
    </w:p>
    <w:p w14:paraId="64F61C6B">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黑体" w:hAnsi="黑体" w:eastAsia="黑体" w:cs="黑体"/>
          <w:sz w:val="21"/>
          <w:lang w:val="en-US" w:eastAsia="zh-CN" w:bidi="ar-SA"/>
        </w:rPr>
      </w:pPr>
      <w:r>
        <w:rPr>
          <w:rFonts w:hint="eastAsia" w:ascii="黑体" w:hAnsi="黑体" w:eastAsia="黑体" w:cs="黑体"/>
          <w:sz w:val="21"/>
          <w:lang w:val="en-US" w:eastAsia="zh-CN" w:bidi="ar-SA"/>
        </w:rPr>
        <w:t>智能控制</w:t>
      </w:r>
    </w:p>
    <w:p w14:paraId="01F21E48">
      <w:pPr>
        <w:pStyle w:val="60"/>
        <w:rPr>
          <w:rFonts w:hint="eastAsia"/>
          <w:lang w:val="en-US" w:eastAsia="zh-CN"/>
        </w:rPr>
      </w:pPr>
      <w:r>
        <w:rPr>
          <w:rFonts w:hint="eastAsia"/>
          <w:lang w:val="en-US" w:eastAsia="zh-CN"/>
        </w:rPr>
        <w:t>具体要求如下：</w:t>
      </w:r>
    </w:p>
    <w:p w14:paraId="1A10ABA7">
      <w:pPr>
        <w:pStyle w:val="178"/>
        <w:keepNext w:val="0"/>
        <w:keepLines w:val="0"/>
        <w:pageBreakBefore w:val="0"/>
        <w:numPr>
          <w:ilvl w:val="0"/>
          <w:numId w:val="66"/>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应实现无人工监督下的主动决策与自动执行，智慧化决策贡献率不低于80%；</w:t>
      </w:r>
    </w:p>
    <w:p w14:paraId="16B340BC">
      <w:pPr>
        <w:pStyle w:val="178"/>
        <w:keepNext w:val="0"/>
        <w:keepLines w:val="0"/>
        <w:pageBreakBefore w:val="0"/>
        <w:numPr>
          <w:ilvl w:val="0"/>
          <w:numId w:val="66"/>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应实现跨厂区循环水系统的智能协同优化；</w:t>
      </w:r>
    </w:p>
    <w:p w14:paraId="30BF78B8">
      <w:pPr>
        <w:pStyle w:val="178"/>
        <w:keepNext w:val="0"/>
        <w:keepLines w:val="0"/>
        <w:pageBreakBefore w:val="0"/>
        <w:numPr>
          <w:ilvl w:val="0"/>
          <w:numId w:val="66"/>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应实现碳足迹监测与优化功能，支持绿电消纳决策。</w:t>
      </w:r>
    </w:p>
    <w:p w14:paraId="302FB26A">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黑体" w:hAnsi="黑体" w:eastAsia="黑体" w:cs="黑体"/>
          <w:sz w:val="21"/>
          <w:lang w:val="en-US" w:eastAsia="zh-CN" w:bidi="ar-SA"/>
        </w:rPr>
      </w:pPr>
      <w:r>
        <w:rPr>
          <w:rFonts w:hint="eastAsia" w:ascii="黑体" w:hAnsi="黑体" w:eastAsia="黑体" w:cs="黑体"/>
          <w:sz w:val="21"/>
          <w:lang w:val="en-US" w:eastAsia="zh-CN" w:bidi="ar-SA"/>
        </w:rPr>
        <w:t>分析决策</w:t>
      </w:r>
    </w:p>
    <w:p w14:paraId="7C1E4861">
      <w:pPr>
        <w:pStyle w:val="60"/>
        <w:rPr>
          <w:rFonts w:hint="eastAsia"/>
          <w:lang w:val="en-US" w:eastAsia="zh-CN"/>
        </w:rPr>
      </w:pPr>
      <w:r>
        <w:rPr>
          <w:rFonts w:hint="eastAsia"/>
          <w:lang w:val="en-US" w:eastAsia="zh-CN"/>
        </w:rPr>
        <w:t>具体要求如下：</w:t>
      </w:r>
    </w:p>
    <w:p w14:paraId="4091431C">
      <w:pPr>
        <w:pStyle w:val="178"/>
        <w:keepNext w:val="0"/>
        <w:keepLines w:val="0"/>
        <w:pageBreakBefore w:val="0"/>
        <w:numPr>
          <w:ilvl w:val="0"/>
          <w:numId w:val="67"/>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应具备基于数字孪生的全生命周期管理功能，覆盖设计、运行、维护、退役全阶段；</w:t>
      </w:r>
    </w:p>
    <w:p w14:paraId="592B251F">
      <w:pPr>
        <w:pStyle w:val="178"/>
        <w:keepNext w:val="0"/>
        <w:keepLines w:val="0"/>
        <w:pageBreakBefore w:val="0"/>
        <w:numPr>
          <w:ilvl w:val="0"/>
          <w:numId w:val="67"/>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AI模型应具备自训练与自优化能力，可自动适应水质、负荷与季节变化；</w:t>
      </w:r>
    </w:p>
    <w:p w14:paraId="2C9B6252">
      <w:pPr>
        <w:pStyle w:val="178"/>
        <w:keepNext w:val="0"/>
        <w:keepLines w:val="0"/>
        <w:pageBreakBefore w:val="0"/>
        <w:numPr>
          <w:ilvl w:val="0"/>
          <w:numId w:val="67"/>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应具备智能应急响应功能，支持极端工况下的自动调控与多系统协同处置；</w:t>
      </w:r>
    </w:p>
    <w:p w14:paraId="73C5AF0D">
      <w:pPr>
        <w:pStyle w:val="178"/>
        <w:keepNext w:val="0"/>
        <w:keepLines w:val="0"/>
        <w:pageBreakBefore w:val="0"/>
        <w:numPr>
          <w:ilvl w:val="0"/>
          <w:numId w:val="67"/>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应实现与全厂智慧水务平台的协同优化。</w:t>
      </w:r>
    </w:p>
    <w:p w14:paraId="4A0E746D">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黑体" w:hAnsi="黑体" w:eastAsia="黑体" w:cs="黑体"/>
          <w:sz w:val="21"/>
          <w:lang w:val="en-US" w:eastAsia="zh-CN" w:bidi="ar-SA"/>
        </w:rPr>
      </w:pPr>
      <w:r>
        <w:rPr>
          <w:rFonts w:hint="eastAsia" w:ascii="黑体" w:hAnsi="黑体" w:eastAsia="黑体" w:cs="黑体"/>
          <w:sz w:val="21"/>
          <w:lang w:val="en-US" w:eastAsia="zh-CN" w:bidi="ar-SA"/>
        </w:rPr>
        <w:t>运维管理</w:t>
      </w:r>
    </w:p>
    <w:p w14:paraId="6082D386">
      <w:pPr>
        <w:pStyle w:val="60"/>
        <w:rPr>
          <w:rFonts w:hint="eastAsia"/>
          <w:lang w:val="en-US" w:eastAsia="zh-CN"/>
        </w:rPr>
      </w:pPr>
      <w:r>
        <w:rPr>
          <w:rFonts w:hint="eastAsia"/>
          <w:lang w:val="en-US" w:eastAsia="zh-CN"/>
        </w:rPr>
        <w:t>具体要求如下：</w:t>
      </w:r>
    </w:p>
    <w:p w14:paraId="6A5C6E71">
      <w:pPr>
        <w:pStyle w:val="178"/>
        <w:keepNext w:val="0"/>
        <w:keepLines w:val="0"/>
        <w:pageBreakBefore w:val="0"/>
        <w:numPr>
          <w:ilvl w:val="0"/>
          <w:numId w:val="68"/>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应实现全自主运维，系统可自动生成维护计划并执行；</w:t>
      </w:r>
    </w:p>
    <w:p w14:paraId="319BAFCA">
      <w:pPr>
        <w:pStyle w:val="178"/>
        <w:keepNext w:val="0"/>
        <w:keepLines w:val="0"/>
        <w:pageBreakBefore w:val="0"/>
        <w:numPr>
          <w:ilvl w:val="0"/>
          <w:numId w:val="68"/>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应具备行业知识输出能力，可形成可复制的最佳实践方案；</w:t>
      </w:r>
    </w:p>
    <w:p w14:paraId="2F316551">
      <w:pPr>
        <w:pStyle w:val="178"/>
        <w:keepNext w:val="0"/>
        <w:keepLines w:val="0"/>
        <w:pageBreakBefore w:val="0"/>
        <w:numPr>
          <w:ilvl w:val="0"/>
          <w:numId w:val="68"/>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应支持跨厂区运维资源协同调度。</w:t>
      </w:r>
    </w:p>
    <w:p w14:paraId="07ACF028">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黑体" w:hAnsi="黑体" w:eastAsia="黑体" w:cs="黑体"/>
          <w:sz w:val="21"/>
          <w:lang w:val="en-US" w:eastAsia="zh-CN" w:bidi="ar-SA"/>
        </w:rPr>
      </w:pPr>
      <w:r>
        <w:rPr>
          <w:rFonts w:hint="eastAsia" w:ascii="黑体" w:hAnsi="黑体" w:eastAsia="黑体" w:cs="黑体"/>
          <w:sz w:val="21"/>
          <w:lang w:val="en-US" w:eastAsia="zh-CN" w:bidi="ar-SA"/>
        </w:rPr>
        <w:t>运行效能</w:t>
      </w:r>
    </w:p>
    <w:p w14:paraId="6ABBA634">
      <w:pPr>
        <w:pStyle w:val="60"/>
        <w:rPr>
          <w:rFonts w:hint="eastAsia" w:ascii="宋体" w:hAnsi="宋体" w:eastAsia="宋体" w:cs="宋体"/>
          <w:lang w:val="en-US" w:eastAsia="zh-CN"/>
        </w:rPr>
      </w:pPr>
      <w:r>
        <w:rPr>
          <w:rFonts w:hint="eastAsia" w:ascii="宋体" w:hAnsi="宋体" w:eastAsia="宋体" w:cs="宋体"/>
          <w:lang w:val="en-US" w:eastAsia="zh-CN"/>
        </w:rPr>
        <w:t>具体要求如下：</w:t>
      </w:r>
    </w:p>
    <w:p w14:paraId="45E421D4">
      <w:pPr>
        <w:pStyle w:val="178"/>
        <w:keepNext w:val="0"/>
        <w:keepLines w:val="0"/>
        <w:pageBreakBefore w:val="0"/>
        <w:numPr>
          <w:ilvl w:val="0"/>
          <w:numId w:val="69"/>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浓缩倍率（淡水补水）不低于6.0倍；</w:t>
      </w:r>
    </w:p>
    <w:p w14:paraId="1EA8A891">
      <w:pPr>
        <w:pStyle w:val="178"/>
        <w:keepNext w:val="0"/>
        <w:keepLines w:val="0"/>
        <w:pageBreakBefore w:val="0"/>
        <w:numPr>
          <w:ilvl w:val="0"/>
          <w:numId w:val="69"/>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冷却系统补水率（敞开式）不高于0.8%；</w:t>
      </w:r>
    </w:p>
    <w:p w14:paraId="362C2C3E">
      <w:pPr>
        <w:pStyle w:val="178"/>
        <w:keepNext w:val="0"/>
        <w:keepLines w:val="0"/>
        <w:pageBreakBefore w:val="0"/>
        <w:numPr>
          <w:ilvl w:val="0"/>
          <w:numId w:val="69"/>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循环水输送工序吨水百米耗电量不高于0.25kW·h；</w:t>
      </w:r>
    </w:p>
    <w:p w14:paraId="3A514464">
      <w:pPr>
        <w:pStyle w:val="178"/>
        <w:keepNext w:val="0"/>
        <w:keepLines w:val="0"/>
        <w:pageBreakBefore w:val="0"/>
        <w:numPr>
          <w:ilvl w:val="0"/>
          <w:numId w:val="69"/>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碳钢设备腐蚀速率小于0.02mm/a，铜合金及不锈钢设备腐蚀速率小于0.002mm/a；</w:t>
      </w:r>
    </w:p>
    <w:p w14:paraId="16C327BA">
      <w:pPr>
        <w:pStyle w:val="178"/>
        <w:keepNext w:val="0"/>
        <w:keepLines w:val="0"/>
        <w:pageBreakBefore w:val="0"/>
        <w:numPr>
          <w:ilvl w:val="0"/>
          <w:numId w:val="69"/>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污垢热阻值不大于1.5×10</w:t>
      </w:r>
      <w:r>
        <w:rPr>
          <w:rFonts w:hint="eastAsia" w:ascii="宋体" w:hAnsi="宋体" w:eastAsia="宋体" w:cs="宋体"/>
          <w:vertAlign w:val="superscript"/>
          <w:lang w:val="en-US" w:eastAsia="zh-CN"/>
        </w:rPr>
        <w:t>-4</w:t>
      </w:r>
      <w:r>
        <w:rPr>
          <w:rFonts w:hint="eastAsia" w:ascii="宋体" w:hAnsi="宋体" w:eastAsia="宋体" w:cs="宋体"/>
          <w:lang w:val="en-US" w:eastAsia="zh-CN"/>
        </w:rPr>
        <w:t>m²·K/W；</w:t>
      </w:r>
    </w:p>
    <w:p w14:paraId="7C67CE7B">
      <w:pPr>
        <w:pStyle w:val="178"/>
        <w:keepNext w:val="0"/>
        <w:keepLines w:val="0"/>
        <w:pageBreakBefore w:val="0"/>
        <w:numPr>
          <w:ilvl w:val="0"/>
          <w:numId w:val="69"/>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异养菌总数不大于5×10</w:t>
      </w:r>
      <w:r>
        <w:rPr>
          <w:rFonts w:hint="eastAsia" w:ascii="宋体" w:hAnsi="宋体" w:eastAsia="宋体" w:cs="宋体"/>
          <w:vertAlign w:val="superscript"/>
          <w:lang w:val="en-US" w:eastAsia="zh-CN"/>
        </w:rPr>
        <w:t>3</w:t>
      </w:r>
      <w:r>
        <w:rPr>
          <w:rFonts w:hint="eastAsia" w:ascii="宋体" w:hAnsi="宋体" w:eastAsia="宋体" w:cs="宋体"/>
          <w:lang w:val="en-US" w:eastAsia="zh-CN"/>
        </w:rPr>
        <w:t>CFU/mL；</w:t>
      </w:r>
    </w:p>
    <w:p w14:paraId="14598DED">
      <w:pPr>
        <w:pStyle w:val="178"/>
        <w:keepNext w:val="0"/>
        <w:keepLines w:val="0"/>
        <w:pageBreakBefore w:val="0"/>
        <w:numPr>
          <w:ilvl w:val="0"/>
          <w:numId w:val="69"/>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因循环水系统问题导致的年非计划停机次数为0；</w:t>
      </w:r>
    </w:p>
    <w:p w14:paraId="1F672F78">
      <w:pPr>
        <w:pStyle w:val="178"/>
        <w:keepNext w:val="0"/>
        <w:keepLines w:val="0"/>
        <w:pageBreakBefore w:val="0"/>
        <w:numPr>
          <w:ilvl w:val="0"/>
          <w:numId w:val="69"/>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自动控制覆盖率达到100%；</w:t>
      </w:r>
    </w:p>
    <w:p w14:paraId="36AF7591">
      <w:pPr>
        <w:pStyle w:val="178"/>
        <w:keepNext w:val="0"/>
        <w:keepLines w:val="0"/>
        <w:pageBreakBefore w:val="0"/>
        <w:numPr>
          <w:ilvl w:val="0"/>
          <w:numId w:val="69"/>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药剂投加量较定额节约率不低于15%；</w:t>
      </w:r>
    </w:p>
    <w:p w14:paraId="2CC15C31">
      <w:pPr>
        <w:pStyle w:val="178"/>
        <w:keepNext w:val="0"/>
        <w:keepLines w:val="0"/>
        <w:pageBreakBefore w:val="0"/>
        <w:numPr>
          <w:ilvl w:val="0"/>
          <w:numId w:val="69"/>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故障预警准确率不低于95%；</w:t>
      </w:r>
    </w:p>
    <w:p w14:paraId="167CB660">
      <w:pPr>
        <w:pStyle w:val="178"/>
        <w:keepNext w:val="0"/>
        <w:keepLines w:val="0"/>
        <w:pageBreakBefore w:val="0"/>
        <w:numPr>
          <w:ilvl w:val="0"/>
          <w:numId w:val="69"/>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年系统节能率不低于15%，投资回收期不超过3年；</w:t>
      </w:r>
    </w:p>
    <w:p w14:paraId="43059A01">
      <w:pPr>
        <w:pStyle w:val="178"/>
        <w:keepNext w:val="0"/>
        <w:keepLines w:val="0"/>
        <w:pageBreakBefore w:val="0"/>
        <w:numPr>
          <w:ilvl w:val="0"/>
          <w:numId w:val="69"/>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全系统智慧化决策贡献率不低于80%。</w:t>
      </w:r>
    </w:p>
    <w:p w14:paraId="17B28207">
      <w:pPr>
        <w:pStyle w:val="108"/>
        <w:keepNext w:val="0"/>
        <w:keepLines w:val="0"/>
        <w:pageBreakBefore w:val="0"/>
        <w:kinsoku/>
        <w:wordWrap/>
        <w:overflowPunct/>
        <w:topLinePunct w:val="0"/>
        <w:bidi w:val="0"/>
        <w:snapToGrid/>
        <w:spacing w:line="240" w:lineRule="auto"/>
        <w:textAlignment w:val="auto"/>
        <w:rPr>
          <w:rFonts w:hint="default"/>
          <w:lang w:val="en-US" w:eastAsia="zh-CN"/>
        </w:rPr>
      </w:pPr>
      <w:bookmarkStart w:id="154" w:name="_Toc29941"/>
      <w:r>
        <w:rPr>
          <w:rFonts w:hint="eastAsia"/>
          <w:lang w:val="en-US" w:eastAsia="zh-CN"/>
        </w:rPr>
        <w:t>评级方法</w:t>
      </w:r>
      <w:bookmarkEnd w:id="154"/>
    </w:p>
    <w:p w14:paraId="3D5F5CAE">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default"/>
          <w:lang w:val="en-US" w:eastAsia="zh-CN"/>
        </w:rPr>
      </w:pPr>
      <w:bookmarkStart w:id="155" w:name="_Toc13341"/>
      <w:r>
        <w:rPr>
          <w:rFonts w:hint="eastAsia"/>
          <w:lang w:val="en-US" w:eastAsia="zh-CN"/>
        </w:rPr>
        <w:t>等级判定规则</w:t>
      </w:r>
      <w:bookmarkEnd w:id="155"/>
    </w:p>
    <w:p w14:paraId="5C72AB3D">
      <w:pPr>
        <w:pStyle w:val="60"/>
        <w:rPr>
          <w:rFonts w:hint="default"/>
          <w:lang w:val="en-US" w:eastAsia="zh-CN"/>
        </w:rPr>
      </w:pPr>
      <w:r>
        <w:rPr>
          <w:rFonts w:hint="default"/>
          <w:lang w:val="en-US" w:eastAsia="zh-CN"/>
        </w:rPr>
        <w:t>智能化等级</w:t>
      </w:r>
      <w:r>
        <w:rPr>
          <w:rFonts w:hint="eastAsia"/>
          <w:lang w:val="en-US" w:eastAsia="zh-CN"/>
        </w:rPr>
        <w:t>判定规则如下</w:t>
      </w:r>
      <w:r>
        <w:rPr>
          <w:rFonts w:hint="default"/>
          <w:lang w:val="en-US" w:eastAsia="zh-CN"/>
        </w:rPr>
        <w:t>：</w:t>
      </w:r>
    </w:p>
    <w:p w14:paraId="25B22A3A">
      <w:pPr>
        <w:pStyle w:val="178"/>
        <w:keepNext w:val="0"/>
        <w:keepLines w:val="0"/>
        <w:pageBreakBefore w:val="0"/>
        <w:numPr>
          <w:ilvl w:val="0"/>
          <w:numId w:val="70"/>
        </w:numPr>
        <w:kinsoku/>
        <w:wordWrap/>
        <w:overflowPunct/>
        <w:topLinePunct w:val="0"/>
        <w:bidi w:val="0"/>
        <w:snapToGrid/>
        <w:spacing w:line="240" w:lineRule="auto"/>
        <w:textAlignment w:val="auto"/>
        <w:rPr>
          <w:rFonts w:hint="default" w:ascii="宋体" w:hAnsi="宋体" w:eastAsia="宋体" w:cs="宋体"/>
          <w:lang w:val="en-US" w:eastAsia="zh-CN"/>
        </w:rPr>
      </w:pPr>
      <w:r>
        <w:rPr>
          <w:rFonts w:hint="default" w:ascii="宋体" w:hAnsi="宋体" w:eastAsia="宋体" w:cs="宋体"/>
          <w:lang w:val="en-US" w:eastAsia="zh-CN"/>
        </w:rPr>
        <w:t>以第5章各等级</w:t>
      </w:r>
      <w:r>
        <w:rPr>
          <w:rFonts w:hint="eastAsia" w:hAnsi="宋体" w:cs="宋体"/>
          <w:lang w:val="en-US" w:eastAsia="zh-CN"/>
        </w:rPr>
        <w:t>对应的指标要求</w:t>
      </w:r>
      <w:r>
        <w:rPr>
          <w:rFonts w:hint="default" w:ascii="宋体" w:hAnsi="宋体" w:eastAsia="宋体" w:cs="宋体"/>
          <w:lang w:val="en-US" w:eastAsia="zh-CN"/>
        </w:rPr>
        <w:t>为唯一判定依据，采用从申请等级开始逐级向下核查的方式进行判定</w:t>
      </w:r>
      <w:r>
        <w:rPr>
          <w:rFonts w:hint="eastAsia" w:hAnsi="宋体" w:cs="宋体"/>
          <w:lang w:val="en-US" w:eastAsia="zh-CN"/>
        </w:rPr>
        <w:t>；</w:t>
      </w:r>
    </w:p>
    <w:p w14:paraId="78672AA3">
      <w:pPr>
        <w:pStyle w:val="178"/>
        <w:keepNext w:val="0"/>
        <w:keepLines w:val="0"/>
        <w:pageBreakBefore w:val="0"/>
        <w:numPr>
          <w:ilvl w:val="0"/>
          <w:numId w:val="70"/>
        </w:numPr>
        <w:kinsoku/>
        <w:wordWrap/>
        <w:overflowPunct/>
        <w:topLinePunct w:val="0"/>
        <w:bidi w:val="0"/>
        <w:snapToGrid/>
        <w:spacing w:line="240" w:lineRule="auto"/>
        <w:textAlignment w:val="auto"/>
        <w:rPr>
          <w:rFonts w:hint="default" w:ascii="宋体" w:hAnsi="宋体" w:eastAsia="宋体" w:cs="宋体"/>
          <w:lang w:val="en-US" w:eastAsia="zh-CN"/>
        </w:rPr>
      </w:pPr>
      <w:r>
        <w:rPr>
          <w:rFonts w:hint="default" w:ascii="宋体" w:hAnsi="宋体" w:eastAsia="宋体" w:cs="宋体"/>
          <w:lang w:val="en-US" w:eastAsia="zh-CN"/>
        </w:rPr>
        <w:t>申请认定某等级时，应同时核查该等级及第5章中该等级以下所有等级的</w:t>
      </w:r>
      <w:r>
        <w:rPr>
          <w:rFonts w:hint="eastAsia" w:hAnsi="宋体" w:cs="宋体"/>
          <w:lang w:val="en-US" w:eastAsia="zh-CN"/>
        </w:rPr>
        <w:t>技术指标；</w:t>
      </w:r>
      <w:r>
        <w:rPr>
          <w:rFonts w:hint="default" w:ascii="宋体" w:hAnsi="宋体" w:eastAsia="宋体" w:cs="宋体"/>
          <w:lang w:val="en-US" w:eastAsia="zh-CN"/>
        </w:rPr>
        <w:t>经核查，申请等级及其以下所有等级的全部</w:t>
      </w:r>
      <w:r>
        <w:rPr>
          <w:rFonts w:hint="eastAsia" w:hAnsi="宋体" w:cs="宋体"/>
          <w:lang w:val="en-US" w:eastAsia="zh-CN"/>
        </w:rPr>
        <w:t>指标</w:t>
      </w:r>
      <w:r>
        <w:rPr>
          <w:rFonts w:hint="default" w:ascii="宋体" w:hAnsi="宋体" w:eastAsia="宋体" w:cs="宋体"/>
          <w:lang w:val="en-US" w:eastAsia="zh-CN"/>
        </w:rPr>
        <w:t>均满足</w:t>
      </w:r>
      <w:r>
        <w:rPr>
          <w:rFonts w:hint="eastAsia" w:hAnsi="宋体" w:cs="宋体"/>
          <w:lang w:val="en-US" w:eastAsia="zh-CN"/>
        </w:rPr>
        <w:t>时，</w:t>
      </w:r>
      <w:r>
        <w:rPr>
          <w:rFonts w:hint="default" w:ascii="宋体" w:hAnsi="宋体" w:eastAsia="宋体" w:cs="宋体"/>
          <w:lang w:val="en-US" w:eastAsia="zh-CN"/>
        </w:rPr>
        <w:t>判定为该等级</w:t>
      </w:r>
      <w:r>
        <w:rPr>
          <w:rFonts w:hint="eastAsia" w:hAnsi="宋体" w:cs="宋体"/>
          <w:lang w:val="en-US" w:eastAsia="zh-CN"/>
        </w:rPr>
        <w:t>；</w:t>
      </w:r>
    </w:p>
    <w:p w14:paraId="6327AD9D">
      <w:pPr>
        <w:pStyle w:val="178"/>
        <w:keepNext w:val="0"/>
        <w:keepLines w:val="0"/>
        <w:pageBreakBefore w:val="0"/>
        <w:numPr>
          <w:ilvl w:val="0"/>
          <w:numId w:val="70"/>
        </w:numPr>
        <w:kinsoku/>
        <w:wordWrap/>
        <w:overflowPunct/>
        <w:topLinePunct w:val="0"/>
        <w:bidi w:val="0"/>
        <w:snapToGrid/>
        <w:spacing w:line="240" w:lineRule="auto"/>
        <w:textAlignment w:val="auto"/>
        <w:rPr>
          <w:rFonts w:hint="default" w:ascii="宋体" w:hAnsi="宋体" w:eastAsia="宋体" w:cs="宋体"/>
          <w:lang w:val="en-US" w:eastAsia="zh-CN"/>
        </w:rPr>
      </w:pPr>
      <w:r>
        <w:rPr>
          <w:rFonts w:hint="default" w:ascii="宋体" w:hAnsi="宋体" w:eastAsia="宋体" w:cs="宋体"/>
          <w:lang w:val="en-US" w:eastAsia="zh-CN"/>
        </w:rPr>
        <w:t>申请等级存在任一</w:t>
      </w:r>
      <w:r>
        <w:rPr>
          <w:rFonts w:hint="eastAsia" w:hAnsi="宋体" w:cs="宋体"/>
          <w:lang w:val="en-US" w:eastAsia="zh-CN"/>
        </w:rPr>
        <w:t>项</w:t>
      </w:r>
      <w:r>
        <w:rPr>
          <w:rFonts w:hint="default" w:ascii="宋体" w:hAnsi="宋体" w:eastAsia="宋体" w:cs="宋体"/>
          <w:lang w:val="en-US" w:eastAsia="zh-CN"/>
        </w:rPr>
        <w:t>不满足的，不对该等级予以认定，应继续向下一级核查；下一级及其以下所有等级的全部</w:t>
      </w:r>
      <w:r>
        <w:rPr>
          <w:rFonts w:hint="eastAsia" w:hAnsi="宋体" w:cs="宋体"/>
          <w:lang w:val="en-US" w:eastAsia="zh-CN"/>
        </w:rPr>
        <w:t>指标</w:t>
      </w:r>
      <w:r>
        <w:rPr>
          <w:rFonts w:hint="default" w:ascii="宋体" w:hAnsi="宋体" w:eastAsia="宋体" w:cs="宋体"/>
          <w:lang w:val="en-US" w:eastAsia="zh-CN"/>
        </w:rPr>
        <w:t>均满足的，判定为</w:t>
      </w:r>
      <w:r>
        <w:rPr>
          <w:rFonts w:hint="eastAsia" w:hAnsi="宋体" w:cs="宋体"/>
          <w:lang w:val="en-US" w:eastAsia="zh-CN"/>
        </w:rPr>
        <w:t>该等级</w:t>
      </w:r>
      <w:r>
        <w:rPr>
          <w:rFonts w:hint="default" w:ascii="宋体" w:hAnsi="宋体" w:eastAsia="宋体" w:cs="宋体"/>
          <w:lang w:val="en-US" w:eastAsia="zh-CN"/>
        </w:rPr>
        <w:t>。逐级向下核查，以全部</w:t>
      </w:r>
      <w:r>
        <w:rPr>
          <w:rFonts w:hint="eastAsia" w:hAnsi="宋体" w:cs="宋体"/>
          <w:lang w:val="en-US" w:eastAsia="zh-CN"/>
        </w:rPr>
        <w:t>指标</w:t>
      </w:r>
      <w:r>
        <w:rPr>
          <w:rFonts w:hint="default" w:ascii="宋体" w:hAnsi="宋体" w:eastAsia="宋体" w:cs="宋体"/>
          <w:lang w:val="en-US" w:eastAsia="zh-CN"/>
        </w:rPr>
        <w:t>均满足的最高等级作为最终判定等级</w:t>
      </w:r>
      <w:r>
        <w:rPr>
          <w:rFonts w:hint="eastAsia" w:hAnsi="宋体" w:cs="宋体"/>
          <w:lang w:val="en-US" w:eastAsia="zh-CN"/>
        </w:rPr>
        <w:t>；</w:t>
      </w:r>
    </w:p>
    <w:p w14:paraId="26DF2ACA">
      <w:pPr>
        <w:pStyle w:val="178"/>
        <w:keepNext w:val="0"/>
        <w:keepLines w:val="0"/>
        <w:pageBreakBefore w:val="0"/>
        <w:numPr>
          <w:ilvl w:val="0"/>
          <w:numId w:val="70"/>
        </w:numPr>
        <w:kinsoku/>
        <w:wordWrap/>
        <w:overflowPunct/>
        <w:topLinePunct w:val="0"/>
        <w:bidi w:val="0"/>
        <w:snapToGrid/>
        <w:spacing w:line="240" w:lineRule="auto"/>
        <w:textAlignment w:val="auto"/>
        <w:rPr>
          <w:rFonts w:hint="default" w:ascii="宋体" w:hAnsi="宋体" w:eastAsia="宋体" w:cs="宋体"/>
          <w:lang w:val="en-US" w:eastAsia="zh-CN"/>
        </w:rPr>
      </w:pPr>
      <w:r>
        <w:rPr>
          <w:rFonts w:hint="default" w:ascii="宋体" w:hAnsi="宋体" w:eastAsia="宋体" w:cs="宋体"/>
          <w:lang w:val="en-US" w:eastAsia="zh-CN"/>
        </w:rPr>
        <w:t>经逐级核查，不满足</w:t>
      </w:r>
      <w:r>
        <w:rPr>
          <w:rFonts w:hint="eastAsia" w:hAnsi="宋体" w:cs="宋体"/>
          <w:lang w:val="en-US" w:eastAsia="zh-CN"/>
        </w:rPr>
        <w:t>L1级要求的</w:t>
      </w:r>
      <w:r>
        <w:rPr>
          <w:rFonts w:hint="default" w:ascii="宋体" w:hAnsi="宋体" w:eastAsia="宋体" w:cs="宋体"/>
          <w:lang w:val="en-US" w:eastAsia="zh-CN"/>
        </w:rPr>
        <w:t>，不予等级认定，申请单位整改后可重新申请评价</w:t>
      </w:r>
      <w:r>
        <w:rPr>
          <w:rFonts w:hint="eastAsia" w:hAnsi="宋体" w:cs="宋体"/>
          <w:lang w:val="en-US" w:eastAsia="zh-CN"/>
        </w:rPr>
        <w:t>。</w:t>
      </w:r>
    </w:p>
    <w:p w14:paraId="32FAE967">
      <w:pPr>
        <w:pStyle w:val="178"/>
        <w:keepNext w:val="0"/>
        <w:keepLines w:val="0"/>
        <w:pageBreakBefore w:val="0"/>
        <w:widowControl/>
        <w:numPr>
          <w:numId w:val="0"/>
        </w:numPr>
        <w:kinsoku/>
        <w:wordWrap/>
        <w:overflowPunct/>
        <w:topLinePunct w:val="0"/>
        <w:autoSpaceDE/>
        <w:autoSpaceDN/>
        <w:bidi w:val="0"/>
        <w:adjustRightInd/>
        <w:snapToGrid/>
        <w:spacing w:line="240" w:lineRule="auto"/>
        <w:ind w:firstLine="360" w:firstLineChars="200"/>
        <w:textAlignment w:val="auto"/>
        <w:rPr>
          <w:rFonts w:hint="default" w:ascii="宋体" w:hAnsi="宋体" w:eastAsia="宋体" w:cs="宋体"/>
          <w:sz w:val="18"/>
          <w:szCs w:val="18"/>
          <w:lang w:val="en-US" w:eastAsia="zh-CN"/>
        </w:rPr>
      </w:pPr>
      <w:r>
        <w:rPr>
          <w:rFonts w:hint="eastAsia" w:ascii="黑体" w:hAnsi="黑体" w:eastAsia="黑体" w:cs="黑体"/>
          <w:sz w:val="18"/>
          <w:szCs w:val="18"/>
          <w:lang w:val="en-US" w:eastAsia="zh-CN"/>
        </w:rPr>
        <w:t>注：</w:t>
      </w:r>
      <w:r>
        <w:rPr>
          <w:rFonts w:hint="default" w:ascii="宋体" w:hAnsi="宋体" w:eastAsia="宋体" w:cs="宋体"/>
          <w:sz w:val="18"/>
          <w:szCs w:val="18"/>
          <w:lang w:val="en-US" w:eastAsia="zh-CN"/>
        </w:rPr>
        <w:t>第5章中以</w:t>
      </w:r>
      <w:r>
        <w:rPr>
          <w:rFonts w:hint="eastAsia" w:hAnsi="宋体" w:cs="宋体"/>
          <w:sz w:val="18"/>
          <w:szCs w:val="18"/>
          <w:lang w:val="en-US" w:eastAsia="zh-CN"/>
        </w:rPr>
        <w:t>“</w:t>
      </w:r>
      <w:r>
        <w:rPr>
          <w:rFonts w:hint="default" w:ascii="宋体" w:hAnsi="宋体" w:eastAsia="宋体" w:cs="宋体"/>
          <w:sz w:val="18"/>
          <w:szCs w:val="18"/>
          <w:lang w:val="en-US" w:eastAsia="zh-CN"/>
        </w:rPr>
        <w:t>宜</w:t>
      </w:r>
      <w:r>
        <w:rPr>
          <w:rFonts w:hint="eastAsia" w:hAnsi="宋体" w:cs="宋体"/>
          <w:sz w:val="18"/>
          <w:szCs w:val="18"/>
          <w:lang w:val="en-US" w:eastAsia="zh-CN"/>
        </w:rPr>
        <w:t>”</w:t>
      </w:r>
      <w:r>
        <w:rPr>
          <w:rFonts w:hint="default" w:ascii="宋体" w:hAnsi="宋体" w:eastAsia="宋体" w:cs="宋体"/>
          <w:sz w:val="18"/>
          <w:szCs w:val="18"/>
          <w:lang w:val="en-US" w:eastAsia="zh-CN"/>
        </w:rPr>
        <w:t>表述的条款为鼓励性条款，不满足不影响等级认定</w:t>
      </w:r>
      <w:r>
        <w:rPr>
          <w:rFonts w:hint="eastAsia" w:hAnsi="宋体" w:cs="宋体"/>
          <w:sz w:val="18"/>
          <w:szCs w:val="18"/>
          <w:lang w:val="en-US" w:eastAsia="zh-CN"/>
        </w:rPr>
        <w:t>。</w:t>
      </w:r>
    </w:p>
    <w:p w14:paraId="4152D0A0">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default"/>
          <w:lang w:val="en-US" w:eastAsia="zh-CN"/>
        </w:rPr>
      </w:pPr>
      <w:bookmarkStart w:id="156" w:name="_Toc7326"/>
      <w:r>
        <w:rPr>
          <w:rFonts w:hint="eastAsia"/>
          <w:lang w:val="en-US" w:eastAsia="zh-CN"/>
        </w:rPr>
        <w:t>动态管理</w:t>
      </w:r>
      <w:bookmarkEnd w:id="156"/>
    </w:p>
    <w:p w14:paraId="5284C01E">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default" w:ascii="宋体" w:hAnsi="Times New Roman" w:eastAsia="宋体" w:cs="Times New Roman"/>
          <w:sz w:val="21"/>
          <w:lang w:val="en-US" w:eastAsia="zh-CN" w:bidi="ar-SA"/>
        </w:rPr>
      </w:pPr>
      <w:r>
        <w:rPr>
          <w:rFonts w:hint="default" w:ascii="宋体" w:hAnsi="Times New Roman" w:eastAsia="宋体" w:cs="Times New Roman"/>
          <w:sz w:val="21"/>
          <w:lang w:val="en-US" w:eastAsia="zh-CN" w:bidi="ar-SA"/>
        </w:rPr>
        <w:t>等级认定有效期为3年，期满前3个月可申请复评，复评按第6.1节规定的判定规则重新进行等级判定。</w:t>
      </w:r>
    </w:p>
    <w:p w14:paraId="089BEE3B">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default" w:ascii="宋体" w:hAnsi="Times New Roman" w:eastAsia="宋体" w:cs="Times New Roman"/>
          <w:sz w:val="21"/>
          <w:lang w:val="en-US" w:eastAsia="zh-CN" w:bidi="ar-SA"/>
        </w:rPr>
      </w:pPr>
      <w:r>
        <w:rPr>
          <w:rFonts w:hint="default" w:ascii="宋体" w:hAnsi="Times New Roman" w:eastAsia="宋体" w:cs="Times New Roman"/>
          <w:sz w:val="21"/>
          <w:lang w:val="en-US" w:eastAsia="zh-CN" w:bidi="ar-SA"/>
        </w:rPr>
        <w:t>已获得等级认定的电厂可在有效期内申请更高等级评价，评价通过后换发等级证书，有效期重新计算。</w:t>
      </w:r>
    </w:p>
    <w:p w14:paraId="69CAC33D">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default" w:ascii="宋体" w:hAnsi="Times New Roman" w:eastAsia="宋体" w:cs="Times New Roman"/>
          <w:sz w:val="21"/>
          <w:lang w:val="en-US" w:eastAsia="zh-CN" w:bidi="ar-SA"/>
        </w:rPr>
      </w:pPr>
      <w:r>
        <w:rPr>
          <w:rFonts w:hint="default" w:ascii="宋体" w:hAnsi="Times New Roman" w:eastAsia="宋体" w:cs="Times New Roman"/>
          <w:sz w:val="21"/>
          <w:lang w:val="en-US" w:eastAsia="zh-CN" w:bidi="ar-SA"/>
        </w:rPr>
        <w:t>发生重大安全事故或环境事件的，自动取消已认定等级资格，自事故发生之日起2年后方可重新申请评价。</w:t>
      </w:r>
    </w:p>
    <w:p w14:paraId="60F0FCF2">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default" w:ascii="宋体" w:hAnsi="Times New Roman" w:eastAsia="宋体" w:cs="Times New Roman"/>
          <w:sz w:val="21"/>
          <w:lang w:val="en-US" w:eastAsia="zh-CN" w:bidi="ar-SA"/>
        </w:rPr>
      </w:pPr>
      <w:r>
        <w:rPr>
          <w:rFonts w:hint="default" w:ascii="宋体" w:hAnsi="Times New Roman" w:eastAsia="宋体" w:cs="Times New Roman"/>
          <w:sz w:val="21"/>
          <w:lang w:val="en-US" w:eastAsia="zh-CN" w:bidi="ar-SA"/>
        </w:rPr>
        <w:t>评价过程中发现申请资料弄虚作假或现场核验存在舞弊行为的，取消本次评价资格，1年内不得再次申请。</w:t>
      </w:r>
    </w:p>
    <w:p w14:paraId="68F27599">
      <w:pPr>
        <w:pStyle w:val="60"/>
        <w:ind w:left="0" w:leftChars="0" w:firstLine="0" w:firstLineChars="0"/>
        <w:rPr>
          <w:rFonts w:hint="default"/>
          <w:lang w:val="en-US" w:eastAsia="zh-CN"/>
        </w:rPr>
      </w:pPr>
    </w:p>
    <w:p w14:paraId="7D1ACAA3">
      <w:pPr>
        <w:pStyle w:val="60"/>
        <w:ind w:left="0" w:leftChars="0" w:firstLine="0" w:firstLineChars="0"/>
        <w:rPr>
          <w:rFonts w:hint="default"/>
          <w:lang w:val="en-US" w:eastAsia="zh-CN"/>
        </w:rPr>
      </w:pPr>
    </w:p>
    <w:p w14:paraId="7CD6369A">
      <w:pPr>
        <w:pStyle w:val="60"/>
        <w:ind w:left="0" w:leftChars="0" w:firstLine="0" w:firstLineChars="0"/>
        <w:rPr>
          <w:rFonts w:hint="default"/>
          <w:lang w:val="en-US" w:eastAsia="zh-CN"/>
        </w:rPr>
      </w:pPr>
    </w:p>
    <w:p w14:paraId="3E960CD5">
      <w:pPr>
        <w:pStyle w:val="60"/>
        <w:ind w:left="0" w:leftChars="0" w:firstLine="0" w:firstLineChars="0"/>
        <w:rPr>
          <w:rFonts w:hint="default"/>
          <w:lang w:val="en-US" w:eastAsia="zh-CN"/>
        </w:rPr>
      </w:pPr>
    </w:p>
    <w:p w14:paraId="68DACD0E">
      <w:pPr>
        <w:pStyle w:val="60"/>
        <w:ind w:left="0" w:leftChars="0" w:firstLine="0" w:firstLineChars="0"/>
        <w:rPr>
          <w:rFonts w:hint="default"/>
          <w:lang w:val="en-US" w:eastAsia="zh-CN"/>
        </w:rPr>
      </w:pPr>
    </w:p>
    <w:p w14:paraId="02AE1EC0">
      <w:pPr>
        <w:pStyle w:val="60"/>
        <w:ind w:left="0" w:leftChars="0" w:firstLine="0" w:firstLineChars="0"/>
        <w:rPr>
          <w:rFonts w:hint="default"/>
          <w:lang w:val="en-US" w:eastAsia="zh-CN"/>
        </w:rPr>
      </w:pPr>
    </w:p>
    <w:p w14:paraId="7BB24222">
      <w:pPr>
        <w:pStyle w:val="60"/>
        <w:ind w:left="0" w:leftChars="0" w:firstLine="0" w:firstLineChars="0"/>
        <w:rPr>
          <w:rFonts w:hint="default"/>
          <w:lang w:val="en-US" w:eastAsia="zh-CN"/>
        </w:rPr>
      </w:pPr>
    </w:p>
    <w:p w14:paraId="78509095">
      <w:pPr>
        <w:pStyle w:val="60"/>
        <w:ind w:left="0" w:leftChars="0" w:firstLine="0" w:firstLineChars="0"/>
        <w:rPr>
          <w:rFonts w:hint="default"/>
          <w:lang w:val="en-US" w:eastAsia="zh-CN"/>
        </w:rPr>
      </w:pPr>
    </w:p>
    <w:p w14:paraId="07B3CEDD">
      <w:pPr>
        <w:pStyle w:val="60"/>
        <w:ind w:left="0" w:leftChars="0" w:firstLine="0" w:firstLineChars="0"/>
        <w:rPr>
          <w:rFonts w:hint="default"/>
          <w:lang w:val="en-US" w:eastAsia="zh-CN"/>
        </w:rPr>
      </w:pPr>
    </w:p>
    <w:p w14:paraId="76CE13EB">
      <w:pPr>
        <w:pStyle w:val="60"/>
        <w:ind w:left="0" w:leftChars="0" w:firstLine="0" w:firstLineChars="0"/>
        <w:rPr>
          <w:rFonts w:hint="default"/>
          <w:lang w:val="en-US" w:eastAsia="zh-CN"/>
        </w:rPr>
      </w:pPr>
    </w:p>
    <w:p w14:paraId="754AED5D">
      <w:pPr>
        <w:pStyle w:val="60"/>
        <w:ind w:left="0" w:leftChars="0" w:firstLine="0" w:firstLineChars="0"/>
        <w:rPr>
          <w:rFonts w:hint="default"/>
          <w:lang w:val="en-US" w:eastAsia="zh-CN"/>
        </w:rPr>
      </w:pPr>
    </w:p>
    <w:p w14:paraId="2913918D">
      <w:pPr>
        <w:pStyle w:val="178"/>
        <w:keepNext w:val="0"/>
        <w:keepLines w:val="0"/>
        <w:pageBreakBefore w:val="0"/>
        <w:numPr>
          <w:numId w:val="0"/>
        </w:numPr>
        <w:kinsoku/>
        <w:wordWrap/>
        <w:overflowPunct/>
        <w:topLinePunct w:val="0"/>
        <w:bidi w:val="0"/>
        <w:snapToGrid/>
        <w:spacing w:line="240" w:lineRule="auto"/>
        <w:textAlignment w:val="auto"/>
        <w:rPr>
          <w:rFonts w:hint="default"/>
          <w:lang w:val="en-US" w:eastAsia="zh-CN"/>
        </w:rPr>
      </w:pPr>
    </w:p>
    <w:p w14:paraId="78C05647">
      <w:pPr>
        <w:pStyle w:val="60"/>
        <w:ind w:firstLine="0" w:firstLineChars="0"/>
        <w:jc w:val="center"/>
        <w:sectPr>
          <w:headerReference r:id="rId17" w:type="default"/>
          <w:footerReference r:id="rId19" w:type="default"/>
          <w:headerReference r:id="rId18" w:type="even"/>
          <w:footerReference r:id="rId20" w:type="even"/>
          <w:pgSz w:w="11906" w:h="16838"/>
          <w:pgMar w:top="1928" w:right="1134" w:bottom="1134" w:left="1134" w:header="1418" w:footer="1134" w:gutter="283"/>
          <w:pgNumType w:fmt="decimal" w:start="1"/>
          <w:cols w:space="0" w:num="1"/>
          <w:formProt w:val="0"/>
          <w:docGrid w:linePitch="312" w:charSpace="0"/>
        </w:sectPr>
      </w:pPr>
      <w:bookmarkStart w:id="157" w:name="BookMark8"/>
      <w:r>
        <w:drawing>
          <wp:inline distT="0" distB="0" distL="0" distR="0">
            <wp:extent cx="1485900" cy="317500"/>
            <wp:effectExtent l="0" t="0" r="0" b="6350"/>
            <wp:docPr id="905177647" name="图片 10"/>
            <wp:cNvGraphicFramePr/>
            <a:graphic xmlns:a="http://schemas.openxmlformats.org/drawingml/2006/main">
              <a:graphicData uri="http://schemas.openxmlformats.org/drawingml/2006/picture">
                <pic:pic xmlns:pic="http://schemas.openxmlformats.org/drawingml/2006/picture">
                  <pic:nvPicPr>
                    <pic:cNvPr id="905177647" name="图片 10"/>
                    <pic:cNvPicPr/>
                  </pic:nvPicPr>
                  <pic:blipFill>
                    <a:blip r:embed="rId26">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57"/>
    </w:p>
    <w:p w14:paraId="29A293D7">
      <w:pPr>
        <w:pStyle w:val="60"/>
        <w:spacing w:beforeLines="0" w:afterLines="0"/>
        <w:ind w:firstLine="420"/>
        <w:rPr>
          <w:rFonts w:hint="eastAsia"/>
          <w:sz w:val="21"/>
          <w:szCs w:val="24"/>
        </w:rPr>
      </w:pPr>
      <w:r>
        <mc:AlternateContent>
          <mc:Choice Requires="wps">
            <w:drawing>
              <wp:anchor distT="0" distB="0" distL="114300" distR="114300" simplePos="0" relativeHeight="251665408" behindDoc="0" locked="0" layoutInCell="1" allowOverlap="1">
                <wp:simplePos x="0" y="0"/>
                <wp:positionH relativeFrom="column">
                  <wp:posOffset>4298315</wp:posOffset>
                </wp:positionH>
                <wp:positionV relativeFrom="paragraph">
                  <wp:posOffset>808990</wp:posOffset>
                </wp:positionV>
                <wp:extent cx="2347595" cy="626745"/>
                <wp:effectExtent l="860425" t="0" r="0" b="0"/>
                <wp:wrapNone/>
                <wp:docPr id="343168771" name="文本框 343168771"/>
                <wp:cNvGraphicFramePr/>
                <a:graphic xmlns:a="http://schemas.openxmlformats.org/drawingml/2006/main">
                  <a:graphicData uri="http://schemas.microsoft.com/office/word/2010/wordprocessingShape">
                    <wps:wsp>
                      <wps:cNvSpPr txBox="1"/>
                      <wps:spPr>
                        <a:xfrm rot="5400000" flipV="1">
                          <a:off x="0" y="0"/>
                          <a:ext cx="2347595" cy="626745"/>
                        </a:xfrm>
                        <a:prstGeom prst="rect">
                          <a:avLst/>
                        </a:prstGeom>
                        <a:noFill/>
                        <a:ln w="6350">
                          <a:noFill/>
                        </a:ln>
                        <a:effectLst/>
                      </wps:spPr>
                      <wps:txbx>
                        <w:txbxContent>
                          <w:p w14:paraId="00CBAF44">
                            <w:pPr>
                              <w:rPr>
                                <w:rFonts w:hint="eastAsia" w:eastAsia="黑体"/>
                                <w:lang w:eastAsia="zh-CN"/>
                              </w:rPr>
                            </w:pPr>
                            <w:r>
                              <w:rPr>
                                <w:rFonts w:hint="default" w:ascii="Times New Roman" w:hAnsi="Times New Roman" w:eastAsia="黑体" w:cs="Times New Roman"/>
                                <w:b/>
                                <w:bCs w:val="0"/>
                                <w:sz w:val="32"/>
                                <w:szCs w:val="40"/>
                              </w:rPr>
                              <w:t>T/</w:t>
                            </w:r>
                            <w:r>
                              <w:rPr>
                                <w:rFonts w:hint="default" w:ascii="Times New Roman" w:hAnsi="Times New Roman" w:eastAsia="黑体" w:cs="Times New Roman"/>
                                <w:b/>
                                <w:bCs w:val="0"/>
                                <w:sz w:val="32"/>
                                <w:szCs w:val="40"/>
                                <w:lang w:val="en-US" w:eastAsia="zh-CN"/>
                              </w:rPr>
                              <w:t xml:space="preserve">CWDPA </w:t>
                            </w:r>
                            <w:r>
                              <w:rPr>
                                <w:rFonts w:hint="eastAsia" w:ascii="Times New Roman" w:hAnsi="Times New Roman" w:eastAsia="黑体" w:cs="Times New Roman"/>
                                <w:b/>
                                <w:bCs w:val="0"/>
                                <w:sz w:val="15"/>
                                <w:szCs w:val="15"/>
                                <w:lang w:val="en-US" w:eastAsia="zh-CN"/>
                              </w:rPr>
                              <w:t xml:space="preserve"> </w:t>
                            </w:r>
                            <w:r>
                              <w:rPr>
                                <w:rFonts w:hint="eastAsia" w:ascii="黑体" w:hAnsi="黑体" w:eastAsia="黑体" w:cs="黑体"/>
                                <w:sz w:val="32"/>
                                <w:szCs w:val="40"/>
                                <w:lang w:val="en-US" w:eastAsia="zh-CN"/>
                              </w:rPr>
                              <w:t>XXX</w:t>
                            </w:r>
                            <w:r>
                              <w:rPr>
                                <w:rFonts w:hint="eastAsia" w:ascii="黑体" w:hAnsi="黑体" w:eastAsia="黑体" w:cs="黑体"/>
                                <w:sz w:val="32"/>
                                <w:szCs w:val="40"/>
                              </w:rPr>
                              <w:t>—202</w:t>
                            </w:r>
                            <w:r>
                              <w:rPr>
                                <w:rFonts w:hint="eastAsia" w:ascii="黑体" w:hAnsi="黑体" w:eastAsia="黑体" w:cs="黑体"/>
                                <w:sz w:val="32"/>
                                <w:szCs w:val="40"/>
                                <w:lang w:val="en-US" w:eastAsia="zh-CN"/>
                              </w:rPr>
                              <w:t>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flip:y;margin-left:338.45pt;margin-top:63.7pt;height:49.35pt;width:184.85pt;rotation:-5898240f;z-index:251665408;mso-width-relative:page;mso-height-relative:page;" filled="f" stroked="f" coordsize="21600,21600" o:gfxdata="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5xbX&#10;xdkAAAAMAQAADwAAAAAAAAABACAAAAAiAAAAZHJzL2Rvd25yZXYueG1sUEsBAhQAFAAAAAgAh07i&#10;QI1Y6+BaAgAAnAQAAA4AAAAAAAAAAQAgAAAAKAEAAGRycy9lMm9Eb2MueG1sUEsFBgAAAAAGAAYA&#10;WQEAAPQFAAAAAA==&#10;">
                <v:fill on="f" focussize="0,0"/>
                <v:stroke on="f" weight="0.5pt"/>
                <v:imagedata o:title=""/>
                <o:lock v:ext="edit" aspectratio="f"/>
                <v:textbox>
                  <w:txbxContent>
                    <w:p w14:paraId="00CBAF44">
                      <w:pPr>
                        <w:rPr>
                          <w:rFonts w:hint="eastAsia" w:eastAsia="黑体"/>
                          <w:lang w:eastAsia="zh-CN"/>
                        </w:rPr>
                      </w:pPr>
                      <w:r>
                        <w:rPr>
                          <w:rFonts w:hint="default" w:ascii="Times New Roman" w:hAnsi="Times New Roman" w:eastAsia="黑体" w:cs="Times New Roman"/>
                          <w:b/>
                          <w:bCs w:val="0"/>
                          <w:sz w:val="32"/>
                          <w:szCs w:val="40"/>
                        </w:rPr>
                        <w:t>T/</w:t>
                      </w:r>
                      <w:r>
                        <w:rPr>
                          <w:rFonts w:hint="default" w:ascii="Times New Roman" w:hAnsi="Times New Roman" w:eastAsia="黑体" w:cs="Times New Roman"/>
                          <w:b/>
                          <w:bCs w:val="0"/>
                          <w:sz w:val="32"/>
                          <w:szCs w:val="40"/>
                          <w:lang w:val="en-US" w:eastAsia="zh-CN"/>
                        </w:rPr>
                        <w:t xml:space="preserve">CWDPA </w:t>
                      </w:r>
                      <w:r>
                        <w:rPr>
                          <w:rFonts w:hint="eastAsia" w:ascii="Times New Roman" w:hAnsi="Times New Roman" w:eastAsia="黑体" w:cs="Times New Roman"/>
                          <w:b/>
                          <w:bCs w:val="0"/>
                          <w:sz w:val="15"/>
                          <w:szCs w:val="15"/>
                          <w:lang w:val="en-US" w:eastAsia="zh-CN"/>
                        </w:rPr>
                        <w:t xml:space="preserve"> </w:t>
                      </w:r>
                      <w:r>
                        <w:rPr>
                          <w:rFonts w:hint="eastAsia" w:ascii="黑体" w:hAnsi="黑体" w:eastAsia="黑体" w:cs="黑体"/>
                          <w:sz w:val="32"/>
                          <w:szCs w:val="40"/>
                          <w:lang w:val="en-US" w:eastAsia="zh-CN"/>
                        </w:rPr>
                        <w:t>XXX</w:t>
                      </w:r>
                      <w:r>
                        <w:rPr>
                          <w:rFonts w:hint="eastAsia" w:ascii="黑体" w:hAnsi="黑体" w:eastAsia="黑体" w:cs="黑体"/>
                          <w:sz w:val="32"/>
                          <w:szCs w:val="40"/>
                        </w:rPr>
                        <w:t>—202</w:t>
                      </w:r>
                      <w:r>
                        <w:rPr>
                          <w:rFonts w:hint="eastAsia" w:ascii="黑体" w:hAnsi="黑体" w:eastAsia="黑体" w:cs="黑体"/>
                          <w:sz w:val="32"/>
                          <w:szCs w:val="40"/>
                          <w:lang w:val="en-US" w:eastAsia="zh-CN"/>
                        </w:rPr>
                        <w:t>6</w:t>
                      </w:r>
                    </w:p>
                  </w:txbxContent>
                </v:textbox>
              </v:shape>
            </w:pict>
          </mc:Fallback>
        </mc:AlternateContent>
      </w:r>
    </w:p>
    <w:p w14:paraId="632885CD">
      <w:pPr>
        <w:pStyle w:val="60"/>
        <w:spacing w:beforeLines="0" w:afterLines="0"/>
        <w:ind w:firstLine="420"/>
        <w:rPr>
          <w:rFonts w:hint="eastAsia"/>
          <w:sz w:val="21"/>
          <w:szCs w:val="24"/>
        </w:rPr>
      </w:pPr>
    </w:p>
    <w:p w14:paraId="201829C8">
      <w:pPr>
        <w:pStyle w:val="60"/>
        <w:spacing w:beforeLines="0" w:afterLines="0"/>
        <w:ind w:firstLine="420"/>
        <w:rPr>
          <w:rFonts w:hint="eastAsia"/>
          <w:sz w:val="21"/>
          <w:szCs w:val="24"/>
        </w:rPr>
      </w:pPr>
    </w:p>
    <w:p w14:paraId="75F026A5">
      <w:pPr>
        <w:tabs>
          <w:tab w:val="left" w:pos="1110"/>
        </w:tabs>
        <w:spacing w:beforeLines="0" w:afterLines="0"/>
        <w:ind w:left="5342" w:right="1543"/>
        <w:jc w:val="left"/>
        <w:rPr>
          <w:rFonts w:hint="default"/>
          <w:sz w:val="21"/>
          <w:szCs w:val="21"/>
        </w:rPr>
      </w:pPr>
      <w:r>
        <w:rPr>
          <w:rFonts w:hint="eastAsia"/>
          <w:sz w:val="21"/>
          <w:szCs w:val="21"/>
        </w:rPr>
        <w:tab/>
      </w:r>
    </w:p>
    <w:p w14:paraId="4EAE3043">
      <w:pPr>
        <w:spacing w:beforeLines="0" w:afterLines="0"/>
        <w:ind w:left="5342" w:right="1543"/>
        <w:jc w:val="center"/>
        <w:rPr>
          <w:rFonts w:hint="default"/>
          <w:sz w:val="21"/>
          <w:szCs w:val="21"/>
        </w:rPr>
      </w:pPr>
    </w:p>
    <w:p w14:paraId="33C99B97">
      <w:pPr>
        <w:spacing w:beforeLines="0" w:afterLines="0"/>
        <w:ind w:left="5342" w:right="1543"/>
        <w:jc w:val="center"/>
        <w:rPr>
          <w:rFonts w:hint="default"/>
          <w:sz w:val="21"/>
          <w:szCs w:val="21"/>
        </w:rPr>
      </w:pPr>
    </w:p>
    <w:p w14:paraId="078749BD">
      <w:pPr>
        <w:spacing w:beforeLines="0" w:afterLines="0"/>
        <w:ind w:left="5342" w:right="1543"/>
        <w:jc w:val="center"/>
        <w:rPr>
          <w:rFonts w:hint="default"/>
          <w:sz w:val="21"/>
          <w:szCs w:val="21"/>
        </w:rPr>
      </w:pPr>
    </w:p>
    <w:p w14:paraId="1019DDC5">
      <w:pPr>
        <w:spacing w:beforeLines="0" w:afterLines="0"/>
        <w:ind w:left="5342" w:right="1543"/>
        <w:jc w:val="center"/>
        <w:rPr>
          <w:rFonts w:hint="default"/>
          <w:sz w:val="21"/>
          <w:szCs w:val="21"/>
        </w:rPr>
      </w:pPr>
    </w:p>
    <w:p w14:paraId="5823F605">
      <w:pPr>
        <w:spacing w:beforeLines="0" w:afterLines="0"/>
        <w:ind w:left="5342" w:right="1543"/>
        <w:jc w:val="center"/>
        <w:rPr>
          <w:rFonts w:hint="default"/>
          <w:sz w:val="21"/>
          <w:szCs w:val="21"/>
        </w:rPr>
      </w:pPr>
    </w:p>
    <w:p w14:paraId="21066067">
      <w:pPr>
        <w:spacing w:beforeLines="0" w:afterLines="0"/>
        <w:ind w:left="5342" w:right="1543"/>
        <w:jc w:val="center"/>
        <w:rPr>
          <w:rFonts w:hint="default"/>
          <w:sz w:val="21"/>
          <w:szCs w:val="21"/>
        </w:rPr>
      </w:pPr>
    </w:p>
    <w:p w14:paraId="3975E4E1">
      <w:pPr>
        <w:spacing w:beforeLines="0" w:afterLines="0"/>
        <w:ind w:left="5342" w:right="1543"/>
        <w:jc w:val="center"/>
        <w:rPr>
          <w:rFonts w:hint="default"/>
          <w:sz w:val="21"/>
          <w:szCs w:val="21"/>
        </w:rPr>
      </w:pPr>
    </w:p>
    <w:p w14:paraId="1D7EFF3D">
      <w:pPr>
        <w:spacing w:beforeLines="0" w:afterLines="0"/>
        <w:ind w:left="5342" w:right="1543"/>
        <w:jc w:val="center"/>
        <w:rPr>
          <w:rFonts w:hint="default"/>
          <w:sz w:val="21"/>
          <w:szCs w:val="21"/>
        </w:rPr>
      </w:pPr>
    </w:p>
    <w:p w14:paraId="48EF6844">
      <w:pPr>
        <w:spacing w:beforeLines="0" w:afterLines="0"/>
        <w:ind w:left="5342" w:right="1543"/>
        <w:jc w:val="center"/>
        <w:rPr>
          <w:rFonts w:hint="default"/>
          <w:sz w:val="21"/>
          <w:szCs w:val="21"/>
        </w:rPr>
      </w:pPr>
    </w:p>
    <w:p w14:paraId="42E46B21">
      <w:pPr>
        <w:spacing w:beforeLines="0" w:afterLines="0"/>
        <w:ind w:left="5342" w:right="1543"/>
        <w:jc w:val="center"/>
        <w:rPr>
          <w:rFonts w:hint="default"/>
          <w:sz w:val="21"/>
          <w:szCs w:val="21"/>
        </w:rPr>
      </w:pPr>
    </w:p>
    <w:p w14:paraId="674B6B69">
      <w:pPr>
        <w:spacing w:beforeLines="0" w:afterLines="0"/>
        <w:ind w:left="5342" w:right="1543"/>
        <w:jc w:val="center"/>
        <w:rPr>
          <w:rFonts w:hint="default"/>
          <w:sz w:val="21"/>
          <w:szCs w:val="21"/>
        </w:rPr>
      </w:pPr>
    </w:p>
    <w:p w14:paraId="4C12C3A9">
      <w:pPr>
        <w:spacing w:beforeLines="0" w:afterLines="0"/>
        <w:ind w:left="5342" w:right="1543"/>
        <w:jc w:val="center"/>
        <w:rPr>
          <w:rFonts w:hint="default"/>
          <w:sz w:val="21"/>
          <w:szCs w:val="21"/>
        </w:rPr>
      </w:pPr>
    </w:p>
    <w:p w14:paraId="24D573AA">
      <w:pPr>
        <w:spacing w:beforeLines="0" w:afterLines="0"/>
        <w:ind w:left="5342" w:right="1543"/>
        <w:jc w:val="center"/>
        <w:rPr>
          <w:rFonts w:hint="default"/>
          <w:sz w:val="21"/>
          <w:szCs w:val="21"/>
        </w:rPr>
      </w:pPr>
    </w:p>
    <w:p w14:paraId="035F739C">
      <w:pPr>
        <w:spacing w:beforeLines="0" w:afterLines="0"/>
        <w:ind w:left="5342" w:right="1543"/>
        <w:jc w:val="center"/>
        <w:rPr>
          <w:rFonts w:hint="default"/>
          <w:sz w:val="21"/>
          <w:szCs w:val="21"/>
        </w:rPr>
      </w:pPr>
    </w:p>
    <w:p w14:paraId="3FDCBDCE">
      <w:pPr>
        <w:spacing w:beforeLines="0" w:afterLines="0"/>
        <w:ind w:left="5342" w:right="1543"/>
        <w:jc w:val="center"/>
        <w:rPr>
          <w:rFonts w:hint="default"/>
          <w:sz w:val="21"/>
          <w:szCs w:val="21"/>
        </w:rPr>
      </w:pPr>
    </w:p>
    <w:p w14:paraId="0084A5E9">
      <w:pPr>
        <w:spacing w:beforeLines="0" w:afterLines="0"/>
        <w:ind w:right="1543"/>
        <w:rPr>
          <w:rFonts w:hint="default"/>
          <w:sz w:val="21"/>
          <w:szCs w:val="21"/>
        </w:rPr>
      </w:pPr>
    </w:p>
    <w:p w14:paraId="10579657">
      <w:pPr>
        <w:spacing w:beforeLines="0" w:afterLines="0"/>
        <w:ind w:right="1543" w:firstLine="5670" w:firstLineChars="2700"/>
        <w:rPr>
          <w:rFonts w:hint="default"/>
          <w:sz w:val="21"/>
          <w:szCs w:val="21"/>
        </w:rPr>
      </w:pPr>
      <w:r>
        <w:rPr>
          <w:rFonts w:hint="eastAsia" w:ascii="宋体"/>
          <w:sz w:val="21"/>
          <w:szCs w:val="21"/>
        </w:rPr>
        <w:t xml:space="preserve">中 华 人 民 共 和 国 </w:t>
      </w:r>
    </w:p>
    <w:p w14:paraId="4943F931">
      <w:pPr>
        <w:spacing w:beforeLines="0" w:afterLines="0"/>
        <w:ind w:right="1543" w:firstLine="6090" w:firstLineChars="2900"/>
        <w:rPr>
          <w:rFonts w:hint="default"/>
          <w:sz w:val="21"/>
          <w:szCs w:val="21"/>
        </w:rPr>
      </w:pPr>
      <w:r>
        <w:rPr>
          <w:rFonts w:hint="eastAsia" w:ascii="宋体"/>
          <w:sz w:val="21"/>
          <w:szCs w:val="21"/>
        </w:rPr>
        <w:t>团 体 标 准</w:t>
      </w:r>
    </w:p>
    <w:p w14:paraId="64DAFE38">
      <w:pPr>
        <w:spacing w:beforeLines="0" w:afterLines="0"/>
        <w:jc w:val="center"/>
        <w:rPr>
          <w:rFonts w:hint="eastAsia" w:ascii="黑体" w:eastAsia="黑体"/>
          <w:sz w:val="21"/>
          <w:szCs w:val="21"/>
        </w:rPr>
      </w:pPr>
      <w:r>
        <w:rPr>
          <w:rFonts w:hint="eastAsia" w:ascii="黑体" w:eastAsia="黑体"/>
          <w:sz w:val="21"/>
          <w:szCs w:val="21"/>
        </w:rPr>
        <w:t xml:space="preserve">                                      </w:t>
      </w:r>
      <w:r>
        <w:rPr>
          <w:rFonts w:hint="eastAsia" w:ascii="黑体" w:eastAsia="黑体"/>
          <w:sz w:val="21"/>
          <w:szCs w:val="21"/>
          <w:lang w:val="en-US" w:eastAsia="zh-CN"/>
        </w:rPr>
        <w:t xml:space="preserve">  火电厂循环冷却水智能化分级指南</w:t>
      </w:r>
    </w:p>
    <w:p w14:paraId="134C0D46">
      <w:pPr>
        <w:spacing w:beforeLines="0" w:afterLines="0"/>
        <w:ind w:firstLine="5880" w:firstLineChars="2800"/>
        <w:jc w:val="left"/>
        <w:rPr>
          <w:rFonts w:hint="eastAsia" w:ascii="宋体" w:hAnsi="宋体" w:eastAsia="宋体" w:cs="宋体"/>
          <w:sz w:val="21"/>
          <w:szCs w:val="21"/>
          <w:lang w:val="en-US" w:eastAsia="zh-CN"/>
        </w:rPr>
      </w:pPr>
      <w:r>
        <w:rPr>
          <w:rFonts w:hint="eastAsia" w:ascii="宋体" w:hAnsi="宋体" w:cs="宋体"/>
          <w:sz w:val="21"/>
          <w:szCs w:val="21"/>
        </w:rPr>
        <w:t>T/C</w:t>
      </w:r>
      <w:r>
        <w:rPr>
          <w:rFonts w:hint="eastAsia" w:ascii="宋体" w:hAnsi="宋体" w:cs="宋体"/>
          <w:sz w:val="21"/>
          <w:szCs w:val="21"/>
          <w:lang w:val="en-US" w:eastAsia="zh-CN"/>
        </w:rPr>
        <w:t>WDPA</w:t>
      </w:r>
      <w:r>
        <w:rPr>
          <w:rFonts w:hint="eastAsia" w:ascii="宋体" w:hAnsi="宋体" w:cs="宋体"/>
          <w:sz w:val="21"/>
          <w:szCs w:val="21"/>
        </w:rPr>
        <w:t xml:space="preserve"> </w:t>
      </w:r>
      <w:r>
        <w:rPr>
          <w:rFonts w:hint="eastAsia" w:ascii="宋体" w:hAnsi="宋体" w:cs="宋体"/>
          <w:sz w:val="21"/>
          <w:szCs w:val="21"/>
          <w:lang w:val="en-US" w:eastAsia="zh-CN"/>
        </w:rPr>
        <w:t>XXX</w:t>
      </w:r>
      <w:r>
        <w:rPr>
          <w:rFonts w:hint="eastAsia" w:ascii="宋体" w:hAnsi="宋体" w:cs="宋体"/>
          <w:sz w:val="21"/>
          <w:szCs w:val="21"/>
        </w:rPr>
        <w:t>―202</w:t>
      </w:r>
      <w:r>
        <w:rPr>
          <w:rFonts w:hint="eastAsia" w:ascii="宋体" w:hAnsi="宋体" w:cs="宋体"/>
          <w:sz w:val="21"/>
          <w:szCs w:val="21"/>
          <w:lang w:val="en-US" w:eastAsia="zh-CN"/>
        </w:rPr>
        <w:t>6</w:t>
      </w:r>
    </w:p>
    <w:p w14:paraId="6332E93A">
      <w:pPr>
        <w:spacing w:beforeLines="0" w:afterLines="0"/>
        <w:ind w:left="3800"/>
        <w:jc w:val="center"/>
        <w:rPr>
          <w:rFonts w:hint="default"/>
          <w:sz w:val="21"/>
          <w:szCs w:val="21"/>
        </w:rPr>
      </w:pPr>
      <w:r>
        <w:rPr>
          <w:rFonts w:hint="default"/>
          <w:w w:val="99"/>
          <w:sz w:val="21"/>
          <w:szCs w:val="21"/>
        </w:rPr>
        <w:t>*</w:t>
      </w:r>
    </w:p>
    <w:p w14:paraId="01847B99">
      <w:pPr>
        <w:spacing w:beforeLines="0" w:afterLines="0"/>
        <w:ind w:left="5335" w:firstLine="420" w:firstLineChars="200"/>
        <w:rPr>
          <w:rFonts w:hint="default"/>
          <w:sz w:val="21"/>
          <w:szCs w:val="21"/>
        </w:rPr>
      </w:pPr>
      <w:r>
        <w:rPr>
          <w:rFonts w:hint="eastAsia" w:ascii="宋体"/>
          <w:sz w:val="21"/>
          <w:szCs w:val="21"/>
        </w:rPr>
        <w:t>中国西部开发促进会</w:t>
      </w:r>
    </w:p>
    <w:p w14:paraId="19EBF051">
      <w:pPr>
        <w:spacing w:beforeLines="0" w:afterLines="0"/>
        <w:ind w:left="4603" w:right="807"/>
        <w:jc w:val="center"/>
        <w:rPr>
          <w:rFonts w:hint="default"/>
          <w:sz w:val="21"/>
          <w:szCs w:val="21"/>
        </w:rPr>
      </w:pPr>
      <w:r>
        <w:rPr>
          <w:rFonts w:hint="eastAsia" w:ascii="宋体"/>
          <w:sz w:val="21"/>
          <w:szCs w:val="21"/>
        </w:rPr>
        <w:t xml:space="preserve">网址 </w:t>
      </w:r>
      <w:r>
        <w:rPr>
          <w:rFonts w:hint="default" w:ascii="Times New Roman" w:hAnsi="Times New Roman"/>
          <w:sz w:val="21"/>
          <w:szCs w:val="21"/>
        </w:rPr>
        <w:t>www.cwdpa.org.cn</w:t>
      </w:r>
    </w:p>
    <w:p w14:paraId="19F2B497">
      <w:pPr>
        <w:spacing w:beforeLines="0" w:afterLines="0"/>
        <w:ind w:left="3800"/>
        <w:jc w:val="center"/>
        <w:rPr>
          <w:rFonts w:hint="default"/>
          <w:sz w:val="21"/>
          <w:szCs w:val="21"/>
        </w:rPr>
      </w:pPr>
      <w:r>
        <w:rPr>
          <w:rFonts w:hint="default"/>
          <w:w w:val="99"/>
          <w:sz w:val="21"/>
          <w:szCs w:val="21"/>
        </w:rPr>
        <w:t>*</w:t>
      </w:r>
    </w:p>
    <w:p w14:paraId="2E433EE0">
      <w:pPr>
        <w:tabs>
          <w:tab w:val="left" w:pos="5426"/>
          <w:tab w:val="left" w:pos="6057"/>
          <w:tab w:val="left" w:pos="7106"/>
        </w:tabs>
        <w:spacing w:beforeLines="0" w:afterLines="0"/>
        <w:ind w:left="3799"/>
        <w:jc w:val="center"/>
        <w:rPr>
          <w:rFonts w:hint="eastAsia" w:ascii="宋体" w:hAnsi="宋体" w:cs="宋体"/>
          <w:sz w:val="21"/>
          <w:szCs w:val="21"/>
        </w:rPr>
      </w:pPr>
      <w:r>
        <w:rPr>
          <w:rFonts w:hint="eastAsia" w:ascii="宋体" w:hAnsi="宋体" w:cs="宋体"/>
          <w:sz w:val="21"/>
          <w:szCs w:val="21"/>
        </w:rPr>
        <w:t>开本 880×1230</w:t>
      </w:r>
      <w:r>
        <w:rPr>
          <w:rFonts w:hint="eastAsia" w:ascii="宋体" w:hAnsi="宋体" w:cs="宋体"/>
          <w:sz w:val="21"/>
          <w:szCs w:val="21"/>
        </w:rPr>
        <w:tab/>
      </w:r>
      <w:r>
        <w:rPr>
          <w:rFonts w:hint="eastAsia" w:ascii="宋体" w:hAnsi="宋体" w:cs="宋体"/>
          <w:sz w:val="21"/>
          <w:szCs w:val="21"/>
        </w:rPr>
        <w:t>1/6</w:t>
      </w:r>
      <w:r>
        <w:rPr>
          <w:rFonts w:hint="eastAsia" w:ascii="宋体" w:hAnsi="宋体" w:cs="宋体"/>
          <w:sz w:val="21"/>
          <w:szCs w:val="21"/>
        </w:rPr>
        <w:tab/>
      </w:r>
      <w:r>
        <w:rPr>
          <w:rFonts w:hint="eastAsia" w:ascii="宋体" w:hAnsi="宋体" w:cs="宋体"/>
          <w:sz w:val="21"/>
          <w:szCs w:val="21"/>
        </w:rPr>
        <w:t>印张1.5字数</w:t>
      </w:r>
      <w:r>
        <w:rPr>
          <w:rFonts w:hint="eastAsia" w:ascii="宋体" w:hAnsi="宋体" w:cs="宋体"/>
          <w:sz w:val="21"/>
          <w:szCs w:val="21"/>
          <w:lang w:val="en-US" w:eastAsia="zh-CN"/>
        </w:rPr>
        <w:t>3.4</w:t>
      </w:r>
      <w:r>
        <w:rPr>
          <w:rFonts w:hint="eastAsia" w:ascii="宋体" w:hAnsi="宋体" w:cs="宋体"/>
          <w:sz w:val="21"/>
          <w:szCs w:val="21"/>
        </w:rPr>
        <w:t>千字</w:t>
      </w:r>
    </w:p>
    <w:p w14:paraId="30D9D426">
      <w:pPr>
        <w:tabs>
          <w:tab w:val="left" w:pos="5846"/>
        </w:tabs>
        <w:spacing w:beforeLines="0" w:afterLines="0"/>
        <w:ind w:left="3798"/>
        <w:jc w:val="center"/>
        <w:rPr>
          <w:rFonts w:hint="eastAsia" w:ascii="宋体" w:hAnsi="宋体" w:cs="宋体"/>
          <w:sz w:val="21"/>
          <w:szCs w:val="21"/>
        </w:rPr>
      </w:pPr>
      <w:r>
        <w:rPr>
          <w:rFonts w:hint="eastAsia" w:ascii="宋体" w:hAnsi="宋体" w:cs="宋体"/>
          <w:sz w:val="21"/>
          <w:szCs w:val="21"/>
        </w:rPr>
        <w:t>202</w:t>
      </w:r>
      <w:r>
        <w:rPr>
          <w:rFonts w:hint="eastAsia" w:ascii="宋体" w:hAnsi="宋体" w:cs="宋体"/>
          <w:sz w:val="21"/>
          <w:szCs w:val="21"/>
          <w:lang w:val="en-US" w:eastAsia="zh-CN"/>
        </w:rPr>
        <w:t>6</w:t>
      </w:r>
      <w:r>
        <w:rPr>
          <w:rFonts w:hint="eastAsia" w:ascii="宋体" w:hAnsi="宋体" w:cs="宋体"/>
          <w:sz w:val="21"/>
          <w:szCs w:val="21"/>
        </w:rPr>
        <w:t>年</w:t>
      </w:r>
      <w:r>
        <w:rPr>
          <w:rFonts w:hint="eastAsia" w:ascii="宋体" w:hAnsi="宋体" w:cs="宋体"/>
          <w:sz w:val="21"/>
          <w:szCs w:val="21"/>
          <w:lang w:val="en-US" w:eastAsia="zh-CN"/>
        </w:rPr>
        <w:t>X</w:t>
      </w:r>
      <w:r>
        <w:rPr>
          <w:rFonts w:hint="eastAsia" w:ascii="宋体" w:hAnsi="宋体" w:cs="宋体"/>
          <w:sz w:val="21"/>
          <w:szCs w:val="21"/>
        </w:rPr>
        <w:t>月第一版</w:t>
      </w:r>
      <w:r>
        <w:rPr>
          <w:rFonts w:hint="eastAsia" w:ascii="宋体" w:hAnsi="宋体" w:cs="宋体"/>
          <w:sz w:val="21"/>
          <w:szCs w:val="21"/>
        </w:rPr>
        <w:tab/>
      </w:r>
      <w:r>
        <w:rPr>
          <w:rFonts w:hint="eastAsia" w:ascii="宋体" w:hAnsi="宋体" w:cs="宋体"/>
          <w:sz w:val="21"/>
          <w:szCs w:val="21"/>
        </w:rPr>
        <w:t>2026年</w:t>
      </w:r>
      <w:r>
        <w:rPr>
          <w:rFonts w:hint="eastAsia" w:ascii="宋体" w:hAnsi="宋体" w:cs="宋体"/>
          <w:sz w:val="21"/>
          <w:szCs w:val="21"/>
          <w:lang w:val="en-US" w:eastAsia="zh-CN"/>
        </w:rPr>
        <w:t>X</w:t>
      </w:r>
      <w:r>
        <w:rPr>
          <w:rFonts w:hint="eastAsia" w:ascii="宋体" w:hAnsi="宋体" w:cs="宋体"/>
          <w:sz w:val="21"/>
          <w:szCs w:val="21"/>
        </w:rPr>
        <w:t>月第一次印刷</w:t>
      </w:r>
    </w:p>
    <w:p w14:paraId="7DF6A568">
      <w:pPr>
        <w:spacing w:beforeLines="0" w:afterLines="0"/>
        <w:ind w:left="3800"/>
        <w:jc w:val="center"/>
        <w:rPr>
          <w:rFonts w:hint="default"/>
          <w:w w:val="99"/>
          <w:sz w:val="21"/>
          <w:szCs w:val="21"/>
        </w:rPr>
      </w:pPr>
      <w:r>
        <w:rPr>
          <w:rFonts w:hint="default"/>
          <w:sz w:val="21"/>
          <w:szCs w:val="21"/>
        </w:rPr>
        <w:drawing>
          <wp:anchor distT="0" distB="0" distL="114300" distR="114300" simplePos="0" relativeHeight="251666432" behindDoc="0" locked="0" layoutInCell="1" allowOverlap="1">
            <wp:simplePos x="0" y="0"/>
            <wp:positionH relativeFrom="column">
              <wp:posOffset>-67310</wp:posOffset>
            </wp:positionH>
            <wp:positionV relativeFrom="paragraph">
              <wp:posOffset>252730</wp:posOffset>
            </wp:positionV>
            <wp:extent cx="2268220" cy="601345"/>
            <wp:effectExtent l="0" t="0" r="17780" b="8255"/>
            <wp:wrapNone/>
            <wp:docPr id="16" name="图片 3" descr="D:/桌面文件/c94c59d5f104b1a1204d0c791bc384e1.pngc94c59d5f104b1a1204d0c791bc384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descr="D:/桌面文件/c94c59d5f104b1a1204d0c791bc384e1.pngc94c59d5f104b1a1204d0c791bc384e1"/>
                    <pic:cNvPicPr>
                      <a:picLocks noChangeAspect="1"/>
                    </pic:cNvPicPr>
                  </pic:nvPicPr>
                  <pic:blipFill>
                    <a:blip r:embed="rId27"/>
                    <a:srcRect t="8522" b="8522"/>
                    <a:stretch>
                      <a:fillRect/>
                    </a:stretch>
                  </pic:blipFill>
                  <pic:spPr>
                    <a:xfrm>
                      <a:off x="0" y="0"/>
                      <a:ext cx="2268220" cy="601345"/>
                    </a:xfrm>
                    <a:prstGeom prst="rect">
                      <a:avLst/>
                    </a:prstGeom>
                    <a:noFill/>
                    <a:ln>
                      <a:noFill/>
                    </a:ln>
                  </pic:spPr>
                </pic:pic>
              </a:graphicData>
            </a:graphic>
          </wp:anchor>
        </w:drawing>
      </w:r>
      <w:r>
        <w:rPr>
          <w:rFonts w:hint="default"/>
          <w:w w:val="99"/>
          <w:sz w:val="21"/>
          <w:szCs w:val="21"/>
        </w:rPr>
        <w:t>*</w:t>
      </w:r>
    </w:p>
    <w:p w14:paraId="210934C4">
      <w:pPr>
        <w:spacing w:beforeLines="0" w:afterLines="0"/>
        <w:ind w:left="3800"/>
        <w:jc w:val="center"/>
        <w:rPr>
          <w:rFonts w:hint="eastAsia" w:ascii="黑体" w:eastAsia="黑体"/>
          <w:spacing w:val="-12"/>
          <w:sz w:val="21"/>
          <w:szCs w:val="21"/>
        </w:rPr>
      </w:pPr>
      <w:r>
        <w:rPr>
          <w:rFonts w:hint="eastAsia" w:ascii="黑体" w:eastAsia="黑体"/>
          <w:sz w:val="21"/>
          <w:szCs w:val="21"/>
        </w:rPr>
        <w:t>如有印装差错</w:t>
      </w:r>
      <w:r>
        <w:rPr>
          <w:rFonts w:hint="eastAsia" w:ascii="黑体" w:eastAsia="黑体"/>
          <w:sz w:val="21"/>
          <w:szCs w:val="21"/>
        </w:rPr>
        <w:tab/>
      </w:r>
      <w:r>
        <w:rPr>
          <w:rFonts w:hint="eastAsia" w:ascii="黑体" w:eastAsia="黑体"/>
          <w:sz w:val="21"/>
          <w:szCs w:val="21"/>
        </w:rPr>
        <w:t>由中国西部开发促进会调</w:t>
      </w:r>
      <w:r>
        <w:rPr>
          <w:rFonts w:hint="eastAsia" w:ascii="黑体" w:eastAsia="黑体"/>
          <w:spacing w:val="-12"/>
          <w:sz w:val="21"/>
          <w:szCs w:val="21"/>
        </w:rPr>
        <w:t>换</w:t>
      </w:r>
    </w:p>
    <w:p w14:paraId="0003FC36">
      <w:pPr>
        <w:tabs>
          <w:tab w:val="left" w:pos="5551"/>
          <w:tab w:val="left" w:pos="5971"/>
        </w:tabs>
        <w:spacing w:beforeLines="0" w:afterLines="0"/>
        <w:ind w:left="4502" w:right="703"/>
        <w:jc w:val="center"/>
        <w:rPr>
          <w:rFonts w:hint="eastAsia" w:ascii="黑体" w:eastAsia="黑体"/>
          <w:sz w:val="21"/>
          <w:szCs w:val="21"/>
        </w:rPr>
      </w:pPr>
      <w:r>
        <w:rPr>
          <w:rFonts w:hint="eastAsia" w:ascii="黑体" w:eastAsia="黑体"/>
          <w:sz w:val="21"/>
          <w:szCs w:val="21"/>
        </w:rPr>
        <w:t>版权专有</w:t>
      </w:r>
      <w:r>
        <w:rPr>
          <w:rFonts w:hint="eastAsia" w:ascii="黑体" w:eastAsia="黑体"/>
          <w:sz w:val="21"/>
          <w:szCs w:val="21"/>
        </w:rPr>
        <w:tab/>
      </w:r>
      <w:r>
        <w:rPr>
          <w:rFonts w:hint="eastAsia" w:ascii="黑体" w:eastAsia="黑体"/>
          <w:sz w:val="21"/>
          <w:szCs w:val="21"/>
        </w:rPr>
        <w:t>侵权必究</w:t>
      </w:r>
    </w:p>
    <w:p w14:paraId="705206D4">
      <w:pPr>
        <w:spacing w:beforeLines="0" w:afterLines="0"/>
        <w:ind w:left="4604" w:right="807"/>
        <w:jc w:val="center"/>
        <w:rPr>
          <w:rFonts w:hint="default" w:eastAsia="黑体"/>
          <w:sz w:val="21"/>
          <w:szCs w:val="21"/>
          <w:lang w:val="en-US" w:eastAsia="zh-CN"/>
        </w:rPr>
      </w:pPr>
      <w:r>
        <w:rPr>
          <w:rFonts w:hint="eastAsia" w:ascii="黑体" w:eastAsia="黑体"/>
          <w:sz w:val="21"/>
          <w:szCs w:val="21"/>
        </w:rPr>
        <w:t>举报电话：010―6</w:t>
      </w:r>
      <w:r>
        <w:rPr>
          <w:rFonts w:hint="eastAsia" w:ascii="黑体" w:eastAsia="黑体"/>
          <w:sz w:val="21"/>
          <w:szCs w:val="21"/>
          <w:lang w:val="en-US" w:eastAsia="zh-CN"/>
        </w:rPr>
        <w:t>5919503</w:t>
      </w:r>
    </w:p>
    <w:p w14:paraId="149F45AF">
      <w:pPr>
        <w:pStyle w:val="178"/>
        <w:numPr>
          <w:ilvl w:val="0"/>
          <w:numId w:val="0"/>
        </w:numPr>
        <w:snapToGrid w:val="0"/>
        <w:rPr>
          <w:rFonts w:hint="default" w:hAnsi="Times New Roman" w:cs="Times New Roman"/>
          <w:highlight w:val="none"/>
          <w:lang w:val="en-US" w:eastAsia="zh-CN"/>
        </w:rPr>
      </w:pPr>
    </w:p>
    <w:sectPr>
      <w:headerReference r:id="rId21" w:type="default"/>
      <w:footerReference r:id="rId23" w:type="default"/>
      <w:headerReference r:id="rId22" w:type="even"/>
      <w:footerReference r:id="rId24" w:type="even"/>
      <w:pgSz w:w="11906" w:h="16838"/>
      <w:pgMar w:top="1928" w:right="1134" w:bottom="1134" w:left="1134" w:header="1418" w:footer="1134" w:gutter="283"/>
      <w:pgNumType w:fmt="decimal"/>
      <w:cols w:space="0"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S Minch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Emoji">
    <w:panose1 w:val="020B0502040204020203"/>
    <w:charset w:val="00"/>
    <w:family w:val="auto"/>
    <w:pitch w:val="default"/>
    <w:sig w:usb0="00000001" w:usb1="02000000" w:usb2="00000000" w:usb3="00000000" w:csb0="0000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2318E">
    <w:pPr>
      <w:pStyle w:val="18"/>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7EAB22">
                          <w:pPr>
                            <w:pStyle w:val="18"/>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3E7EAB22">
                    <w:pPr>
                      <w:pStyle w:val="18"/>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24E43">
    <w:pPr>
      <w:pStyle w:val="56"/>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8E9E8D">
                          <w:pPr>
                            <w:pStyle w:val="5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728E9E8D">
                    <w:pPr>
                      <w:pStyle w:val="56"/>
                    </w:pP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0F63B">
    <w:pPr>
      <w:pStyle w:val="18"/>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2AE6F">
    <w:pPr>
      <w:pStyle w:val="18"/>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9ED04B">
                          <w:pPr>
                            <w:pStyle w:val="18"/>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7C9ED04B">
                    <w:pPr>
                      <w:pStyle w:val="18"/>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4F1F7">
    <w:pPr>
      <w:pStyle w:val="18"/>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EC389">
    <w:pPr>
      <w:pStyle w:val="1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65338391"/>
                          </w:sdtPr>
                          <w:sdtContent>
                            <w:p w14:paraId="7525CB7D">
                              <w:pPr>
                                <w:pStyle w:val="18"/>
                              </w:pPr>
                              <w:r>
                                <w:fldChar w:fldCharType="begin"/>
                              </w:r>
                              <w:r>
                                <w:instrText xml:space="preserve">PAGE   \* MERGEFORMAT</w:instrText>
                              </w:r>
                              <w:r>
                                <w:fldChar w:fldCharType="separate"/>
                              </w:r>
                              <w:r>
                                <w:rPr>
                                  <w:lang w:val="zh-CN"/>
                                </w:rPr>
                                <w:t>I</w:t>
                              </w:r>
                              <w:r>
                                <w:fldChar w:fldCharType="end"/>
                              </w:r>
                            </w:p>
                          </w:sdtContent>
                        </w:sdt>
                        <w:p w14:paraId="2540FC8A"/>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sdt>
                    <w:sdtPr>
                      <w:id w:val="1765338391"/>
                    </w:sdtPr>
                    <w:sdtContent>
                      <w:p w14:paraId="7525CB7D">
                        <w:pPr>
                          <w:pStyle w:val="18"/>
                        </w:pPr>
                        <w:r>
                          <w:fldChar w:fldCharType="begin"/>
                        </w:r>
                        <w:r>
                          <w:instrText xml:space="preserve">PAGE   \* MERGEFORMAT</w:instrText>
                        </w:r>
                        <w:r>
                          <w:fldChar w:fldCharType="separate"/>
                        </w:r>
                        <w:r>
                          <w:rPr>
                            <w:lang w:val="zh-CN"/>
                          </w:rPr>
                          <w:t>I</w:t>
                        </w:r>
                        <w:r>
                          <w:fldChar w:fldCharType="end"/>
                        </w:r>
                      </w:p>
                    </w:sdtContent>
                  </w:sdt>
                  <w:p w14:paraId="2540FC8A"/>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7EAF1">
    <w:pPr>
      <w:pStyle w:val="18"/>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771A30">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5C771A30">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B6B1C">
    <w:pPr>
      <w:pStyle w:val="18"/>
      <w:jc w:val="both"/>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08709746"/>
                          </w:sdtPr>
                          <w:sdtContent>
                            <w:p w14:paraId="0C2DE962">
                              <w:pPr>
                                <w:pStyle w:val="18"/>
                              </w:pPr>
                              <w:r>
                                <w:fldChar w:fldCharType="begin"/>
                              </w:r>
                              <w:r>
                                <w:instrText xml:space="preserve">PAGE   \* MERGEFORMAT</w:instrText>
                              </w:r>
                              <w:r>
                                <w:fldChar w:fldCharType="separate"/>
                              </w:r>
                              <w:r>
                                <w:rPr>
                                  <w:lang w:val="zh-CN"/>
                                </w:rPr>
                                <w:t>2</w:t>
                              </w:r>
                              <w:r>
                                <w:fldChar w:fldCharType="end"/>
                              </w:r>
                            </w:p>
                          </w:sdtContent>
                        </w:sdt>
                        <w:p w14:paraId="1B6F78DD"/>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sdt>
                    <w:sdtPr>
                      <w:id w:val="2008709746"/>
                    </w:sdtPr>
                    <w:sdtContent>
                      <w:p w14:paraId="0C2DE962">
                        <w:pPr>
                          <w:pStyle w:val="18"/>
                        </w:pPr>
                        <w:r>
                          <w:fldChar w:fldCharType="begin"/>
                        </w:r>
                        <w:r>
                          <w:instrText xml:space="preserve">PAGE   \* MERGEFORMAT</w:instrText>
                        </w:r>
                        <w:r>
                          <w:fldChar w:fldCharType="separate"/>
                        </w:r>
                        <w:r>
                          <w:rPr>
                            <w:lang w:val="zh-CN"/>
                          </w:rPr>
                          <w:t>2</w:t>
                        </w:r>
                        <w:r>
                          <w:fldChar w:fldCharType="end"/>
                        </w:r>
                      </w:p>
                    </w:sdtContent>
                  </w:sdt>
                  <w:p w14:paraId="1B6F78DD"/>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B5364">
    <w:pPr>
      <w:pStyle w:val="18"/>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AC0834">
                          <w:pPr>
                            <w:pStyle w:val="18"/>
                          </w:pPr>
                          <w:r>
                            <w:fldChar w:fldCharType="begin"/>
                          </w:r>
                          <w:r>
                            <w:instrText xml:space="preserve">PAGE   \* MERGEFORMAT</w:instrText>
                          </w:r>
                          <w:r>
                            <w:fldChar w:fldCharType="separate"/>
                          </w:r>
                          <w:r>
                            <w:rPr>
                              <w:lang w:val="zh-CN"/>
                            </w:rP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59AC0834">
                    <w:pPr>
                      <w:pStyle w:val="18"/>
                    </w:pPr>
                    <w:r>
                      <w:fldChar w:fldCharType="begin"/>
                    </w:r>
                    <w:r>
                      <w:instrText xml:space="preserve">PAGE   \* MERGEFORMAT</w:instrText>
                    </w:r>
                    <w:r>
                      <w:fldChar w:fldCharType="separate"/>
                    </w:r>
                    <w:r>
                      <w:rPr>
                        <w:lang w:val="zh-CN"/>
                      </w:rPr>
                      <w:t>II</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F63A5">
    <w:pPr>
      <w:pStyle w:val="18"/>
      <w:jc w:val="both"/>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7F1526">
                          <w:pPr>
                            <w:pStyle w:val="18"/>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4D7F1526">
                    <w:pPr>
                      <w:pStyle w:val="18"/>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E686E">
    <w:pPr>
      <w:pStyle w:val="18"/>
      <w:jc w:val="both"/>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272117">
                          <w:pPr>
                            <w:pStyle w:val="18"/>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2F272117">
                    <w:pPr>
                      <w:pStyle w:val="18"/>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6807F">
    <w:pPr>
      <w:pStyle w:val="19"/>
      <w:jc w:val="right"/>
      <w:rPr>
        <w:rFonts w:ascii="黑体" w:hAnsi="黑体" w:eastAsia="黑体"/>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41A20">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C7A75">
    <w:pPr>
      <w:pStyle w:val="19"/>
      <w:jc w:val="right"/>
      <w:rPr>
        <w:rFonts w:ascii="黑体" w:hAnsi="黑体" w:eastAsia="黑体"/>
        <w:sz w:val="21"/>
        <w:szCs w:val="21"/>
      </w:rPr>
    </w:pPr>
    <w:r>
      <w:rPr>
        <w:rFonts w:hint="eastAsia" w:ascii="黑体" w:hAnsi="黑体" w:eastAsia="黑体"/>
        <w:sz w:val="21"/>
        <w:szCs w:val="21"/>
      </w:rPr>
      <w:t xml:space="preserve">T/CWDPA </w:t>
    </w:r>
    <w:r>
      <w:rPr>
        <w:rFonts w:hint="eastAsia" w:ascii="黑体" w:hAnsi="黑体" w:eastAsia="黑体"/>
        <w:sz w:val="21"/>
        <w:szCs w:val="21"/>
        <w:lang w:val="en-US" w:eastAsia="zh-CN"/>
      </w:rPr>
      <w:t>XXX</w:t>
    </w:r>
    <w:r>
      <w:rPr>
        <w:rFonts w:hint="eastAsia" w:ascii="黑体" w:hAnsi="黑体" w:eastAsia="黑体"/>
        <w:sz w:val="21"/>
        <w:szCs w:val="21"/>
      </w:rPr>
      <w:t>—2026</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B859D">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     —2026</w:t>
    </w:r>
    <w:r>
      <w:rPr>
        <w:rFonts w:ascii="黑体" w:hAnsi="黑体" w:eastAsia="黑体"/>
        <w:sz w:val="21"/>
        <w:szCs w:val="21"/>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9877A">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     —2026</w:t>
    </w:r>
    <w:r>
      <w:rPr>
        <w:rFonts w:ascii="黑体" w:hAnsi="黑体" w:eastAsia="黑体"/>
        <w:sz w:val="21"/>
        <w:szCs w:val="21"/>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B5D10">
    <w:pPr>
      <w:pStyle w:val="19"/>
      <w:jc w:val="right"/>
      <w:rPr>
        <w:rFonts w:hAnsi="黑体" w:cs="黑体"/>
      </w:rPr>
    </w:pPr>
    <w:r>
      <w:rPr>
        <w:rFonts w:hint="eastAsia" w:ascii="黑体" w:hAnsi="黑体" w:eastAsia="黑体"/>
        <w:sz w:val="21"/>
        <w:szCs w:val="21"/>
      </w:rPr>
      <w:t xml:space="preserve">T/CWDPA </w:t>
    </w:r>
    <w:r>
      <w:rPr>
        <w:rFonts w:hint="eastAsia" w:ascii="黑体" w:hAnsi="黑体" w:eastAsia="黑体"/>
        <w:sz w:val="21"/>
        <w:szCs w:val="21"/>
        <w:lang w:val="en-US" w:eastAsia="zh-CN"/>
      </w:rPr>
      <w:t>XXX</w:t>
    </w:r>
    <w:r>
      <w:rPr>
        <w:rFonts w:hint="eastAsia" w:ascii="黑体" w:hAnsi="黑体" w:eastAsia="黑体"/>
        <w:sz w:val="21"/>
        <w:szCs w:val="21"/>
      </w:rPr>
      <w:t>—2026</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53D8F">
    <w:pPr>
      <w:pStyle w:val="19"/>
      <w:jc w:val="left"/>
    </w:pPr>
    <w:r>
      <w:rPr>
        <w:rFonts w:hint="eastAsia" w:ascii="黑体" w:hAnsi="黑体" w:eastAsia="黑体"/>
        <w:sz w:val="21"/>
        <w:szCs w:val="21"/>
      </w:rPr>
      <w:t xml:space="preserve">T/CWDPA </w:t>
    </w:r>
    <w:r>
      <w:rPr>
        <w:rFonts w:hint="eastAsia" w:ascii="黑体" w:hAnsi="黑体" w:eastAsia="黑体"/>
        <w:sz w:val="21"/>
        <w:szCs w:val="21"/>
        <w:lang w:val="en-US" w:eastAsia="zh-CN"/>
      </w:rPr>
      <w:t>XXX</w:t>
    </w:r>
    <w:r>
      <w:rPr>
        <w:rFonts w:hint="eastAsia" w:ascii="黑体" w:hAnsi="黑体" w:eastAsia="黑体"/>
        <w:sz w:val="21"/>
        <w:szCs w:val="21"/>
      </w:rPr>
      <w:t>—2026</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98910">
    <w:pPr>
      <w:pStyle w:val="65"/>
      <w:rPr>
        <w:rFonts w:hint="eastAsia" w:hAnsi="黑体" w:cs="黑体"/>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A282A">
    <w:pPr>
      <w:pStyle w:val="19"/>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D1FB4A"/>
    <w:multiLevelType w:val="multilevel"/>
    <w:tmpl w:val="EFD1FB4A"/>
    <w:lvl w:ilvl="0" w:tentative="0">
      <w:start w:val="1"/>
      <w:numFmt w:val="decimal"/>
      <w:pStyle w:val="116"/>
      <w:suff w:val="nothing"/>
      <w:lvlText w:val="表%1　"/>
      <w:lvlJc w:val="left"/>
      <w:pPr>
        <w:ind w:left="3570" w:firstLine="0"/>
      </w:pPr>
    </w:lvl>
    <w:lvl w:ilvl="1" w:tentative="0">
      <w:start w:val="1"/>
      <w:numFmt w:val="decimal"/>
      <w:lvlText w:val="%1.%2"/>
      <w:lvlJc w:val="left"/>
      <w:pPr>
        <w:tabs>
          <w:tab w:val="left" w:pos="992"/>
        </w:tabs>
        <w:ind w:left="1302" w:hanging="567"/>
      </w:pPr>
    </w:lvl>
    <w:lvl w:ilvl="2" w:tentative="0">
      <w:start w:val="1"/>
      <w:numFmt w:val="decimal"/>
      <w:lvlText w:val="%1.%2.%3"/>
      <w:lvlJc w:val="left"/>
      <w:pPr>
        <w:tabs>
          <w:tab w:val="left" w:pos="1417"/>
        </w:tabs>
        <w:ind w:left="1727" w:hanging="567"/>
      </w:pPr>
    </w:lvl>
    <w:lvl w:ilvl="3" w:tentative="0">
      <w:start w:val="1"/>
      <w:numFmt w:val="decimal"/>
      <w:lvlText w:val="%1.%2.%3.%4"/>
      <w:lvlJc w:val="left"/>
      <w:pPr>
        <w:tabs>
          <w:tab w:val="left" w:pos="1984"/>
        </w:tabs>
        <w:ind w:left="2294" w:hanging="708"/>
      </w:pPr>
    </w:lvl>
    <w:lvl w:ilvl="4" w:tentative="0">
      <w:start w:val="1"/>
      <w:numFmt w:val="decimal"/>
      <w:lvlText w:val="%1.%2.%3.%4.%5"/>
      <w:lvlJc w:val="left"/>
      <w:pPr>
        <w:tabs>
          <w:tab w:val="left" w:pos="2551"/>
        </w:tabs>
        <w:ind w:left="2861" w:hanging="850"/>
      </w:pPr>
    </w:lvl>
    <w:lvl w:ilvl="5" w:tentative="0">
      <w:start w:val="1"/>
      <w:numFmt w:val="decimal"/>
      <w:lvlText w:val="%1.%2.%3.%4.%5.%6"/>
      <w:lvlJc w:val="left"/>
      <w:pPr>
        <w:tabs>
          <w:tab w:val="left" w:pos="3260"/>
        </w:tabs>
        <w:ind w:left="3570" w:hanging="1134"/>
      </w:pPr>
    </w:lvl>
    <w:lvl w:ilvl="6" w:tentative="0">
      <w:start w:val="1"/>
      <w:numFmt w:val="decimal"/>
      <w:lvlText w:val="%1.%2.%3.%4.%5.%6.%7"/>
      <w:lvlJc w:val="left"/>
      <w:pPr>
        <w:tabs>
          <w:tab w:val="left" w:pos="3827"/>
        </w:tabs>
        <w:ind w:left="4137" w:hanging="1276"/>
      </w:pPr>
    </w:lvl>
    <w:lvl w:ilvl="7" w:tentative="0">
      <w:start w:val="1"/>
      <w:numFmt w:val="decimal"/>
      <w:lvlText w:val="%1.%2.%3.%4.%5.%6.%7.%8"/>
      <w:lvlJc w:val="left"/>
      <w:pPr>
        <w:tabs>
          <w:tab w:val="left" w:pos="4394"/>
        </w:tabs>
        <w:ind w:left="4704" w:hanging="1418"/>
      </w:pPr>
    </w:lvl>
    <w:lvl w:ilvl="8" w:tentative="0">
      <w:start w:val="1"/>
      <w:numFmt w:val="decimal"/>
      <w:lvlText w:val="%1.%2.%3.%4.%5.%6.%7.%8.%9"/>
      <w:lvlJc w:val="left"/>
      <w:pPr>
        <w:tabs>
          <w:tab w:val="left" w:pos="5102"/>
        </w:tabs>
        <w:ind w:left="5412" w:hanging="1700"/>
      </w:pPr>
    </w:lvl>
  </w:abstractNum>
  <w:abstractNum w:abstractNumId="1">
    <w:nsid w:val="02837933"/>
    <w:multiLevelType w:val="multilevel"/>
    <w:tmpl w:val="02837933"/>
    <w:lvl w:ilvl="0" w:tentative="0">
      <w:start w:val="1"/>
      <w:numFmt w:val="decimal"/>
      <w:pStyle w:val="68"/>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3"/>
      <w:suff w:val="nothing"/>
      <w:lvlText w:val="%1%2.%3　"/>
      <w:lvlJc w:val="left"/>
      <w:pPr>
        <w:ind w:left="0" w:firstLine="0"/>
      </w:pPr>
    </w:lvl>
    <w:lvl w:ilvl="3" w:tentative="0">
      <w:start w:val="1"/>
      <w:numFmt w:val="decimal"/>
      <w:pStyle w:val="122"/>
      <w:suff w:val="nothing"/>
      <w:lvlText w:val="%1%2.%3.%4　"/>
      <w:lvlJc w:val="left"/>
      <w:pPr>
        <w:ind w:left="0" w:firstLine="0"/>
      </w:pPr>
    </w:lvl>
    <w:lvl w:ilvl="4" w:tentative="0">
      <w:start w:val="1"/>
      <w:numFmt w:val="decimal"/>
      <w:pStyle w:val="157"/>
      <w:suff w:val="nothing"/>
      <w:lvlText w:val="%1%2.%3.%4.%5　"/>
      <w:lvlJc w:val="left"/>
      <w:pPr>
        <w:ind w:left="0" w:firstLine="0"/>
      </w:pPr>
    </w:lvl>
    <w:lvl w:ilvl="5" w:tentative="0">
      <w:start w:val="1"/>
      <w:numFmt w:val="decimal"/>
      <w:pStyle w:val="159"/>
      <w:suff w:val="nothing"/>
      <w:lvlText w:val="%1%2.%3.%4.%5.%6　"/>
      <w:lvlJc w:val="left"/>
      <w:pPr>
        <w:ind w:left="0" w:firstLine="0"/>
      </w:pPr>
    </w:lvl>
    <w:lvl w:ilvl="6" w:tentative="0">
      <w:start w:val="1"/>
      <w:numFmt w:val="decimal"/>
      <w:pStyle w:val="162"/>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79102AD"/>
    <w:multiLevelType w:val="multilevel"/>
    <w:tmpl w:val="079102AD"/>
    <w:lvl w:ilvl="0" w:tentative="0">
      <w:start w:val="1"/>
      <w:numFmt w:val="decimal"/>
      <w:pStyle w:val="18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tentative="0">
      <w:start w:val="1"/>
      <w:numFmt w:val="none"/>
      <w:pStyle w:val="93"/>
      <w:lvlText w:val="%1"/>
      <w:lvlJc w:val="left"/>
      <w:pPr>
        <w:ind w:left="425" w:hanging="425"/>
      </w:pPr>
      <w:rPr>
        <w:rFonts w:hint="eastAsia"/>
      </w:rPr>
    </w:lvl>
    <w:lvl w:ilvl="1" w:tentative="0">
      <w:start w:val="1"/>
      <w:numFmt w:val="decimal"/>
      <w:pStyle w:val="204"/>
      <w:suff w:val="nothing"/>
      <w:lvlText w:val="%10.%2 "/>
      <w:lvlJc w:val="left"/>
      <w:pPr>
        <w:ind w:left="0" w:firstLine="0"/>
      </w:pPr>
      <w:rPr>
        <w:rFonts w:hint="eastAsia" w:ascii="黑体" w:eastAsia="黑体" w:hAnsiTheme="minorHAnsi"/>
        <w:b w:val="0"/>
        <w:i w:val="0"/>
        <w:sz w:val="21"/>
      </w:rPr>
    </w:lvl>
    <w:lvl w:ilvl="2" w:tentative="0">
      <w:start w:val="1"/>
      <w:numFmt w:val="decimal"/>
      <w:pStyle w:val="205"/>
      <w:suff w:val="nothing"/>
      <w:lvlText w:val="%10.%2.%3 "/>
      <w:lvlJc w:val="left"/>
      <w:pPr>
        <w:ind w:left="0" w:firstLine="0"/>
      </w:pPr>
      <w:rPr>
        <w:rFonts w:hint="eastAsia" w:ascii="黑体" w:eastAsia="黑体" w:hAnsiTheme="minorHAnsi"/>
        <w:b w:val="0"/>
        <w:i w:val="0"/>
        <w:sz w:val="21"/>
      </w:rPr>
    </w:lvl>
    <w:lvl w:ilvl="3" w:tentative="0">
      <w:start w:val="1"/>
      <w:numFmt w:val="decimal"/>
      <w:pStyle w:val="206"/>
      <w:suff w:val="nothing"/>
      <w:lvlText w:val="%10.%2.%3.%4 "/>
      <w:lvlJc w:val="left"/>
      <w:pPr>
        <w:ind w:left="0" w:firstLine="0"/>
      </w:pPr>
      <w:rPr>
        <w:rFonts w:hint="eastAsia" w:ascii="黑体" w:eastAsia="黑体" w:hAnsiTheme="minorHAnsi"/>
        <w:b w:val="0"/>
        <w:i w:val="0"/>
        <w:sz w:val="21"/>
      </w:rPr>
    </w:lvl>
    <w:lvl w:ilvl="4" w:tentative="0">
      <w:start w:val="1"/>
      <w:numFmt w:val="decimal"/>
      <w:pStyle w:val="207"/>
      <w:suff w:val="nothing"/>
      <w:lvlText w:val="%10.%2.%3.%4.%5 "/>
      <w:lvlJc w:val="left"/>
      <w:pPr>
        <w:ind w:left="0" w:firstLine="0"/>
      </w:pPr>
      <w:rPr>
        <w:rFonts w:hint="eastAsia" w:ascii="黑体" w:eastAsia="黑体" w:hAnsiTheme="minorHAnsi"/>
        <w:b w:val="0"/>
        <w:i w:val="0"/>
        <w:sz w:val="21"/>
      </w:rPr>
    </w:lvl>
    <w:lvl w:ilvl="5" w:tentative="0">
      <w:start w:val="1"/>
      <w:numFmt w:val="decimal"/>
      <w:pStyle w:val="208"/>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86B1D6A"/>
    <w:multiLevelType w:val="multilevel"/>
    <w:tmpl w:val="086B1D6A"/>
    <w:lvl w:ilvl="0" w:tentative="0">
      <w:start w:val="1"/>
      <w:numFmt w:val="lowerLetter"/>
      <w:pStyle w:val="245"/>
      <w:lvlText w:val="%1."/>
      <w:lvlJc w:val="left"/>
      <w:pPr>
        <w:ind w:left="1440" w:hanging="360"/>
      </w:pPr>
      <w:rPr>
        <w:rFonts w:hint="default"/>
      </w:rPr>
    </w:lvl>
    <w:lvl w:ilvl="1" w:tentative="0">
      <w:start w:val="1"/>
      <w:numFmt w:val="lowerLetter"/>
      <w:lvlText w:val="%2)"/>
      <w:lvlJc w:val="left"/>
      <w:pPr>
        <w:ind w:left="1920" w:hanging="420"/>
      </w:pPr>
    </w:lvl>
    <w:lvl w:ilvl="2" w:tentative="0">
      <w:start w:val="1"/>
      <w:numFmt w:val="lowerRoman"/>
      <w:lvlText w:val="%3."/>
      <w:lvlJc w:val="right"/>
      <w:pPr>
        <w:ind w:left="2340" w:hanging="420"/>
      </w:pPr>
    </w:lvl>
    <w:lvl w:ilvl="3" w:tentative="0">
      <w:start w:val="1"/>
      <w:numFmt w:val="decimal"/>
      <w:lvlText w:val="%4."/>
      <w:lvlJc w:val="left"/>
      <w:pPr>
        <w:ind w:left="2760" w:hanging="420"/>
      </w:pPr>
    </w:lvl>
    <w:lvl w:ilvl="4" w:tentative="0">
      <w:start w:val="1"/>
      <w:numFmt w:val="lowerLetter"/>
      <w:lvlText w:val="%5)"/>
      <w:lvlJc w:val="left"/>
      <w:pPr>
        <w:ind w:left="3180" w:hanging="420"/>
      </w:pPr>
    </w:lvl>
    <w:lvl w:ilvl="5" w:tentative="0">
      <w:start w:val="1"/>
      <w:numFmt w:val="lowerRoman"/>
      <w:lvlText w:val="%6."/>
      <w:lvlJc w:val="right"/>
      <w:pPr>
        <w:ind w:left="3600" w:hanging="420"/>
      </w:pPr>
    </w:lvl>
    <w:lvl w:ilvl="6" w:tentative="0">
      <w:start w:val="1"/>
      <w:numFmt w:val="decimal"/>
      <w:lvlText w:val="%7."/>
      <w:lvlJc w:val="left"/>
      <w:pPr>
        <w:ind w:left="4020" w:hanging="420"/>
      </w:pPr>
    </w:lvl>
    <w:lvl w:ilvl="7" w:tentative="0">
      <w:start w:val="1"/>
      <w:numFmt w:val="lowerLetter"/>
      <w:lvlText w:val="%8)"/>
      <w:lvlJc w:val="left"/>
      <w:pPr>
        <w:ind w:left="4440" w:hanging="420"/>
      </w:pPr>
    </w:lvl>
    <w:lvl w:ilvl="8" w:tentative="0">
      <w:start w:val="1"/>
      <w:numFmt w:val="lowerRoman"/>
      <w:lvlText w:val="%9."/>
      <w:lvlJc w:val="right"/>
      <w:pPr>
        <w:ind w:left="4860" w:hanging="420"/>
      </w:pPr>
    </w:lvl>
  </w:abstractNum>
  <w:abstractNum w:abstractNumId="6">
    <w:nsid w:val="09227E31"/>
    <w:multiLevelType w:val="multilevel"/>
    <w:tmpl w:val="09227E31"/>
    <w:lvl w:ilvl="0" w:tentative="0">
      <w:start w:val="1"/>
      <w:numFmt w:val="none"/>
      <w:suff w:val="nothing"/>
      <w:lvlText w:val=""/>
      <w:lvlJc w:val="left"/>
      <w:pPr>
        <w:ind w:left="0" w:firstLine="0"/>
      </w:pPr>
      <w:rPr>
        <w:rFonts w:hint="eastAsia" w:ascii="黑体" w:hAnsi="Times New Roman" w:eastAsia="黑体"/>
        <w:b/>
        <w:i w:val="0"/>
        <w:sz w:val="21"/>
      </w:rPr>
    </w:lvl>
    <w:lvl w:ilvl="1" w:tentative="0">
      <w:start w:val="1"/>
      <w:numFmt w:val="decimal"/>
      <w:pStyle w:val="263"/>
      <w:suff w:val="nothing"/>
      <w:lvlText w:val="表%2　"/>
      <w:lvlJc w:val="left"/>
      <w:pPr>
        <w:ind w:left="0" w:firstLine="0"/>
      </w:pPr>
      <w:rPr>
        <w:rFonts w:hint="eastAsia" w:ascii="黑体" w:hAnsi="Times New Roman" w:eastAsia="黑体"/>
        <w:b w:val="0"/>
        <w:i w:val="0"/>
        <w:caps w:val="0"/>
        <w:strike w:val="0"/>
        <w:dstrike w:val="0"/>
        <w:snapToGrid w:val="0"/>
        <w:vanish w:val="0"/>
        <w:kern w:val="0"/>
        <w:sz w:val="21"/>
        <w:szCs w:val="21"/>
        <w:u w:val="none"/>
        <w:vertAlign w:val="baseline"/>
      </w:rPr>
    </w:lvl>
    <w:lvl w:ilvl="2" w:tentative="0">
      <w:start w:val="1"/>
      <w:numFmt w:val="none"/>
      <w:suff w:val="nothing"/>
      <w:lvlText w:val="%1表%2　"/>
      <w:lvlJc w:val="left"/>
      <w:pPr>
        <w:ind w:left="0" w:firstLine="0"/>
      </w:pPr>
      <w:rPr>
        <w:rFonts w:hint="eastAsia" w:ascii="黑体" w:hAnsi="黑体" w:eastAsia="黑体" w:cs="Times New Roman"/>
        <w:b w:val="0"/>
        <w:bCs w:val="0"/>
        <w:i w:val="0"/>
        <w:iCs w:val="0"/>
        <w:caps w:val="0"/>
        <w:smallCaps w:val="0"/>
        <w:strike w:val="0"/>
        <w:dstrike w:val="0"/>
        <w:snapToGrid w:val="0"/>
        <w:vanish w:val="0"/>
        <w:spacing w:val="0"/>
        <w:w w:val="10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3969"/>
        </w:tabs>
        <w:ind w:left="3969" w:hanging="1418"/>
      </w:pPr>
      <w:rPr>
        <w:rFonts w:hint="eastAsia"/>
      </w:rPr>
    </w:lvl>
    <w:lvl w:ilvl="8" w:tentative="0">
      <w:start w:val="1"/>
      <w:numFmt w:val="decimal"/>
      <w:lvlText w:val="%1.%2.%3.%4.%5.%6.%7.%8.%9"/>
      <w:lvlJc w:val="left"/>
      <w:pPr>
        <w:tabs>
          <w:tab w:val="left" w:pos="4677"/>
        </w:tabs>
        <w:ind w:left="4677" w:hanging="1700"/>
      </w:pPr>
      <w:rPr>
        <w:rFonts w:hint="eastAsia"/>
      </w:rPr>
    </w:lvl>
  </w:abstractNum>
  <w:abstractNum w:abstractNumId="7">
    <w:nsid w:val="0AE367E9"/>
    <w:multiLevelType w:val="multilevel"/>
    <w:tmpl w:val="0AE367E9"/>
    <w:lvl w:ilvl="0" w:tentative="0">
      <w:start w:val="1"/>
      <w:numFmt w:val="none"/>
      <w:pStyle w:val="18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8">
    <w:nsid w:val="0BDC1670"/>
    <w:multiLevelType w:val="multilevel"/>
    <w:tmpl w:val="0BDC1670"/>
    <w:lvl w:ilvl="0" w:tentative="0">
      <w:start w:val="1"/>
      <w:numFmt w:val="decimal"/>
      <w:pStyle w:val="71"/>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D051F45"/>
    <w:multiLevelType w:val="multilevel"/>
    <w:tmpl w:val="0D051F45"/>
    <w:lvl w:ilvl="0" w:tentative="0">
      <w:start w:val="1"/>
      <w:numFmt w:val="low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10">
    <w:nsid w:val="1AD20F90"/>
    <w:multiLevelType w:val="multilevel"/>
    <w:tmpl w:val="1AD20F90"/>
    <w:lvl w:ilvl="0" w:tentative="0">
      <w:start w:val="1"/>
      <w:numFmt w:val="none"/>
      <w:pStyle w:val="114"/>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1AF15012"/>
    <w:multiLevelType w:val="multilevel"/>
    <w:tmpl w:val="1AF15012"/>
    <w:lvl w:ilvl="0" w:tentative="0">
      <w:start w:val="1"/>
      <w:numFmt w:val="upperLetter"/>
      <w:pStyle w:val="89"/>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2">
    <w:nsid w:val="1EAA1992"/>
    <w:multiLevelType w:val="multilevel"/>
    <w:tmpl w:val="1EAA1992"/>
    <w:lvl w:ilvl="0" w:tentative="0">
      <w:start w:val="1"/>
      <w:numFmt w:val="none"/>
      <w:pStyle w:val="96"/>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3">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66"/>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267"/>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4">
    <w:nsid w:val="2A8F7113"/>
    <w:multiLevelType w:val="multilevel"/>
    <w:tmpl w:val="2A8F7113"/>
    <w:lvl w:ilvl="0" w:tentative="0">
      <w:start w:val="1"/>
      <w:numFmt w:val="upperLetter"/>
      <w:suff w:val="space"/>
      <w:lvlText w:val="%1"/>
      <w:lvlJc w:val="left"/>
      <w:pPr>
        <w:ind w:left="0" w:firstLine="0"/>
      </w:pPr>
      <w:rPr>
        <w:rFonts w:hint="eastAsia"/>
      </w:rPr>
    </w:lvl>
    <w:lvl w:ilvl="1" w:tentative="0">
      <w:start w:val="1"/>
      <w:numFmt w:val="decimal"/>
      <w:pStyle w:val="271"/>
      <w:suff w:val="nothing"/>
      <w:lvlText w:val="图%1.%2　"/>
      <w:lvlJc w:val="left"/>
      <w:pPr>
        <w:ind w:left="0" w:firstLine="0"/>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15">
    <w:nsid w:val="2C5917C3"/>
    <w:multiLevelType w:val="multilevel"/>
    <w:tmpl w:val="2C5917C3"/>
    <w:lvl w:ilvl="0" w:tentative="0">
      <w:start w:val="1"/>
      <w:numFmt w:val="none"/>
      <w:pStyle w:val="136"/>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1"/>
      <w:lvlText w:val=""/>
      <w:lvlJc w:val="left"/>
      <w:pPr>
        <w:ind w:left="851" w:hanging="431"/>
      </w:pPr>
      <w:rPr>
        <w:rFonts w:hint="default" w:ascii="Symbol" w:hAnsi="Symbol"/>
        <w:sz w:val="21"/>
      </w:rPr>
    </w:lvl>
    <w:lvl w:ilvl="2" w:tentative="0">
      <w:start w:val="1"/>
      <w:numFmt w:val="bullet"/>
      <w:pStyle w:val="176"/>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6">
    <w:nsid w:val="316938D5"/>
    <w:multiLevelType w:val="multilevel"/>
    <w:tmpl w:val="316938D5"/>
    <w:lvl w:ilvl="0" w:tentative="0">
      <w:start w:val="1"/>
      <w:numFmt w:val="none"/>
      <w:pStyle w:val="156"/>
      <w:suff w:val="nothing"/>
      <w:lvlText w:val="%1"/>
      <w:lvlJc w:val="left"/>
      <w:pPr>
        <w:ind w:left="0" w:firstLine="0"/>
      </w:pPr>
      <w:rPr>
        <w:rFonts w:hint="eastAsia"/>
      </w:rPr>
    </w:lvl>
    <w:lvl w:ilvl="1" w:tentative="0">
      <w:start w:val="1"/>
      <w:numFmt w:val="decimal"/>
      <w:pStyle w:val="108"/>
      <w:suff w:val="nothing"/>
      <w:lvlText w:val="%1%2　"/>
      <w:lvlJc w:val="left"/>
      <w:pPr>
        <w:ind w:left="0" w:firstLine="0"/>
      </w:pPr>
      <w:rPr>
        <w:rFonts w:hint="eastAsia" w:ascii="黑体" w:eastAsia="黑体"/>
        <w:b w:val="0"/>
        <w:i w:val="0"/>
        <w:sz w:val="21"/>
      </w:rPr>
    </w:lvl>
    <w:lvl w:ilvl="2" w:tentative="0">
      <w:start w:val="1"/>
      <w:numFmt w:val="decimal"/>
      <w:pStyle w:val="109"/>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69"/>
      <w:suff w:val="nothing"/>
      <w:lvlText w:val="%1%2.%3.%4　"/>
      <w:lvlJc w:val="left"/>
      <w:pPr>
        <w:ind w:left="0" w:firstLine="0"/>
      </w:pPr>
      <w:rPr>
        <w:rFonts w:hint="eastAsia" w:ascii="黑体" w:eastAsia="黑体"/>
        <w:b w:val="0"/>
        <w:i w:val="0"/>
        <w:sz w:val="21"/>
      </w:rPr>
    </w:lvl>
    <w:lvl w:ilvl="4" w:tentative="0">
      <w:start w:val="1"/>
      <w:numFmt w:val="decimal"/>
      <w:pStyle w:val="98"/>
      <w:suff w:val="nothing"/>
      <w:lvlText w:val="%1%2.%3.%4.%5　"/>
      <w:lvlJc w:val="left"/>
      <w:pPr>
        <w:ind w:left="0" w:firstLine="0"/>
      </w:pPr>
      <w:rPr>
        <w:rFonts w:hint="eastAsia" w:ascii="黑体" w:eastAsia="黑体"/>
        <w:b w:val="0"/>
        <w:i w:val="0"/>
        <w:sz w:val="21"/>
      </w:rPr>
    </w:lvl>
    <w:lvl w:ilvl="5" w:tentative="0">
      <w:start w:val="1"/>
      <w:numFmt w:val="decimal"/>
      <w:pStyle w:val="102"/>
      <w:suff w:val="nothing"/>
      <w:lvlText w:val="%1%2.%3.%4.%5.%6　"/>
      <w:lvlJc w:val="left"/>
      <w:pPr>
        <w:ind w:left="0" w:firstLine="0"/>
      </w:pPr>
      <w:rPr>
        <w:rFonts w:hint="eastAsia" w:ascii="黑体" w:eastAsia="黑体"/>
        <w:b w:val="0"/>
        <w:i w:val="0"/>
        <w:sz w:val="21"/>
      </w:rPr>
    </w:lvl>
    <w:lvl w:ilvl="6" w:tentative="0">
      <w:start w:val="1"/>
      <w:numFmt w:val="decimal"/>
      <w:pStyle w:val="107"/>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7">
    <w:nsid w:val="32F04FB2"/>
    <w:multiLevelType w:val="multilevel"/>
    <w:tmpl w:val="32F04FB2"/>
    <w:lvl w:ilvl="0" w:tentative="0">
      <w:start w:val="1"/>
      <w:numFmt w:val="lowerLetter"/>
      <w:pStyle w:val="105"/>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8">
    <w:nsid w:val="44C50F90"/>
    <w:multiLevelType w:val="multilevel"/>
    <w:tmpl w:val="44C50F90"/>
    <w:lvl w:ilvl="0" w:tentative="0">
      <w:start w:val="1"/>
      <w:numFmt w:val="lowerLetter"/>
      <w:pStyle w:val="178"/>
      <w:lvlText w:val="%1)"/>
      <w:lvlJc w:val="left"/>
      <w:pPr>
        <w:tabs>
          <w:tab w:val="left" w:pos="851"/>
        </w:tabs>
        <w:ind w:left="851" w:hanging="426"/>
      </w:pPr>
      <w:rPr>
        <w:rFonts w:hint="eastAsia" w:ascii="宋体" w:hAnsi="Times New Roman" w:eastAsia="宋体"/>
        <w:sz w:val="21"/>
      </w:rPr>
    </w:lvl>
    <w:lvl w:ilvl="1" w:tentative="0">
      <w:start w:val="1"/>
      <w:numFmt w:val="decimal"/>
      <w:pStyle w:val="113"/>
      <w:lvlText w:val="%2)"/>
      <w:lvlJc w:val="left"/>
      <w:pPr>
        <w:tabs>
          <w:tab w:val="left" w:pos="1276"/>
        </w:tabs>
        <w:ind w:left="1276" w:hanging="425"/>
      </w:pPr>
      <w:rPr>
        <w:rFonts w:hint="eastAsia" w:ascii="宋体" w:hAnsi="Times New Roman" w:eastAsia="宋体"/>
        <w:sz w:val="21"/>
      </w:rPr>
    </w:lvl>
    <w:lvl w:ilvl="2" w:tentative="0">
      <w:start w:val="1"/>
      <w:numFmt w:val="decimal"/>
      <w:pStyle w:val="121"/>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9">
    <w:nsid w:val="48802D1C"/>
    <w:multiLevelType w:val="multilevel"/>
    <w:tmpl w:val="48802D1C"/>
    <w:lvl w:ilvl="0" w:tentative="0">
      <w:start w:val="1"/>
      <w:numFmt w:val="upperLetter"/>
      <w:pStyle w:val="202"/>
      <w:lvlText w:val="%1"/>
      <w:lvlJc w:val="left"/>
      <w:pPr>
        <w:ind w:left="420" w:hanging="420"/>
      </w:pPr>
      <w:rPr>
        <w:rFonts w:hint="eastAsia"/>
      </w:rPr>
    </w:lvl>
    <w:lvl w:ilvl="1" w:tentative="0">
      <w:start w:val="1"/>
      <w:numFmt w:val="decimal"/>
      <w:pStyle w:val="87"/>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0">
    <w:nsid w:val="4B733A5F"/>
    <w:multiLevelType w:val="multilevel"/>
    <w:tmpl w:val="4B733A5F"/>
    <w:lvl w:ilvl="0" w:tentative="0">
      <w:start w:val="1"/>
      <w:numFmt w:val="decimal"/>
      <w:pStyle w:val="18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21">
    <w:nsid w:val="4E5D0534"/>
    <w:multiLevelType w:val="multilevel"/>
    <w:tmpl w:val="4E5D0534"/>
    <w:lvl w:ilvl="0" w:tentative="0">
      <w:start w:val="1"/>
      <w:numFmt w:val="decimal"/>
      <w:pStyle w:val="120"/>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2">
    <w:nsid w:val="54632751"/>
    <w:multiLevelType w:val="multilevel"/>
    <w:tmpl w:val="54632751"/>
    <w:lvl w:ilvl="0" w:tentative="0">
      <w:start w:val="1"/>
      <w:numFmt w:val="none"/>
      <w:pStyle w:val="97"/>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23">
    <w:nsid w:val="5603797C"/>
    <w:multiLevelType w:val="multilevel"/>
    <w:tmpl w:val="5603797C"/>
    <w:lvl w:ilvl="0" w:tentative="0">
      <w:start w:val="1"/>
      <w:numFmt w:val="upperLetter"/>
      <w:pStyle w:val="203"/>
      <w:suff w:val="space"/>
      <w:lvlText w:val="%1"/>
      <w:lvlJc w:val="left"/>
      <w:pPr>
        <w:ind w:left="425" w:hanging="425"/>
      </w:pPr>
      <w:rPr>
        <w:rFonts w:hint="eastAsia"/>
      </w:rPr>
    </w:lvl>
    <w:lvl w:ilvl="1" w:tentative="0">
      <w:start w:val="1"/>
      <w:numFmt w:val="decimal"/>
      <w:pStyle w:val="81"/>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4">
    <w:nsid w:val="564D2089"/>
    <w:multiLevelType w:val="multilevel"/>
    <w:tmpl w:val="564D2089"/>
    <w:lvl w:ilvl="0" w:tentative="0">
      <w:start w:val="1"/>
      <w:numFmt w:val="none"/>
      <w:pStyle w:val="115"/>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5A8D1887"/>
    <w:multiLevelType w:val="multilevel"/>
    <w:tmpl w:val="5A8D1887"/>
    <w:lvl w:ilvl="0" w:tentative="0">
      <w:start w:val="1"/>
      <w:numFmt w:val="decimal"/>
      <w:pStyle w:val="244"/>
      <w:suff w:val="space"/>
      <w:lvlText w:val="（%1）"/>
      <w:lvlJc w:val="left"/>
      <w:pPr>
        <w:ind w:left="113" w:hanging="113"/>
      </w:pPr>
      <w:rPr>
        <w:rFonts w:hint="default" w:ascii="Times New Roman" w:hAnsi="Times New Roman" w:cs="Times New Roman"/>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644622F9"/>
    <w:multiLevelType w:val="multilevel"/>
    <w:tmpl w:val="644622F9"/>
    <w:lvl w:ilvl="0" w:tentative="0">
      <w:start w:val="1"/>
      <w:numFmt w:val="upp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7">
    <w:nsid w:val="654A26C9"/>
    <w:multiLevelType w:val="multilevel"/>
    <w:tmpl w:val="654A26C9"/>
    <w:lvl w:ilvl="0" w:tentative="0">
      <w:start w:val="1"/>
      <w:numFmt w:val="none"/>
      <w:pStyle w:val="193"/>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8">
    <w:nsid w:val="657D3FBC"/>
    <w:multiLevelType w:val="multilevel"/>
    <w:tmpl w:val="657D3FBC"/>
    <w:lvl w:ilvl="0" w:tentative="0">
      <w:start w:val="1"/>
      <w:numFmt w:val="upperLetter"/>
      <w:pStyle w:val="80"/>
      <w:suff w:val="nothing"/>
      <w:lvlText w:val="附录%1"/>
      <w:lvlJc w:val="left"/>
      <w:pPr>
        <w:ind w:left="0" w:firstLine="0"/>
      </w:pPr>
      <w:rPr>
        <w:rFonts w:hint="eastAsia"/>
        <w:spacing w:val="100"/>
      </w:rPr>
    </w:lvl>
    <w:lvl w:ilvl="1" w:tentative="0">
      <w:start w:val="1"/>
      <w:numFmt w:val="decimal"/>
      <w:pStyle w:val="82"/>
      <w:suff w:val="nothing"/>
      <w:lvlText w:val="%1.%2　"/>
      <w:lvlJc w:val="left"/>
      <w:pPr>
        <w:ind w:left="0" w:firstLine="0"/>
      </w:pPr>
      <w:rPr>
        <w:rFonts w:hint="eastAsia" w:ascii="黑体" w:eastAsia="黑体"/>
        <w:b w:val="0"/>
        <w:i w:val="0"/>
        <w:sz w:val="21"/>
      </w:rPr>
    </w:lvl>
    <w:lvl w:ilvl="2" w:tentative="0">
      <w:start w:val="1"/>
      <w:numFmt w:val="decimal"/>
      <w:pStyle w:val="83"/>
      <w:suff w:val="nothing"/>
      <w:lvlText w:val="%1.%2.%3　"/>
      <w:lvlJc w:val="left"/>
      <w:pPr>
        <w:ind w:left="0" w:firstLine="0"/>
      </w:pPr>
      <w:rPr>
        <w:rFonts w:hint="eastAsia" w:ascii="黑体" w:eastAsia="黑体"/>
        <w:b w:val="0"/>
        <w:i w:val="0"/>
        <w:sz w:val="21"/>
      </w:rPr>
    </w:lvl>
    <w:lvl w:ilvl="3" w:tentative="0">
      <w:start w:val="1"/>
      <w:numFmt w:val="decimal"/>
      <w:pStyle w:val="85"/>
      <w:suff w:val="nothing"/>
      <w:lvlText w:val="%1.%2.%3.%4　"/>
      <w:lvlJc w:val="left"/>
      <w:pPr>
        <w:ind w:left="0" w:firstLine="0"/>
      </w:pPr>
      <w:rPr>
        <w:rFonts w:hint="eastAsia" w:ascii="黑体" w:eastAsia="黑体"/>
        <w:b w:val="0"/>
        <w:i w:val="0"/>
        <w:sz w:val="21"/>
      </w:rPr>
    </w:lvl>
    <w:lvl w:ilvl="4" w:tentative="0">
      <w:start w:val="1"/>
      <w:numFmt w:val="decimal"/>
      <w:pStyle w:val="86"/>
      <w:suff w:val="nothing"/>
      <w:lvlText w:val="%1.%2.%3.%4.%5　"/>
      <w:lvlJc w:val="left"/>
      <w:pPr>
        <w:ind w:left="0" w:firstLine="0"/>
      </w:pPr>
      <w:rPr>
        <w:rFonts w:hint="eastAsia" w:ascii="黑体" w:eastAsia="黑体"/>
        <w:b w:val="0"/>
        <w:i w:val="0"/>
        <w:sz w:val="21"/>
      </w:rPr>
    </w:lvl>
    <w:lvl w:ilvl="5" w:tentative="0">
      <w:start w:val="1"/>
      <w:numFmt w:val="decimal"/>
      <w:pStyle w:val="88"/>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9">
    <w:nsid w:val="681DD817"/>
    <w:multiLevelType w:val="multilevel"/>
    <w:tmpl w:val="681DD817"/>
    <w:lvl w:ilvl="0" w:tentative="0">
      <w:start w:val="1"/>
      <w:numFmt w:val="lowerLetter"/>
      <w:pStyle w:val="268"/>
      <w:lvlText w:val="%1)"/>
      <w:lvlJc w:val="left"/>
      <w:pPr>
        <w:tabs>
          <w:tab w:val="left" w:pos="840"/>
        </w:tabs>
        <w:ind w:left="839" w:hanging="419"/>
      </w:pPr>
      <w:rPr>
        <w:rFonts w:hint="eastAsia" w:ascii="宋体" w:eastAsia="宋体"/>
        <w:b w:val="0"/>
        <w:i w:val="0"/>
        <w:sz w:val="21"/>
        <w:szCs w:val="21"/>
      </w:rPr>
    </w:lvl>
    <w:lvl w:ilvl="1" w:tentative="0">
      <w:start w:val="1"/>
      <w:numFmt w:val="decimal"/>
      <w:pStyle w:val="272"/>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0">
    <w:nsid w:val="69506ABF"/>
    <w:multiLevelType w:val="multilevel"/>
    <w:tmpl w:val="69506ABF"/>
    <w:lvl w:ilvl="0" w:tentative="0">
      <w:start w:val="1"/>
      <w:numFmt w:val="bullet"/>
      <w:pStyle w:val="19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31">
    <w:nsid w:val="6AC77BEE"/>
    <w:multiLevelType w:val="multilevel"/>
    <w:tmpl w:val="6AC77BEE"/>
    <w:lvl w:ilvl="0" w:tentative="0">
      <w:start w:val="1"/>
      <w:numFmt w:val="decimal"/>
      <w:pStyle w:val="118"/>
      <w:suff w:val="nothing"/>
      <w:lvlText w:val="表%1　"/>
      <w:lvlJc w:val="left"/>
      <w:pPr>
        <w:tabs>
          <w:tab w:val="left" w:pos="0"/>
        </w:tabs>
        <w:ind w:left="0" w:firstLine="0"/>
      </w:pPr>
      <w:rPr>
        <w:rFonts w:hint="default"/>
      </w:r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2">
    <w:nsid w:val="6CA41985"/>
    <w:multiLevelType w:val="multilevel"/>
    <w:tmpl w:val="6CA41985"/>
    <w:lvl w:ilvl="0" w:tentative="0">
      <w:start w:val="1"/>
      <w:numFmt w:val="decimal"/>
      <w:pStyle w:val="101"/>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3">
    <w:nsid w:val="6CE42AC1"/>
    <w:multiLevelType w:val="multilevel"/>
    <w:tmpl w:val="6CE42AC1"/>
    <w:lvl w:ilvl="0" w:tentative="0">
      <w:start w:val="1"/>
      <w:numFmt w:val="lowerLetter"/>
      <w:pStyle w:val="17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6DBF04F4"/>
    <w:multiLevelType w:val="multilevel"/>
    <w:tmpl w:val="6DBF04F4"/>
    <w:lvl w:ilvl="0" w:tentative="0">
      <w:start w:val="1"/>
      <w:numFmt w:val="none"/>
      <w:pStyle w:val="265"/>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5">
    <w:nsid w:val="6DF35F19"/>
    <w:multiLevelType w:val="multilevel"/>
    <w:tmpl w:val="6DF35F19"/>
    <w:lvl w:ilvl="0" w:tentative="0">
      <w:start w:val="1"/>
      <w:numFmt w:val="decimal"/>
      <w:pStyle w:val="119"/>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6">
    <w:nsid w:val="76933334"/>
    <w:multiLevelType w:val="multilevel"/>
    <w:tmpl w:val="76933334"/>
    <w:lvl w:ilvl="0" w:tentative="0">
      <w:start w:val="1"/>
      <w:numFmt w:val="none"/>
      <w:pStyle w:val="143"/>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16"/>
  </w:num>
  <w:num w:numId="3">
    <w:abstractNumId w:val="8"/>
  </w:num>
  <w:num w:numId="4">
    <w:abstractNumId w:val="28"/>
  </w:num>
  <w:num w:numId="5">
    <w:abstractNumId w:val="23"/>
  </w:num>
  <w:num w:numId="6">
    <w:abstractNumId w:val="19"/>
  </w:num>
  <w:num w:numId="7">
    <w:abstractNumId w:val="11"/>
  </w:num>
  <w:num w:numId="8">
    <w:abstractNumId w:val="4"/>
  </w:num>
  <w:num w:numId="9">
    <w:abstractNumId w:val="12"/>
  </w:num>
  <w:num w:numId="10">
    <w:abstractNumId w:val="22"/>
  </w:num>
  <w:num w:numId="11">
    <w:abstractNumId w:val="32"/>
  </w:num>
  <w:num w:numId="12">
    <w:abstractNumId w:val="17"/>
  </w:num>
  <w:num w:numId="13">
    <w:abstractNumId w:val="18"/>
  </w:num>
  <w:num w:numId="14">
    <w:abstractNumId w:val="10"/>
  </w:num>
  <w:num w:numId="15">
    <w:abstractNumId w:val="24"/>
  </w:num>
  <w:num w:numId="16">
    <w:abstractNumId w:val="0"/>
  </w:num>
  <w:num w:numId="17">
    <w:abstractNumId w:val="31"/>
  </w:num>
  <w:num w:numId="18">
    <w:abstractNumId w:val="35"/>
  </w:num>
  <w:num w:numId="19">
    <w:abstractNumId w:val="21"/>
  </w:num>
  <w:num w:numId="20">
    <w:abstractNumId w:val="2"/>
  </w:num>
  <w:num w:numId="21">
    <w:abstractNumId w:val="15"/>
  </w:num>
  <w:num w:numId="22">
    <w:abstractNumId w:val="36"/>
  </w:num>
  <w:num w:numId="23">
    <w:abstractNumId w:val="26"/>
  </w:num>
  <w:num w:numId="24">
    <w:abstractNumId w:val="9"/>
  </w:num>
  <w:num w:numId="25">
    <w:abstractNumId w:val="33"/>
  </w:num>
  <w:num w:numId="26">
    <w:abstractNumId w:val="3"/>
  </w:num>
  <w:num w:numId="27">
    <w:abstractNumId w:val="7"/>
  </w:num>
  <w:num w:numId="28">
    <w:abstractNumId w:val="20"/>
  </w:num>
  <w:num w:numId="29">
    <w:abstractNumId w:val="30"/>
  </w:num>
  <w:num w:numId="30">
    <w:abstractNumId w:val="27"/>
  </w:num>
  <w:num w:numId="31">
    <w:abstractNumId w:val="25"/>
  </w:num>
  <w:num w:numId="32">
    <w:abstractNumId w:val="5"/>
  </w:num>
  <w:num w:numId="33">
    <w:abstractNumId w:val="6"/>
  </w:num>
  <w:num w:numId="34">
    <w:abstractNumId w:val="34"/>
  </w:num>
  <w:num w:numId="35">
    <w:abstractNumId w:val="13"/>
  </w:num>
  <w:num w:numId="36">
    <w:abstractNumId w:val="29"/>
  </w:num>
  <w:num w:numId="37">
    <w:abstractNumId w:val="14"/>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mirrorMargins w:val="1"/>
  <w:bordersDoNotSurroundHeader w:val="0"/>
  <w:bordersDoNotSurroundFooter w:val="0"/>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M4ZDdmYjY2NDkyZjIzNDhmODIzZWE0NTA3ZGVjNGEifQ=="/>
  </w:docVars>
  <w:rsids>
    <w:rsidRoot w:val="00172A27"/>
    <w:rsid w:val="0000040A"/>
    <w:rsid w:val="00000A94"/>
    <w:rsid w:val="00001972"/>
    <w:rsid w:val="00001B6E"/>
    <w:rsid w:val="00001D9A"/>
    <w:rsid w:val="0000562C"/>
    <w:rsid w:val="00007B3A"/>
    <w:rsid w:val="00007D8D"/>
    <w:rsid w:val="000107E0"/>
    <w:rsid w:val="0001164F"/>
    <w:rsid w:val="00011FDE"/>
    <w:rsid w:val="00012FFD"/>
    <w:rsid w:val="00014162"/>
    <w:rsid w:val="00014340"/>
    <w:rsid w:val="00016A9C"/>
    <w:rsid w:val="00022184"/>
    <w:rsid w:val="00022762"/>
    <w:rsid w:val="000238E0"/>
    <w:rsid w:val="000249DB"/>
    <w:rsid w:val="0002595E"/>
    <w:rsid w:val="00027FAE"/>
    <w:rsid w:val="000303C3"/>
    <w:rsid w:val="000331D3"/>
    <w:rsid w:val="00033588"/>
    <w:rsid w:val="000346A5"/>
    <w:rsid w:val="00035948"/>
    <w:rsid w:val="000359C3"/>
    <w:rsid w:val="00035A7D"/>
    <w:rsid w:val="000365DA"/>
    <w:rsid w:val="000365ED"/>
    <w:rsid w:val="00036905"/>
    <w:rsid w:val="00041F81"/>
    <w:rsid w:val="0004249A"/>
    <w:rsid w:val="00043282"/>
    <w:rsid w:val="00044286"/>
    <w:rsid w:val="00044869"/>
    <w:rsid w:val="00047175"/>
    <w:rsid w:val="00047F28"/>
    <w:rsid w:val="000503AA"/>
    <w:rsid w:val="000506A1"/>
    <w:rsid w:val="000515DD"/>
    <w:rsid w:val="0005265A"/>
    <w:rsid w:val="000539DD"/>
    <w:rsid w:val="00053BD3"/>
    <w:rsid w:val="000556ED"/>
    <w:rsid w:val="00055FE2"/>
    <w:rsid w:val="0005616F"/>
    <w:rsid w:val="000606F4"/>
    <w:rsid w:val="00060C2E"/>
    <w:rsid w:val="00061033"/>
    <w:rsid w:val="00061151"/>
    <w:rsid w:val="000619E9"/>
    <w:rsid w:val="000622D4"/>
    <w:rsid w:val="0006357D"/>
    <w:rsid w:val="00067F1E"/>
    <w:rsid w:val="00070DF6"/>
    <w:rsid w:val="00071CC0"/>
    <w:rsid w:val="00071CFC"/>
    <w:rsid w:val="00073C8C"/>
    <w:rsid w:val="00077B64"/>
    <w:rsid w:val="00080A1C"/>
    <w:rsid w:val="00082317"/>
    <w:rsid w:val="00083D2C"/>
    <w:rsid w:val="00086AA1"/>
    <w:rsid w:val="00087A77"/>
    <w:rsid w:val="00087E9E"/>
    <w:rsid w:val="00090CA6"/>
    <w:rsid w:val="000919AB"/>
    <w:rsid w:val="00092B8A"/>
    <w:rsid w:val="00092FB0"/>
    <w:rsid w:val="000934C5"/>
    <w:rsid w:val="00093D25"/>
    <w:rsid w:val="00093DAB"/>
    <w:rsid w:val="00094D73"/>
    <w:rsid w:val="00096D63"/>
    <w:rsid w:val="000A0B60"/>
    <w:rsid w:val="000A0EB8"/>
    <w:rsid w:val="000A19FC"/>
    <w:rsid w:val="000A296B"/>
    <w:rsid w:val="000A345F"/>
    <w:rsid w:val="000A35DC"/>
    <w:rsid w:val="000A72EA"/>
    <w:rsid w:val="000A7311"/>
    <w:rsid w:val="000B060F"/>
    <w:rsid w:val="000B1065"/>
    <w:rsid w:val="000B1592"/>
    <w:rsid w:val="000B1FF2"/>
    <w:rsid w:val="000B3CDA"/>
    <w:rsid w:val="000B3CE4"/>
    <w:rsid w:val="000B6A0B"/>
    <w:rsid w:val="000C0F6C"/>
    <w:rsid w:val="000C11DB"/>
    <w:rsid w:val="000C1492"/>
    <w:rsid w:val="000C2430"/>
    <w:rsid w:val="000C2FBD"/>
    <w:rsid w:val="000C4B41"/>
    <w:rsid w:val="000C57D6"/>
    <w:rsid w:val="000C6362"/>
    <w:rsid w:val="000C7666"/>
    <w:rsid w:val="000D0A9C"/>
    <w:rsid w:val="000D1795"/>
    <w:rsid w:val="000D1C44"/>
    <w:rsid w:val="000D329A"/>
    <w:rsid w:val="000D4B9C"/>
    <w:rsid w:val="000D4EB6"/>
    <w:rsid w:val="000D6597"/>
    <w:rsid w:val="000D753B"/>
    <w:rsid w:val="000E0E54"/>
    <w:rsid w:val="000E13BC"/>
    <w:rsid w:val="000E1D2A"/>
    <w:rsid w:val="000E217F"/>
    <w:rsid w:val="000E4C9E"/>
    <w:rsid w:val="000E6FD7"/>
    <w:rsid w:val="000F06E1"/>
    <w:rsid w:val="000F0E3C"/>
    <w:rsid w:val="000F19D5"/>
    <w:rsid w:val="000F4050"/>
    <w:rsid w:val="000F4AEA"/>
    <w:rsid w:val="000F57E0"/>
    <w:rsid w:val="000F67E9"/>
    <w:rsid w:val="000F6930"/>
    <w:rsid w:val="00104926"/>
    <w:rsid w:val="00110ADB"/>
    <w:rsid w:val="00113B1E"/>
    <w:rsid w:val="00114E4E"/>
    <w:rsid w:val="0011711C"/>
    <w:rsid w:val="00121BBD"/>
    <w:rsid w:val="00124E4F"/>
    <w:rsid w:val="0012503B"/>
    <w:rsid w:val="001260B7"/>
    <w:rsid w:val="001265CB"/>
    <w:rsid w:val="001321C6"/>
    <w:rsid w:val="001325C4"/>
    <w:rsid w:val="00132DFA"/>
    <w:rsid w:val="00133010"/>
    <w:rsid w:val="001338EE"/>
    <w:rsid w:val="00133AAE"/>
    <w:rsid w:val="00135323"/>
    <w:rsid w:val="001356C4"/>
    <w:rsid w:val="00137565"/>
    <w:rsid w:val="00140052"/>
    <w:rsid w:val="00140FB2"/>
    <w:rsid w:val="00141114"/>
    <w:rsid w:val="00141FE6"/>
    <w:rsid w:val="00142969"/>
    <w:rsid w:val="001446C2"/>
    <w:rsid w:val="001457E7"/>
    <w:rsid w:val="00145D9D"/>
    <w:rsid w:val="00146388"/>
    <w:rsid w:val="00150AF0"/>
    <w:rsid w:val="001529E5"/>
    <w:rsid w:val="00152B20"/>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67C6F"/>
    <w:rsid w:val="00167E5D"/>
    <w:rsid w:val="00170804"/>
    <w:rsid w:val="001708E9"/>
    <w:rsid w:val="00172A27"/>
    <w:rsid w:val="00172E5F"/>
    <w:rsid w:val="0017340B"/>
    <w:rsid w:val="0017370A"/>
    <w:rsid w:val="00173FB1"/>
    <w:rsid w:val="00176DFD"/>
    <w:rsid w:val="0018198D"/>
    <w:rsid w:val="0018268C"/>
    <w:rsid w:val="00182883"/>
    <w:rsid w:val="00183994"/>
    <w:rsid w:val="001852C9"/>
    <w:rsid w:val="00187A0B"/>
    <w:rsid w:val="00190087"/>
    <w:rsid w:val="001913C4"/>
    <w:rsid w:val="0019348F"/>
    <w:rsid w:val="00193A07"/>
    <w:rsid w:val="00193A89"/>
    <w:rsid w:val="001940AA"/>
    <w:rsid w:val="00194492"/>
    <w:rsid w:val="00194C95"/>
    <w:rsid w:val="00195C34"/>
    <w:rsid w:val="00196EF5"/>
    <w:rsid w:val="001A01BB"/>
    <w:rsid w:val="001A0898"/>
    <w:rsid w:val="001A1A53"/>
    <w:rsid w:val="001A1D26"/>
    <w:rsid w:val="001A234A"/>
    <w:rsid w:val="001A4CF3"/>
    <w:rsid w:val="001A6696"/>
    <w:rsid w:val="001B06E8"/>
    <w:rsid w:val="001B0C02"/>
    <w:rsid w:val="001B18BF"/>
    <w:rsid w:val="001B2C46"/>
    <w:rsid w:val="001B3381"/>
    <w:rsid w:val="001B5E1E"/>
    <w:rsid w:val="001B6527"/>
    <w:rsid w:val="001B71D0"/>
    <w:rsid w:val="001B71EE"/>
    <w:rsid w:val="001C04A8"/>
    <w:rsid w:val="001C2C03"/>
    <w:rsid w:val="001C42F7"/>
    <w:rsid w:val="001C49E5"/>
    <w:rsid w:val="001C680C"/>
    <w:rsid w:val="001C7FEA"/>
    <w:rsid w:val="001D0499"/>
    <w:rsid w:val="001D0BBE"/>
    <w:rsid w:val="001D0ED4"/>
    <w:rsid w:val="001D156F"/>
    <w:rsid w:val="001D212F"/>
    <w:rsid w:val="001D29D7"/>
    <w:rsid w:val="001D2DE7"/>
    <w:rsid w:val="001D411C"/>
    <w:rsid w:val="001E17A5"/>
    <w:rsid w:val="001E1B6A"/>
    <w:rsid w:val="001E2484"/>
    <w:rsid w:val="001E3CC4"/>
    <w:rsid w:val="001E4882"/>
    <w:rsid w:val="001E73AB"/>
    <w:rsid w:val="001F092D"/>
    <w:rsid w:val="001F143A"/>
    <w:rsid w:val="001F1605"/>
    <w:rsid w:val="001F1E9C"/>
    <w:rsid w:val="001F2508"/>
    <w:rsid w:val="001F4816"/>
    <w:rsid w:val="001F490F"/>
    <w:rsid w:val="001F69B4"/>
    <w:rsid w:val="001F77C7"/>
    <w:rsid w:val="00200183"/>
    <w:rsid w:val="00200333"/>
    <w:rsid w:val="0020107D"/>
    <w:rsid w:val="00202AA4"/>
    <w:rsid w:val="002031F7"/>
    <w:rsid w:val="002040E6"/>
    <w:rsid w:val="00204EDD"/>
    <w:rsid w:val="0020527B"/>
    <w:rsid w:val="002056A4"/>
    <w:rsid w:val="00205F2C"/>
    <w:rsid w:val="00210B15"/>
    <w:rsid w:val="002142EA"/>
    <w:rsid w:val="00215ADD"/>
    <w:rsid w:val="002204BB"/>
    <w:rsid w:val="00221B79"/>
    <w:rsid w:val="00221C6B"/>
    <w:rsid w:val="00221F5B"/>
    <w:rsid w:val="002253A1"/>
    <w:rsid w:val="00225CF8"/>
    <w:rsid w:val="0022794E"/>
    <w:rsid w:val="00233D64"/>
    <w:rsid w:val="00234325"/>
    <w:rsid w:val="0023482A"/>
    <w:rsid w:val="002359CB"/>
    <w:rsid w:val="00243540"/>
    <w:rsid w:val="0024497B"/>
    <w:rsid w:val="0024515B"/>
    <w:rsid w:val="00246021"/>
    <w:rsid w:val="0024666E"/>
    <w:rsid w:val="00247F52"/>
    <w:rsid w:val="00250B25"/>
    <w:rsid w:val="00250BBE"/>
    <w:rsid w:val="00251590"/>
    <w:rsid w:val="002515C2"/>
    <w:rsid w:val="0025194F"/>
    <w:rsid w:val="00253C23"/>
    <w:rsid w:val="002543A0"/>
    <w:rsid w:val="0026148A"/>
    <w:rsid w:val="002616CE"/>
    <w:rsid w:val="00262696"/>
    <w:rsid w:val="00263D25"/>
    <w:rsid w:val="002643C3"/>
    <w:rsid w:val="00264936"/>
    <w:rsid w:val="00264A0C"/>
    <w:rsid w:val="00266EEB"/>
    <w:rsid w:val="00267CA4"/>
    <w:rsid w:val="00267EF4"/>
    <w:rsid w:val="00270CB8"/>
    <w:rsid w:val="00272B08"/>
    <w:rsid w:val="00281BB8"/>
    <w:rsid w:val="00281E9E"/>
    <w:rsid w:val="00282276"/>
    <w:rsid w:val="00282405"/>
    <w:rsid w:val="00282EA0"/>
    <w:rsid w:val="00285170"/>
    <w:rsid w:val="00285361"/>
    <w:rsid w:val="002922E7"/>
    <w:rsid w:val="00292D60"/>
    <w:rsid w:val="00293B30"/>
    <w:rsid w:val="00294D34"/>
    <w:rsid w:val="00294E3B"/>
    <w:rsid w:val="00296193"/>
    <w:rsid w:val="00296C66"/>
    <w:rsid w:val="00296EBE"/>
    <w:rsid w:val="002974E3"/>
    <w:rsid w:val="002A084B"/>
    <w:rsid w:val="002A1260"/>
    <w:rsid w:val="002A1589"/>
    <w:rsid w:val="002A1608"/>
    <w:rsid w:val="002A25DC"/>
    <w:rsid w:val="002A2620"/>
    <w:rsid w:val="002A3AAB"/>
    <w:rsid w:val="002A4CEA"/>
    <w:rsid w:val="002A5977"/>
    <w:rsid w:val="002A5A13"/>
    <w:rsid w:val="002A757F"/>
    <w:rsid w:val="002A7F44"/>
    <w:rsid w:val="002B0C40"/>
    <w:rsid w:val="002B1966"/>
    <w:rsid w:val="002B4508"/>
    <w:rsid w:val="002B5002"/>
    <w:rsid w:val="002B5779"/>
    <w:rsid w:val="002B6E30"/>
    <w:rsid w:val="002B7332"/>
    <w:rsid w:val="002B7F51"/>
    <w:rsid w:val="002C09E7"/>
    <w:rsid w:val="002C1E06"/>
    <w:rsid w:val="002C3F07"/>
    <w:rsid w:val="002C5278"/>
    <w:rsid w:val="002C7EBB"/>
    <w:rsid w:val="002D06C1"/>
    <w:rsid w:val="002D093E"/>
    <w:rsid w:val="002D42B5"/>
    <w:rsid w:val="002D4F1A"/>
    <w:rsid w:val="002D6EC6"/>
    <w:rsid w:val="002D79AC"/>
    <w:rsid w:val="002E039D"/>
    <w:rsid w:val="002E064C"/>
    <w:rsid w:val="002E4D5A"/>
    <w:rsid w:val="002E6326"/>
    <w:rsid w:val="002F29B7"/>
    <w:rsid w:val="002F30E0"/>
    <w:rsid w:val="002F35E4"/>
    <w:rsid w:val="002F3730"/>
    <w:rsid w:val="002F38E1"/>
    <w:rsid w:val="002F7AF6"/>
    <w:rsid w:val="00300E63"/>
    <w:rsid w:val="00302F5F"/>
    <w:rsid w:val="0030441D"/>
    <w:rsid w:val="00306063"/>
    <w:rsid w:val="00306B40"/>
    <w:rsid w:val="00307CBB"/>
    <w:rsid w:val="00313B85"/>
    <w:rsid w:val="00317717"/>
    <w:rsid w:val="00317988"/>
    <w:rsid w:val="003221B4"/>
    <w:rsid w:val="0032258D"/>
    <w:rsid w:val="00322E62"/>
    <w:rsid w:val="00324D13"/>
    <w:rsid w:val="00324EDD"/>
    <w:rsid w:val="00326722"/>
    <w:rsid w:val="003331E4"/>
    <w:rsid w:val="003338B9"/>
    <w:rsid w:val="00336C64"/>
    <w:rsid w:val="00337162"/>
    <w:rsid w:val="0034194F"/>
    <w:rsid w:val="00341D11"/>
    <w:rsid w:val="00342649"/>
    <w:rsid w:val="003443AC"/>
    <w:rsid w:val="00344605"/>
    <w:rsid w:val="00345162"/>
    <w:rsid w:val="003474AA"/>
    <w:rsid w:val="00350D1D"/>
    <w:rsid w:val="00351CB3"/>
    <w:rsid w:val="00352C83"/>
    <w:rsid w:val="00352F1A"/>
    <w:rsid w:val="0036107C"/>
    <w:rsid w:val="003615D2"/>
    <w:rsid w:val="0036429C"/>
    <w:rsid w:val="00364A53"/>
    <w:rsid w:val="003654CB"/>
    <w:rsid w:val="00365AA9"/>
    <w:rsid w:val="00365F86"/>
    <w:rsid w:val="00365F87"/>
    <w:rsid w:val="00365FA7"/>
    <w:rsid w:val="00366E89"/>
    <w:rsid w:val="00366F3A"/>
    <w:rsid w:val="003670EC"/>
    <w:rsid w:val="003705F4"/>
    <w:rsid w:val="00370D58"/>
    <w:rsid w:val="00371316"/>
    <w:rsid w:val="00373140"/>
    <w:rsid w:val="003747A0"/>
    <w:rsid w:val="00376713"/>
    <w:rsid w:val="00380890"/>
    <w:rsid w:val="003816B8"/>
    <w:rsid w:val="00381815"/>
    <w:rsid w:val="003819AF"/>
    <w:rsid w:val="003820E9"/>
    <w:rsid w:val="00382DE7"/>
    <w:rsid w:val="00383353"/>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201A"/>
    <w:rsid w:val="003A3681"/>
    <w:rsid w:val="003A3D9C"/>
    <w:rsid w:val="003A3E64"/>
    <w:rsid w:val="003A4077"/>
    <w:rsid w:val="003A4AA7"/>
    <w:rsid w:val="003B09AD"/>
    <w:rsid w:val="003B1F18"/>
    <w:rsid w:val="003B5BF0"/>
    <w:rsid w:val="003B60BF"/>
    <w:rsid w:val="003B6BE3"/>
    <w:rsid w:val="003C010C"/>
    <w:rsid w:val="003C0A6C"/>
    <w:rsid w:val="003C0BED"/>
    <w:rsid w:val="003C14F8"/>
    <w:rsid w:val="003C53FA"/>
    <w:rsid w:val="003C5A43"/>
    <w:rsid w:val="003C7AF6"/>
    <w:rsid w:val="003D0519"/>
    <w:rsid w:val="003D0FF6"/>
    <w:rsid w:val="003D262C"/>
    <w:rsid w:val="003D3110"/>
    <w:rsid w:val="003D35C9"/>
    <w:rsid w:val="003D6D61"/>
    <w:rsid w:val="003E091D"/>
    <w:rsid w:val="003E1C53"/>
    <w:rsid w:val="003E2A69"/>
    <w:rsid w:val="003E2D49"/>
    <w:rsid w:val="003E2FD4"/>
    <w:rsid w:val="003E49F6"/>
    <w:rsid w:val="003E660F"/>
    <w:rsid w:val="003F0841"/>
    <w:rsid w:val="003F1E41"/>
    <w:rsid w:val="003F23D3"/>
    <w:rsid w:val="003F336F"/>
    <w:rsid w:val="003F3F08"/>
    <w:rsid w:val="003F44AF"/>
    <w:rsid w:val="003F49F1"/>
    <w:rsid w:val="003F6272"/>
    <w:rsid w:val="00400101"/>
    <w:rsid w:val="00400E72"/>
    <w:rsid w:val="00401400"/>
    <w:rsid w:val="00404869"/>
    <w:rsid w:val="00405884"/>
    <w:rsid w:val="00405CC8"/>
    <w:rsid w:val="0040789C"/>
    <w:rsid w:val="00407D39"/>
    <w:rsid w:val="00413441"/>
    <w:rsid w:val="0041477A"/>
    <w:rsid w:val="004167A3"/>
    <w:rsid w:val="00422E3B"/>
    <w:rsid w:val="00423EF1"/>
    <w:rsid w:val="0043080E"/>
    <w:rsid w:val="00432DAA"/>
    <w:rsid w:val="00434305"/>
    <w:rsid w:val="00435DF7"/>
    <w:rsid w:val="0044083F"/>
    <w:rsid w:val="00441AE7"/>
    <w:rsid w:val="00441B1A"/>
    <w:rsid w:val="004430AB"/>
    <w:rsid w:val="00445574"/>
    <w:rsid w:val="00445B36"/>
    <w:rsid w:val="0044638D"/>
    <w:rsid w:val="004467FB"/>
    <w:rsid w:val="00452AE4"/>
    <w:rsid w:val="00452D6B"/>
    <w:rsid w:val="00454484"/>
    <w:rsid w:val="0045517B"/>
    <w:rsid w:val="00456AA9"/>
    <w:rsid w:val="0046062B"/>
    <w:rsid w:val="0046241D"/>
    <w:rsid w:val="00463B77"/>
    <w:rsid w:val="00463C7B"/>
    <w:rsid w:val="004644A6"/>
    <w:rsid w:val="00465694"/>
    <w:rsid w:val="004659BD"/>
    <w:rsid w:val="00470775"/>
    <w:rsid w:val="00470F2D"/>
    <w:rsid w:val="004736C8"/>
    <w:rsid w:val="004746B1"/>
    <w:rsid w:val="0047583F"/>
    <w:rsid w:val="00475DE8"/>
    <w:rsid w:val="00481C44"/>
    <w:rsid w:val="00482CEC"/>
    <w:rsid w:val="00484936"/>
    <w:rsid w:val="00485C89"/>
    <w:rsid w:val="00486BE3"/>
    <w:rsid w:val="00487836"/>
    <w:rsid w:val="004905E4"/>
    <w:rsid w:val="00490A89"/>
    <w:rsid w:val="00490AB4"/>
    <w:rsid w:val="00492F02"/>
    <w:rsid w:val="00493538"/>
    <w:rsid w:val="004939AE"/>
    <w:rsid w:val="004A118B"/>
    <w:rsid w:val="004A12DF"/>
    <w:rsid w:val="004A1BA8"/>
    <w:rsid w:val="004A4B57"/>
    <w:rsid w:val="004A63FA"/>
    <w:rsid w:val="004A6A3D"/>
    <w:rsid w:val="004B0272"/>
    <w:rsid w:val="004B1D47"/>
    <w:rsid w:val="004B2701"/>
    <w:rsid w:val="004B2E1B"/>
    <w:rsid w:val="004B3AA8"/>
    <w:rsid w:val="004B3E93"/>
    <w:rsid w:val="004B5059"/>
    <w:rsid w:val="004B7E19"/>
    <w:rsid w:val="004C1FBC"/>
    <w:rsid w:val="004C25A2"/>
    <w:rsid w:val="004C3F1D"/>
    <w:rsid w:val="004C458D"/>
    <w:rsid w:val="004C7556"/>
    <w:rsid w:val="004C7C9D"/>
    <w:rsid w:val="004C7E8B"/>
    <w:rsid w:val="004C7E9D"/>
    <w:rsid w:val="004C7F67"/>
    <w:rsid w:val="004D076D"/>
    <w:rsid w:val="004D0EF1"/>
    <w:rsid w:val="004D2253"/>
    <w:rsid w:val="004D2BD5"/>
    <w:rsid w:val="004D4406"/>
    <w:rsid w:val="004D5EED"/>
    <w:rsid w:val="004D7C42"/>
    <w:rsid w:val="004E0465"/>
    <w:rsid w:val="004E127B"/>
    <w:rsid w:val="004E133B"/>
    <w:rsid w:val="004E1992"/>
    <w:rsid w:val="004E1C0A"/>
    <w:rsid w:val="004E26C3"/>
    <w:rsid w:val="004E30C5"/>
    <w:rsid w:val="004E4AA5"/>
    <w:rsid w:val="004E4AEE"/>
    <w:rsid w:val="004E59E3"/>
    <w:rsid w:val="004E67C0"/>
    <w:rsid w:val="004E6ED4"/>
    <w:rsid w:val="004F09F0"/>
    <w:rsid w:val="004F0A99"/>
    <w:rsid w:val="004F391A"/>
    <w:rsid w:val="004F3CFB"/>
    <w:rsid w:val="004F43C4"/>
    <w:rsid w:val="004F4887"/>
    <w:rsid w:val="004F5345"/>
    <w:rsid w:val="004F6456"/>
    <w:rsid w:val="004F696E"/>
    <w:rsid w:val="004F6C3F"/>
    <w:rsid w:val="004F6C71"/>
    <w:rsid w:val="004F76F5"/>
    <w:rsid w:val="00501139"/>
    <w:rsid w:val="0050211E"/>
    <w:rsid w:val="0050363E"/>
    <w:rsid w:val="005039BC"/>
    <w:rsid w:val="005043BB"/>
    <w:rsid w:val="00504A3D"/>
    <w:rsid w:val="00505767"/>
    <w:rsid w:val="005073F0"/>
    <w:rsid w:val="00507E07"/>
    <w:rsid w:val="00510A7B"/>
    <w:rsid w:val="0051206D"/>
    <w:rsid w:val="00512F6E"/>
    <w:rsid w:val="00513038"/>
    <w:rsid w:val="00514174"/>
    <w:rsid w:val="0051479F"/>
    <w:rsid w:val="00516088"/>
    <w:rsid w:val="00516B0B"/>
    <w:rsid w:val="005174FA"/>
    <w:rsid w:val="00517A1A"/>
    <w:rsid w:val="005220EC"/>
    <w:rsid w:val="00523F95"/>
    <w:rsid w:val="00524D65"/>
    <w:rsid w:val="00525B16"/>
    <w:rsid w:val="005304B2"/>
    <w:rsid w:val="00533097"/>
    <w:rsid w:val="00533D04"/>
    <w:rsid w:val="00534804"/>
    <w:rsid w:val="00534A94"/>
    <w:rsid w:val="00534BDF"/>
    <w:rsid w:val="005354EA"/>
    <w:rsid w:val="0053585F"/>
    <w:rsid w:val="00535EC4"/>
    <w:rsid w:val="00535ED9"/>
    <w:rsid w:val="0053692B"/>
    <w:rsid w:val="00540492"/>
    <w:rsid w:val="00540DD0"/>
    <w:rsid w:val="00541853"/>
    <w:rsid w:val="00543BDA"/>
    <w:rsid w:val="005441CC"/>
    <w:rsid w:val="0054694D"/>
    <w:rsid w:val="00547307"/>
    <w:rsid w:val="005479DA"/>
    <w:rsid w:val="00547BCC"/>
    <w:rsid w:val="0055013B"/>
    <w:rsid w:val="00551F6F"/>
    <w:rsid w:val="00555044"/>
    <w:rsid w:val="005558BD"/>
    <w:rsid w:val="00556477"/>
    <w:rsid w:val="00561475"/>
    <w:rsid w:val="00562308"/>
    <w:rsid w:val="0056278E"/>
    <w:rsid w:val="0056487B"/>
    <w:rsid w:val="00564FB9"/>
    <w:rsid w:val="005737CC"/>
    <w:rsid w:val="00573D9E"/>
    <w:rsid w:val="005801E3"/>
    <w:rsid w:val="00581802"/>
    <w:rsid w:val="005822AB"/>
    <w:rsid w:val="005836A8"/>
    <w:rsid w:val="00583A9A"/>
    <w:rsid w:val="0058409C"/>
    <w:rsid w:val="005840D5"/>
    <w:rsid w:val="00584262"/>
    <w:rsid w:val="00586630"/>
    <w:rsid w:val="00587ADD"/>
    <w:rsid w:val="00592C59"/>
    <w:rsid w:val="00593A49"/>
    <w:rsid w:val="00596160"/>
    <w:rsid w:val="005962E1"/>
    <w:rsid w:val="005966E2"/>
    <w:rsid w:val="00597007"/>
    <w:rsid w:val="0059727A"/>
    <w:rsid w:val="005A0966"/>
    <w:rsid w:val="005A11B7"/>
    <w:rsid w:val="005A1960"/>
    <w:rsid w:val="005A260B"/>
    <w:rsid w:val="005A347B"/>
    <w:rsid w:val="005A4A1B"/>
    <w:rsid w:val="005A7830"/>
    <w:rsid w:val="005A7FCE"/>
    <w:rsid w:val="005B0F3F"/>
    <w:rsid w:val="005B191C"/>
    <w:rsid w:val="005B4903"/>
    <w:rsid w:val="005B51CE"/>
    <w:rsid w:val="005B5885"/>
    <w:rsid w:val="005B5CD7"/>
    <w:rsid w:val="005B6CF6"/>
    <w:rsid w:val="005B7422"/>
    <w:rsid w:val="005C0647"/>
    <w:rsid w:val="005C0EB2"/>
    <w:rsid w:val="005C29B8"/>
    <w:rsid w:val="005C2CDF"/>
    <w:rsid w:val="005C5F21"/>
    <w:rsid w:val="005C7156"/>
    <w:rsid w:val="005D076E"/>
    <w:rsid w:val="005D0C75"/>
    <w:rsid w:val="005D4171"/>
    <w:rsid w:val="005D5660"/>
    <w:rsid w:val="005D6A95"/>
    <w:rsid w:val="005D6B2C"/>
    <w:rsid w:val="005D6D9C"/>
    <w:rsid w:val="005E2335"/>
    <w:rsid w:val="005E34CA"/>
    <w:rsid w:val="005E3C18"/>
    <w:rsid w:val="005E4250"/>
    <w:rsid w:val="005E6812"/>
    <w:rsid w:val="005E7881"/>
    <w:rsid w:val="005E78E0"/>
    <w:rsid w:val="005F0D9C"/>
    <w:rsid w:val="005F284E"/>
    <w:rsid w:val="005F33AF"/>
    <w:rsid w:val="005F3C24"/>
    <w:rsid w:val="006015CE"/>
    <w:rsid w:val="00604784"/>
    <w:rsid w:val="00606419"/>
    <w:rsid w:val="00607D29"/>
    <w:rsid w:val="00611FD9"/>
    <w:rsid w:val="00612952"/>
    <w:rsid w:val="00614CC1"/>
    <w:rsid w:val="00615A9D"/>
    <w:rsid w:val="00617387"/>
    <w:rsid w:val="00617499"/>
    <w:rsid w:val="006205D6"/>
    <w:rsid w:val="006252D8"/>
    <w:rsid w:val="006259BC"/>
    <w:rsid w:val="0062636B"/>
    <w:rsid w:val="00632182"/>
    <w:rsid w:val="00632AE0"/>
    <w:rsid w:val="00633C17"/>
    <w:rsid w:val="00634D9E"/>
    <w:rsid w:val="006369EE"/>
    <w:rsid w:val="00636E3E"/>
    <w:rsid w:val="006379F7"/>
    <w:rsid w:val="00637BF8"/>
    <w:rsid w:val="00637E4D"/>
    <w:rsid w:val="00640620"/>
    <w:rsid w:val="00641A1F"/>
    <w:rsid w:val="00645904"/>
    <w:rsid w:val="00645CAD"/>
    <w:rsid w:val="00646D3D"/>
    <w:rsid w:val="00651ACB"/>
    <w:rsid w:val="00651C47"/>
    <w:rsid w:val="00652AB2"/>
    <w:rsid w:val="00653FED"/>
    <w:rsid w:val="00654292"/>
    <w:rsid w:val="00654EC0"/>
    <w:rsid w:val="0065525B"/>
    <w:rsid w:val="006552A2"/>
    <w:rsid w:val="00655D4F"/>
    <w:rsid w:val="00656D29"/>
    <w:rsid w:val="00657245"/>
    <w:rsid w:val="00660ECF"/>
    <w:rsid w:val="006640E5"/>
    <w:rsid w:val="006646F1"/>
    <w:rsid w:val="00664929"/>
    <w:rsid w:val="00664F62"/>
    <w:rsid w:val="006655E1"/>
    <w:rsid w:val="00672060"/>
    <w:rsid w:val="00672BFD"/>
    <w:rsid w:val="006735F9"/>
    <w:rsid w:val="00673868"/>
    <w:rsid w:val="006770F4"/>
    <w:rsid w:val="00677A84"/>
    <w:rsid w:val="00677FD0"/>
    <w:rsid w:val="0068026D"/>
    <w:rsid w:val="00680A27"/>
    <w:rsid w:val="006816A4"/>
    <w:rsid w:val="006819B8"/>
    <w:rsid w:val="006840A6"/>
    <w:rsid w:val="006850CD"/>
    <w:rsid w:val="00685115"/>
    <w:rsid w:val="00685AAB"/>
    <w:rsid w:val="006873EF"/>
    <w:rsid w:val="00687EC8"/>
    <w:rsid w:val="006909B5"/>
    <w:rsid w:val="00691564"/>
    <w:rsid w:val="00692C7E"/>
    <w:rsid w:val="00693DB1"/>
    <w:rsid w:val="00694EAA"/>
    <w:rsid w:val="006966E6"/>
    <w:rsid w:val="00696B87"/>
    <w:rsid w:val="006A07AA"/>
    <w:rsid w:val="006A0DDB"/>
    <w:rsid w:val="006A25E5"/>
    <w:rsid w:val="006A2B46"/>
    <w:rsid w:val="006A336D"/>
    <w:rsid w:val="006A37B9"/>
    <w:rsid w:val="006B103D"/>
    <w:rsid w:val="006B2672"/>
    <w:rsid w:val="006B3EDE"/>
    <w:rsid w:val="006B400D"/>
    <w:rsid w:val="006B54BF"/>
    <w:rsid w:val="006B5F44"/>
    <w:rsid w:val="006B5F90"/>
    <w:rsid w:val="006B62E4"/>
    <w:rsid w:val="006C1BBA"/>
    <w:rsid w:val="006C2079"/>
    <w:rsid w:val="006C5A62"/>
    <w:rsid w:val="006C5BF5"/>
    <w:rsid w:val="006C5D68"/>
    <w:rsid w:val="006C61C8"/>
    <w:rsid w:val="006C6976"/>
    <w:rsid w:val="006C6DD0"/>
    <w:rsid w:val="006D04EA"/>
    <w:rsid w:val="006D16C4"/>
    <w:rsid w:val="006D3C3E"/>
    <w:rsid w:val="006D3E96"/>
    <w:rsid w:val="006D4515"/>
    <w:rsid w:val="006D4BB1"/>
    <w:rsid w:val="006D6593"/>
    <w:rsid w:val="006D7841"/>
    <w:rsid w:val="006E264D"/>
    <w:rsid w:val="006E33AD"/>
    <w:rsid w:val="006E640E"/>
    <w:rsid w:val="006F03A8"/>
    <w:rsid w:val="006F0978"/>
    <w:rsid w:val="006F1F26"/>
    <w:rsid w:val="006F2ACA"/>
    <w:rsid w:val="006F2ADC"/>
    <w:rsid w:val="006F2BFE"/>
    <w:rsid w:val="006F31E9"/>
    <w:rsid w:val="006F40C3"/>
    <w:rsid w:val="006F43D2"/>
    <w:rsid w:val="006F47B3"/>
    <w:rsid w:val="006F6284"/>
    <w:rsid w:val="007002C5"/>
    <w:rsid w:val="00704387"/>
    <w:rsid w:val="007071CA"/>
    <w:rsid w:val="00707669"/>
    <w:rsid w:val="0071041E"/>
    <w:rsid w:val="00711839"/>
    <w:rsid w:val="00711CBA"/>
    <w:rsid w:val="00711FB5"/>
    <w:rsid w:val="00712A01"/>
    <w:rsid w:val="00713842"/>
    <w:rsid w:val="00714F58"/>
    <w:rsid w:val="00717A8E"/>
    <w:rsid w:val="00722FBF"/>
    <w:rsid w:val="00722FC2"/>
    <w:rsid w:val="00724E1B"/>
    <w:rsid w:val="00725949"/>
    <w:rsid w:val="00727FA2"/>
    <w:rsid w:val="0073106C"/>
    <w:rsid w:val="007322D9"/>
    <w:rsid w:val="00732BC0"/>
    <w:rsid w:val="00732E87"/>
    <w:rsid w:val="00735475"/>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4D11"/>
    <w:rsid w:val="00755402"/>
    <w:rsid w:val="007560F0"/>
    <w:rsid w:val="00756B26"/>
    <w:rsid w:val="00756EDF"/>
    <w:rsid w:val="007600E3"/>
    <w:rsid w:val="00760EF4"/>
    <w:rsid w:val="007621F7"/>
    <w:rsid w:val="00763BD8"/>
    <w:rsid w:val="00764574"/>
    <w:rsid w:val="00765C43"/>
    <w:rsid w:val="00765EFB"/>
    <w:rsid w:val="007671CA"/>
    <w:rsid w:val="00767C61"/>
    <w:rsid w:val="0077008A"/>
    <w:rsid w:val="00773C1F"/>
    <w:rsid w:val="00774DA4"/>
    <w:rsid w:val="007755D8"/>
    <w:rsid w:val="00776599"/>
    <w:rsid w:val="007778D0"/>
    <w:rsid w:val="0078114B"/>
    <w:rsid w:val="00781DD2"/>
    <w:rsid w:val="00783ECF"/>
    <w:rsid w:val="0078413A"/>
    <w:rsid w:val="00785BF6"/>
    <w:rsid w:val="007959E8"/>
    <w:rsid w:val="00795E9C"/>
    <w:rsid w:val="00796127"/>
    <w:rsid w:val="007961E0"/>
    <w:rsid w:val="007A0521"/>
    <w:rsid w:val="007A2E12"/>
    <w:rsid w:val="007A3475"/>
    <w:rsid w:val="007A41C8"/>
    <w:rsid w:val="007A46A8"/>
    <w:rsid w:val="007A54CE"/>
    <w:rsid w:val="007A6FD9"/>
    <w:rsid w:val="007A7FFA"/>
    <w:rsid w:val="007B04EB"/>
    <w:rsid w:val="007B0D4F"/>
    <w:rsid w:val="007B1961"/>
    <w:rsid w:val="007B3D43"/>
    <w:rsid w:val="007B4785"/>
    <w:rsid w:val="007B5A3D"/>
    <w:rsid w:val="007B5B95"/>
    <w:rsid w:val="007B5C56"/>
    <w:rsid w:val="007B6032"/>
    <w:rsid w:val="007B68EA"/>
    <w:rsid w:val="007B7453"/>
    <w:rsid w:val="007C2D89"/>
    <w:rsid w:val="007C4593"/>
    <w:rsid w:val="007C5309"/>
    <w:rsid w:val="007C6069"/>
    <w:rsid w:val="007D06C4"/>
    <w:rsid w:val="007D1352"/>
    <w:rsid w:val="007D219E"/>
    <w:rsid w:val="007D2508"/>
    <w:rsid w:val="007D2AA2"/>
    <w:rsid w:val="007D346A"/>
    <w:rsid w:val="007D39CB"/>
    <w:rsid w:val="007D42D2"/>
    <w:rsid w:val="007D6518"/>
    <w:rsid w:val="007D76BD"/>
    <w:rsid w:val="007E0BF1"/>
    <w:rsid w:val="007E16F6"/>
    <w:rsid w:val="007E6972"/>
    <w:rsid w:val="007F05C3"/>
    <w:rsid w:val="007F0ED8"/>
    <w:rsid w:val="007F0F63"/>
    <w:rsid w:val="007F16B5"/>
    <w:rsid w:val="007F34F7"/>
    <w:rsid w:val="007F417E"/>
    <w:rsid w:val="007F75CE"/>
    <w:rsid w:val="008013A4"/>
    <w:rsid w:val="008027CE"/>
    <w:rsid w:val="00802F42"/>
    <w:rsid w:val="00804383"/>
    <w:rsid w:val="008045E7"/>
    <w:rsid w:val="00804BB7"/>
    <w:rsid w:val="00804D41"/>
    <w:rsid w:val="00806A87"/>
    <w:rsid w:val="0080716C"/>
    <w:rsid w:val="00810257"/>
    <w:rsid w:val="008104F5"/>
    <w:rsid w:val="00811072"/>
    <w:rsid w:val="00811369"/>
    <w:rsid w:val="008139CE"/>
    <w:rsid w:val="00815419"/>
    <w:rsid w:val="008163C8"/>
    <w:rsid w:val="00816452"/>
    <w:rsid w:val="008164A1"/>
    <w:rsid w:val="00817325"/>
    <w:rsid w:val="00817353"/>
    <w:rsid w:val="008209E6"/>
    <w:rsid w:val="00823303"/>
    <w:rsid w:val="008233B2"/>
    <w:rsid w:val="00823A9F"/>
    <w:rsid w:val="00823C85"/>
    <w:rsid w:val="00825138"/>
    <w:rsid w:val="00826173"/>
    <w:rsid w:val="008269DD"/>
    <w:rsid w:val="00827AD2"/>
    <w:rsid w:val="00830621"/>
    <w:rsid w:val="0083348C"/>
    <w:rsid w:val="00834692"/>
    <w:rsid w:val="008354CF"/>
    <w:rsid w:val="00835B9A"/>
    <w:rsid w:val="008373D3"/>
    <w:rsid w:val="00840617"/>
    <w:rsid w:val="00840F84"/>
    <w:rsid w:val="00842903"/>
    <w:rsid w:val="00842A47"/>
    <w:rsid w:val="0084341A"/>
    <w:rsid w:val="00843C13"/>
    <w:rsid w:val="008454F8"/>
    <w:rsid w:val="00845E27"/>
    <w:rsid w:val="00846636"/>
    <w:rsid w:val="0085173A"/>
    <w:rsid w:val="00851F4E"/>
    <w:rsid w:val="0085405F"/>
    <w:rsid w:val="008563AD"/>
    <w:rsid w:val="008603CE"/>
    <w:rsid w:val="008620FC"/>
    <w:rsid w:val="0086213F"/>
    <w:rsid w:val="008627A5"/>
    <w:rsid w:val="00863E05"/>
    <w:rsid w:val="008652F7"/>
    <w:rsid w:val="00865ACA"/>
    <w:rsid w:val="00865D28"/>
    <w:rsid w:val="00865F85"/>
    <w:rsid w:val="008666AA"/>
    <w:rsid w:val="00867C10"/>
    <w:rsid w:val="00870439"/>
    <w:rsid w:val="008707EA"/>
    <w:rsid w:val="00870DA1"/>
    <w:rsid w:val="00875486"/>
    <w:rsid w:val="008754C9"/>
    <w:rsid w:val="00883AAB"/>
    <w:rsid w:val="00883F93"/>
    <w:rsid w:val="00884DB3"/>
    <w:rsid w:val="00885A9D"/>
    <w:rsid w:val="00885CA5"/>
    <w:rsid w:val="00885F95"/>
    <w:rsid w:val="008864F6"/>
    <w:rsid w:val="00886F8E"/>
    <w:rsid w:val="0089049D"/>
    <w:rsid w:val="008928C9"/>
    <w:rsid w:val="008930CB"/>
    <w:rsid w:val="008938DC"/>
    <w:rsid w:val="00893FD1"/>
    <w:rsid w:val="00894836"/>
    <w:rsid w:val="00894FCF"/>
    <w:rsid w:val="00895172"/>
    <w:rsid w:val="00895680"/>
    <w:rsid w:val="00896DFF"/>
    <w:rsid w:val="0089762C"/>
    <w:rsid w:val="008A1315"/>
    <w:rsid w:val="008A173B"/>
    <w:rsid w:val="008A1893"/>
    <w:rsid w:val="008A3FAB"/>
    <w:rsid w:val="008A57E6"/>
    <w:rsid w:val="008A67A5"/>
    <w:rsid w:val="008A6F81"/>
    <w:rsid w:val="008A769A"/>
    <w:rsid w:val="008B01DD"/>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4808"/>
    <w:rsid w:val="008D53AD"/>
    <w:rsid w:val="008D562B"/>
    <w:rsid w:val="008D5733"/>
    <w:rsid w:val="008D622B"/>
    <w:rsid w:val="008D666C"/>
    <w:rsid w:val="008D6F18"/>
    <w:rsid w:val="008D7B54"/>
    <w:rsid w:val="008E0C9D"/>
    <w:rsid w:val="008E1648"/>
    <w:rsid w:val="008E1B3E"/>
    <w:rsid w:val="008E2319"/>
    <w:rsid w:val="008E4BB6"/>
    <w:rsid w:val="008E540B"/>
    <w:rsid w:val="008E5518"/>
    <w:rsid w:val="008E6A84"/>
    <w:rsid w:val="008F0CDC"/>
    <w:rsid w:val="008F17A3"/>
    <w:rsid w:val="008F1ED3"/>
    <w:rsid w:val="008F2DEA"/>
    <w:rsid w:val="008F35DB"/>
    <w:rsid w:val="008F4C29"/>
    <w:rsid w:val="008F6B41"/>
    <w:rsid w:val="008F70BD"/>
    <w:rsid w:val="008F788F"/>
    <w:rsid w:val="008F7EA2"/>
    <w:rsid w:val="00902722"/>
    <w:rsid w:val="009027BC"/>
    <w:rsid w:val="009062E6"/>
    <w:rsid w:val="009077E5"/>
    <w:rsid w:val="009112AD"/>
    <w:rsid w:val="00911BE5"/>
    <w:rsid w:val="00912A95"/>
    <w:rsid w:val="00913CA9"/>
    <w:rsid w:val="009145AE"/>
    <w:rsid w:val="009146CE"/>
    <w:rsid w:val="00914CA7"/>
    <w:rsid w:val="00915C3E"/>
    <w:rsid w:val="009161A8"/>
    <w:rsid w:val="0092032F"/>
    <w:rsid w:val="00923A47"/>
    <w:rsid w:val="009245AE"/>
    <w:rsid w:val="009245F5"/>
    <w:rsid w:val="009249EC"/>
    <w:rsid w:val="009273B3"/>
    <w:rsid w:val="00927992"/>
    <w:rsid w:val="009305B5"/>
    <w:rsid w:val="009378DD"/>
    <w:rsid w:val="009419E8"/>
    <w:rsid w:val="009429D5"/>
    <w:rsid w:val="00942BF1"/>
    <w:rsid w:val="00945180"/>
    <w:rsid w:val="00945428"/>
    <w:rsid w:val="00945675"/>
    <w:rsid w:val="0094607B"/>
    <w:rsid w:val="00953604"/>
    <w:rsid w:val="0095496B"/>
    <w:rsid w:val="00957636"/>
    <w:rsid w:val="00960F1E"/>
    <w:rsid w:val="009610DC"/>
    <w:rsid w:val="00961490"/>
    <w:rsid w:val="009624B7"/>
    <w:rsid w:val="0096381A"/>
    <w:rsid w:val="00965E04"/>
    <w:rsid w:val="009664F0"/>
    <w:rsid w:val="00966BCD"/>
    <w:rsid w:val="009674AD"/>
    <w:rsid w:val="00970CDC"/>
    <w:rsid w:val="009736FC"/>
    <w:rsid w:val="00975727"/>
    <w:rsid w:val="00975A46"/>
    <w:rsid w:val="00977010"/>
    <w:rsid w:val="00977D02"/>
    <w:rsid w:val="00977FF9"/>
    <w:rsid w:val="009809BB"/>
    <w:rsid w:val="0098364B"/>
    <w:rsid w:val="009849A7"/>
    <w:rsid w:val="009908A3"/>
    <w:rsid w:val="009911AF"/>
    <w:rsid w:val="00991538"/>
    <w:rsid w:val="00991875"/>
    <w:rsid w:val="00991F92"/>
    <w:rsid w:val="00991FBA"/>
    <w:rsid w:val="00992985"/>
    <w:rsid w:val="00993889"/>
    <w:rsid w:val="0099551B"/>
    <w:rsid w:val="00996BD2"/>
    <w:rsid w:val="00996CF8"/>
    <w:rsid w:val="00997BF1"/>
    <w:rsid w:val="009A089C"/>
    <w:rsid w:val="009A118E"/>
    <w:rsid w:val="009A12FA"/>
    <w:rsid w:val="009A21CD"/>
    <w:rsid w:val="009A278C"/>
    <w:rsid w:val="009A2BC2"/>
    <w:rsid w:val="009A42C1"/>
    <w:rsid w:val="009A5429"/>
    <w:rsid w:val="009A72AD"/>
    <w:rsid w:val="009B09E0"/>
    <w:rsid w:val="009B0BC5"/>
    <w:rsid w:val="009B1247"/>
    <w:rsid w:val="009B6029"/>
    <w:rsid w:val="009B6971"/>
    <w:rsid w:val="009C0370"/>
    <w:rsid w:val="009C27F1"/>
    <w:rsid w:val="009C2C41"/>
    <w:rsid w:val="009C2F41"/>
    <w:rsid w:val="009C3152"/>
    <w:rsid w:val="009C3257"/>
    <w:rsid w:val="009C4CFA"/>
    <w:rsid w:val="009C5070"/>
    <w:rsid w:val="009C5A9D"/>
    <w:rsid w:val="009C5E24"/>
    <w:rsid w:val="009C64D7"/>
    <w:rsid w:val="009C7724"/>
    <w:rsid w:val="009D112C"/>
    <w:rsid w:val="009D1385"/>
    <w:rsid w:val="009D47FA"/>
    <w:rsid w:val="009D4C5B"/>
    <w:rsid w:val="009D50D2"/>
    <w:rsid w:val="009D64A4"/>
    <w:rsid w:val="009D6BCA"/>
    <w:rsid w:val="009E0F62"/>
    <w:rsid w:val="009E4A58"/>
    <w:rsid w:val="009E5844"/>
    <w:rsid w:val="009E5A2D"/>
    <w:rsid w:val="009E5AB2"/>
    <w:rsid w:val="009E6219"/>
    <w:rsid w:val="009F03B3"/>
    <w:rsid w:val="009F16BF"/>
    <w:rsid w:val="009F3728"/>
    <w:rsid w:val="009F42B0"/>
    <w:rsid w:val="00A0096C"/>
    <w:rsid w:val="00A01667"/>
    <w:rsid w:val="00A01757"/>
    <w:rsid w:val="00A028C0"/>
    <w:rsid w:val="00A02BAE"/>
    <w:rsid w:val="00A03BA7"/>
    <w:rsid w:val="00A06A6B"/>
    <w:rsid w:val="00A07E47"/>
    <w:rsid w:val="00A110A1"/>
    <w:rsid w:val="00A129D0"/>
    <w:rsid w:val="00A12C33"/>
    <w:rsid w:val="00A138BA"/>
    <w:rsid w:val="00A14C8E"/>
    <w:rsid w:val="00A153D9"/>
    <w:rsid w:val="00A15F09"/>
    <w:rsid w:val="00A169B6"/>
    <w:rsid w:val="00A21A39"/>
    <w:rsid w:val="00A2262F"/>
    <w:rsid w:val="00A2271D"/>
    <w:rsid w:val="00A237D5"/>
    <w:rsid w:val="00A25009"/>
    <w:rsid w:val="00A25B02"/>
    <w:rsid w:val="00A278BB"/>
    <w:rsid w:val="00A27B20"/>
    <w:rsid w:val="00A30EFC"/>
    <w:rsid w:val="00A31984"/>
    <w:rsid w:val="00A32637"/>
    <w:rsid w:val="00A32D73"/>
    <w:rsid w:val="00A3367B"/>
    <w:rsid w:val="00A3597D"/>
    <w:rsid w:val="00A366E9"/>
    <w:rsid w:val="00A36DD1"/>
    <w:rsid w:val="00A37B29"/>
    <w:rsid w:val="00A4006C"/>
    <w:rsid w:val="00A40091"/>
    <w:rsid w:val="00A4030F"/>
    <w:rsid w:val="00A41C79"/>
    <w:rsid w:val="00A41CB5"/>
    <w:rsid w:val="00A42CDF"/>
    <w:rsid w:val="00A4452E"/>
    <w:rsid w:val="00A4472C"/>
    <w:rsid w:val="00A44E69"/>
    <w:rsid w:val="00A4661E"/>
    <w:rsid w:val="00A50885"/>
    <w:rsid w:val="00A51D2A"/>
    <w:rsid w:val="00A5329B"/>
    <w:rsid w:val="00A54046"/>
    <w:rsid w:val="00A55BD6"/>
    <w:rsid w:val="00A55D50"/>
    <w:rsid w:val="00A56618"/>
    <w:rsid w:val="00A57142"/>
    <w:rsid w:val="00A6098A"/>
    <w:rsid w:val="00A617B6"/>
    <w:rsid w:val="00A641F0"/>
    <w:rsid w:val="00A648CD"/>
    <w:rsid w:val="00A6537A"/>
    <w:rsid w:val="00A67866"/>
    <w:rsid w:val="00A70B07"/>
    <w:rsid w:val="00A71A60"/>
    <w:rsid w:val="00A723F8"/>
    <w:rsid w:val="00A776F3"/>
    <w:rsid w:val="00A77CCB"/>
    <w:rsid w:val="00A807D9"/>
    <w:rsid w:val="00A83D8D"/>
    <w:rsid w:val="00A8446B"/>
    <w:rsid w:val="00A8473F"/>
    <w:rsid w:val="00A84D76"/>
    <w:rsid w:val="00A85997"/>
    <w:rsid w:val="00A862D6"/>
    <w:rsid w:val="00A870A0"/>
    <w:rsid w:val="00A8715E"/>
    <w:rsid w:val="00A87B15"/>
    <w:rsid w:val="00A91678"/>
    <w:rsid w:val="00A91F70"/>
    <w:rsid w:val="00A92713"/>
    <w:rsid w:val="00A9295B"/>
    <w:rsid w:val="00A92E27"/>
    <w:rsid w:val="00A93B09"/>
    <w:rsid w:val="00A952D7"/>
    <w:rsid w:val="00A963F7"/>
    <w:rsid w:val="00A96AD8"/>
    <w:rsid w:val="00AA052C"/>
    <w:rsid w:val="00AA1E45"/>
    <w:rsid w:val="00AA2620"/>
    <w:rsid w:val="00AA3E7A"/>
    <w:rsid w:val="00AA3FAC"/>
    <w:rsid w:val="00AA4286"/>
    <w:rsid w:val="00AA456B"/>
    <w:rsid w:val="00AA57F5"/>
    <w:rsid w:val="00AA672E"/>
    <w:rsid w:val="00AA6EC9"/>
    <w:rsid w:val="00AA7714"/>
    <w:rsid w:val="00AB0028"/>
    <w:rsid w:val="00AB01E8"/>
    <w:rsid w:val="00AB0DDC"/>
    <w:rsid w:val="00AB14C7"/>
    <w:rsid w:val="00AB325C"/>
    <w:rsid w:val="00AB4DB3"/>
    <w:rsid w:val="00AB6309"/>
    <w:rsid w:val="00AB6AD8"/>
    <w:rsid w:val="00AB6C5F"/>
    <w:rsid w:val="00AB7129"/>
    <w:rsid w:val="00AC27A6"/>
    <w:rsid w:val="00AC30F7"/>
    <w:rsid w:val="00AC3A5A"/>
    <w:rsid w:val="00AC4D95"/>
    <w:rsid w:val="00AC5601"/>
    <w:rsid w:val="00AC5DF4"/>
    <w:rsid w:val="00AD0AEF"/>
    <w:rsid w:val="00AD11B7"/>
    <w:rsid w:val="00AD12D2"/>
    <w:rsid w:val="00AD1A94"/>
    <w:rsid w:val="00AD1C05"/>
    <w:rsid w:val="00AD1EDA"/>
    <w:rsid w:val="00AD2E25"/>
    <w:rsid w:val="00AD4126"/>
    <w:rsid w:val="00AD421C"/>
    <w:rsid w:val="00AD4232"/>
    <w:rsid w:val="00AD44FA"/>
    <w:rsid w:val="00AE070A"/>
    <w:rsid w:val="00AE101C"/>
    <w:rsid w:val="00AE1B73"/>
    <w:rsid w:val="00AE2A69"/>
    <w:rsid w:val="00AE37E5"/>
    <w:rsid w:val="00AE3A64"/>
    <w:rsid w:val="00AE5EB4"/>
    <w:rsid w:val="00AF0C18"/>
    <w:rsid w:val="00AF1C99"/>
    <w:rsid w:val="00AF3ED9"/>
    <w:rsid w:val="00AF47C5"/>
    <w:rsid w:val="00AF5398"/>
    <w:rsid w:val="00AF53E8"/>
    <w:rsid w:val="00B00800"/>
    <w:rsid w:val="00B01F1F"/>
    <w:rsid w:val="00B049AF"/>
    <w:rsid w:val="00B07242"/>
    <w:rsid w:val="00B10534"/>
    <w:rsid w:val="00B113DB"/>
    <w:rsid w:val="00B11C94"/>
    <w:rsid w:val="00B11D8A"/>
    <w:rsid w:val="00B12981"/>
    <w:rsid w:val="00B147DD"/>
    <w:rsid w:val="00B14882"/>
    <w:rsid w:val="00B156FD"/>
    <w:rsid w:val="00B16FD1"/>
    <w:rsid w:val="00B204C6"/>
    <w:rsid w:val="00B21F61"/>
    <w:rsid w:val="00B23E3E"/>
    <w:rsid w:val="00B261F1"/>
    <w:rsid w:val="00B265BC"/>
    <w:rsid w:val="00B27D86"/>
    <w:rsid w:val="00B31FB1"/>
    <w:rsid w:val="00B329BD"/>
    <w:rsid w:val="00B33952"/>
    <w:rsid w:val="00B33C5E"/>
    <w:rsid w:val="00B342F4"/>
    <w:rsid w:val="00B34369"/>
    <w:rsid w:val="00B34DC2"/>
    <w:rsid w:val="00B378E5"/>
    <w:rsid w:val="00B42AEF"/>
    <w:rsid w:val="00B4346D"/>
    <w:rsid w:val="00B440F4"/>
    <w:rsid w:val="00B447A5"/>
    <w:rsid w:val="00B4654C"/>
    <w:rsid w:val="00B466AB"/>
    <w:rsid w:val="00B47293"/>
    <w:rsid w:val="00B47391"/>
    <w:rsid w:val="00B50E50"/>
    <w:rsid w:val="00B5148E"/>
    <w:rsid w:val="00B52120"/>
    <w:rsid w:val="00B53C41"/>
    <w:rsid w:val="00B54ABC"/>
    <w:rsid w:val="00B56FBE"/>
    <w:rsid w:val="00B60ACF"/>
    <w:rsid w:val="00B61006"/>
    <w:rsid w:val="00B62B58"/>
    <w:rsid w:val="00B65149"/>
    <w:rsid w:val="00B66567"/>
    <w:rsid w:val="00B66F52"/>
    <w:rsid w:val="00B66FE5"/>
    <w:rsid w:val="00B706A3"/>
    <w:rsid w:val="00B72880"/>
    <w:rsid w:val="00B758BF"/>
    <w:rsid w:val="00B75B30"/>
    <w:rsid w:val="00B773DC"/>
    <w:rsid w:val="00B77EC8"/>
    <w:rsid w:val="00B8018E"/>
    <w:rsid w:val="00B8077C"/>
    <w:rsid w:val="00B827A6"/>
    <w:rsid w:val="00B831CE"/>
    <w:rsid w:val="00B84C1C"/>
    <w:rsid w:val="00B86677"/>
    <w:rsid w:val="00B87131"/>
    <w:rsid w:val="00B872BC"/>
    <w:rsid w:val="00B939B1"/>
    <w:rsid w:val="00B96D40"/>
    <w:rsid w:val="00B970AF"/>
    <w:rsid w:val="00B97386"/>
    <w:rsid w:val="00BA263B"/>
    <w:rsid w:val="00BA42B2"/>
    <w:rsid w:val="00BA58D4"/>
    <w:rsid w:val="00BA5B9E"/>
    <w:rsid w:val="00BA7C9A"/>
    <w:rsid w:val="00BB1A0C"/>
    <w:rsid w:val="00BB5F8F"/>
    <w:rsid w:val="00BB657A"/>
    <w:rsid w:val="00BB6852"/>
    <w:rsid w:val="00BC1A4E"/>
    <w:rsid w:val="00BC46AB"/>
    <w:rsid w:val="00BC5DC7"/>
    <w:rsid w:val="00BC6B8B"/>
    <w:rsid w:val="00BC6F12"/>
    <w:rsid w:val="00BC73D8"/>
    <w:rsid w:val="00BD52D7"/>
    <w:rsid w:val="00BD5AD2"/>
    <w:rsid w:val="00BE0E3A"/>
    <w:rsid w:val="00BE22F3"/>
    <w:rsid w:val="00BE3E42"/>
    <w:rsid w:val="00BE5B52"/>
    <w:rsid w:val="00BE7B8D"/>
    <w:rsid w:val="00BF0993"/>
    <w:rsid w:val="00BF10A9"/>
    <w:rsid w:val="00BF1703"/>
    <w:rsid w:val="00BF231C"/>
    <w:rsid w:val="00BF51E5"/>
    <w:rsid w:val="00BF74A6"/>
    <w:rsid w:val="00C00DE9"/>
    <w:rsid w:val="00C013AD"/>
    <w:rsid w:val="00C0186C"/>
    <w:rsid w:val="00C041B5"/>
    <w:rsid w:val="00C04904"/>
    <w:rsid w:val="00C056B3"/>
    <w:rsid w:val="00C103E5"/>
    <w:rsid w:val="00C121C9"/>
    <w:rsid w:val="00C12348"/>
    <w:rsid w:val="00C13319"/>
    <w:rsid w:val="00C13EE9"/>
    <w:rsid w:val="00C15CB9"/>
    <w:rsid w:val="00C16542"/>
    <w:rsid w:val="00C17B4B"/>
    <w:rsid w:val="00C21540"/>
    <w:rsid w:val="00C21906"/>
    <w:rsid w:val="00C21BFA"/>
    <w:rsid w:val="00C24C8D"/>
    <w:rsid w:val="00C25FE2"/>
    <w:rsid w:val="00C260B1"/>
    <w:rsid w:val="00C26B53"/>
    <w:rsid w:val="00C279B2"/>
    <w:rsid w:val="00C27B99"/>
    <w:rsid w:val="00C31E02"/>
    <w:rsid w:val="00C33E50"/>
    <w:rsid w:val="00C34C20"/>
    <w:rsid w:val="00C35A3E"/>
    <w:rsid w:val="00C42130"/>
    <w:rsid w:val="00C423A4"/>
    <w:rsid w:val="00C423E3"/>
    <w:rsid w:val="00C434DB"/>
    <w:rsid w:val="00C44BF5"/>
    <w:rsid w:val="00C46029"/>
    <w:rsid w:val="00C477C9"/>
    <w:rsid w:val="00C521D6"/>
    <w:rsid w:val="00C529C2"/>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87E3E"/>
    <w:rsid w:val="00C905FC"/>
    <w:rsid w:val="00C91433"/>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4991"/>
    <w:rsid w:val="00CB49F7"/>
    <w:rsid w:val="00CB517D"/>
    <w:rsid w:val="00CB583A"/>
    <w:rsid w:val="00CC038D"/>
    <w:rsid w:val="00CC08DB"/>
    <w:rsid w:val="00CC39FF"/>
    <w:rsid w:val="00CC3C2F"/>
    <w:rsid w:val="00CC4AC8"/>
    <w:rsid w:val="00CC5233"/>
    <w:rsid w:val="00CC5DE6"/>
    <w:rsid w:val="00CC6E4E"/>
    <w:rsid w:val="00CC6FE8"/>
    <w:rsid w:val="00CC7202"/>
    <w:rsid w:val="00CD1F58"/>
    <w:rsid w:val="00CD2808"/>
    <w:rsid w:val="00CD28BF"/>
    <w:rsid w:val="00CD3C75"/>
    <w:rsid w:val="00CD4092"/>
    <w:rsid w:val="00CD4A20"/>
    <w:rsid w:val="00CD50A1"/>
    <w:rsid w:val="00CD519E"/>
    <w:rsid w:val="00CE0C4F"/>
    <w:rsid w:val="00CE18DD"/>
    <w:rsid w:val="00CE30EA"/>
    <w:rsid w:val="00CE3E3F"/>
    <w:rsid w:val="00CF048A"/>
    <w:rsid w:val="00CF155A"/>
    <w:rsid w:val="00CF2947"/>
    <w:rsid w:val="00CF686F"/>
    <w:rsid w:val="00CF6E60"/>
    <w:rsid w:val="00CF7BCA"/>
    <w:rsid w:val="00D00259"/>
    <w:rsid w:val="00D008FD"/>
    <w:rsid w:val="00D0321C"/>
    <w:rsid w:val="00D035EC"/>
    <w:rsid w:val="00D05DFB"/>
    <w:rsid w:val="00D06AB1"/>
    <w:rsid w:val="00D06FC1"/>
    <w:rsid w:val="00D072C2"/>
    <w:rsid w:val="00D072ED"/>
    <w:rsid w:val="00D07A16"/>
    <w:rsid w:val="00D1067E"/>
    <w:rsid w:val="00D10F50"/>
    <w:rsid w:val="00D11272"/>
    <w:rsid w:val="00D126F5"/>
    <w:rsid w:val="00D1489E"/>
    <w:rsid w:val="00D1721A"/>
    <w:rsid w:val="00D20737"/>
    <w:rsid w:val="00D21CEC"/>
    <w:rsid w:val="00D21E81"/>
    <w:rsid w:val="00D223DE"/>
    <w:rsid w:val="00D25E37"/>
    <w:rsid w:val="00D2661A"/>
    <w:rsid w:val="00D26947"/>
    <w:rsid w:val="00D27582"/>
    <w:rsid w:val="00D27EC4"/>
    <w:rsid w:val="00D32719"/>
    <w:rsid w:val="00D33333"/>
    <w:rsid w:val="00D34B95"/>
    <w:rsid w:val="00D352A2"/>
    <w:rsid w:val="00D36543"/>
    <w:rsid w:val="00D4162B"/>
    <w:rsid w:val="00D4514F"/>
    <w:rsid w:val="00D451E2"/>
    <w:rsid w:val="00D45E89"/>
    <w:rsid w:val="00D45E8D"/>
    <w:rsid w:val="00D46520"/>
    <w:rsid w:val="00D466AE"/>
    <w:rsid w:val="00D4734F"/>
    <w:rsid w:val="00D51BF3"/>
    <w:rsid w:val="00D558D5"/>
    <w:rsid w:val="00D5787B"/>
    <w:rsid w:val="00D57D22"/>
    <w:rsid w:val="00D608B9"/>
    <w:rsid w:val="00D66846"/>
    <w:rsid w:val="00D675FB"/>
    <w:rsid w:val="00D71CF4"/>
    <w:rsid w:val="00D71F25"/>
    <w:rsid w:val="00D72A9C"/>
    <w:rsid w:val="00D73419"/>
    <w:rsid w:val="00D73ADC"/>
    <w:rsid w:val="00D74150"/>
    <w:rsid w:val="00D74B16"/>
    <w:rsid w:val="00D77031"/>
    <w:rsid w:val="00D83D00"/>
    <w:rsid w:val="00D84941"/>
    <w:rsid w:val="00D84FA1"/>
    <w:rsid w:val="00D851F0"/>
    <w:rsid w:val="00D86CCC"/>
    <w:rsid w:val="00D86DB7"/>
    <w:rsid w:val="00D87BF5"/>
    <w:rsid w:val="00D90721"/>
    <w:rsid w:val="00D926D0"/>
    <w:rsid w:val="00D93030"/>
    <w:rsid w:val="00D950E1"/>
    <w:rsid w:val="00D952A6"/>
    <w:rsid w:val="00D96A99"/>
    <w:rsid w:val="00D9723A"/>
    <w:rsid w:val="00D97F99"/>
    <w:rsid w:val="00DA1E08"/>
    <w:rsid w:val="00DA24F8"/>
    <w:rsid w:val="00DA28E8"/>
    <w:rsid w:val="00DA2D33"/>
    <w:rsid w:val="00DA38D3"/>
    <w:rsid w:val="00DA3932"/>
    <w:rsid w:val="00DA3AF0"/>
    <w:rsid w:val="00DA3AFC"/>
    <w:rsid w:val="00DA44B9"/>
    <w:rsid w:val="00DA64F8"/>
    <w:rsid w:val="00DA6C15"/>
    <w:rsid w:val="00DA7408"/>
    <w:rsid w:val="00DA7A64"/>
    <w:rsid w:val="00DB0258"/>
    <w:rsid w:val="00DB1C74"/>
    <w:rsid w:val="00DB38EE"/>
    <w:rsid w:val="00DB46E7"/>
    <w:rsid w:val="00DB498B"/>
    <w:rsid w:val="00DB66CA"/>
    <w:rsid w:val="00DB6BCA"/>
    <w:rsid w:val="00DB6F54"/>
    <w:rsid w:val="00DB73F7"/>
    <w:rsid w:val="00DC0321"/>
    <w:rsid w:val="00DC3067"/>
    <w:rsid w:val="00DC370B"/>
    <w:rsid w:val="00DC516C"/>
    <w:rsid w:val="00DC5B90"/>
    <w:rsid w:val="00DC6243"/>
    <w:rsid w:val="00DC6D24"/>
    <w:rsid w:val="00DC73DF"/>
    <w:rsid w:val="00DD00FF"/>
    <w:rsid w:val="00DD0619"/>
    <w:rsid w:val="00DD07FB"/>
    <w:rsid w:val="00DD0A8B"/>
    <w:rsid w:val="00DD25C6"/>
    <w:rsid w:val="00DD28C9"/>
    <w:rsid w:val="00DD4422"/>
    <w:rsid w:val="00DD4FE5"/>
    <w:rsid w:val="00DD54B0"/>
    <w:rsid w:val="00DD57EE"/>
    <w:rsid w:val="00DD6BCC"/>
    <w:rsid w:val="00DE01FB"/>
    <w:rsid w:val="00DE0A4B"/>
    <w:rsid w:val="00DE2410"/>
    <w:rsid w:val="00DE2939"/>
    <w:rsid w:val="00DE6E81"/>
    <w:rsid w:val="00DE703F"/>
    <w:rsid w:val="00DE7595"/>
    <w:rsid w:val="00DF1961"/>
    <w:rsid w:val="00DF44DE"/>
    <w:rsid w:val="00E002E8"/>
    <w:rsid w:val="00E01138"/>
    <w:rsid w:val="00E02DFB"/>
    <w:rsid w:val="00E030F9"/>
    <w:rsid w:val="00E0311A"/>
    <w:rsid w:val="00E03138"/>
    <w:rsid w:val="00E037C7"/>
    <w:rsid w:val="00E04B9B"/>
    <w:rsid w:val="00E06404"/>
    <w:rsid w:val="00E07589"/>
    <w:rsid w:val="00E11A85"/>
    <w:rsid w:val="00E12495"/>
    <w:rsid w:val="00E15CCD"/>
    <w:rsid w:val="00E15F05"/>
    <w:rsid w:val="00E202EF"/>
    <w:rsid w:val="00E210B5"/>
    <w:rsid w:val="00E21855"/>
    <w:rsid w:val="00E232C0"/>
    <w:rsid w:val="00E24A5A"/>
    <w:rsid w:val="00E2552F"/>
    <w:rsid w:val="00E2798F"/>
    <w:rsid w:val="00E3137A"/>
    <w:rsid w:val="00E3259B"/>
    <w:rsid w:val="00E32CCF"/>
    <w:rsid w:val="00E34A98"/>
    <w:rsid w:val="00E34B68"/>
    <w:rsid w:val="00E35D1E"/>
    <w:rsid w:val="00E364F9"/>
    <w:rsid w:val="00E365FA"/>
    <w:rsid w:val="00E36789"/>
    <w:rsid w:val="00E37FBB"/>
    <w:rsid w:val="00E44A83"/>
    <w:rsid w:val="00E45242"/>
    <w:rsid w:val="00E477D6"/>
    <w:rsid w:val="00E502C1"/>
    <w:rsid w:val="00E502DD"/>
    <w:rsid w:val="00E50D3A"/>
    <w:rsid w:val="00E51387"/>
    <w:rsid w:val="00E51E68"/>
    <w:rsid w:val="00E52EFD"/>
    <w:rsid w:val="00E5408A"/>
    <w:rsid w:val="00E56800"/>
    <w:rsid w:val="00E578A3"/>
    <w:rsid w:val="00E60AFA"/>
    <w:rsid w:val="00E60C63"/>
    <w:rsid w:val="00E626F7"/>
    <w:rsid w:val="00E62FF9"/>
    <w:rsid w:val="00E635D6"/>
    <w:rsid w:val="00E639BC"/>
    <w:rsid w:val="00E65AFE"/>
    <w:rsid w:val="00E664CC"/>
    <w:rsid w:val="00E66D71"/>
    <w:rsid w:val="00E70388"/>
    <w:rsid w:val="00E70F92"/>
    <w:rsid w:val="00E74313"/>
    <w:rsid w:val="00E744CA"/>
    <w:rsid w:val="00E74B9F"/>
    <w:rsid w:val="00E74C54"/>
    <w:rsid w:val="00E75275"/>
    <w:rsid w:val="00E753BF"/>
    <w:rsid w:val="00E7656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01E9"/>
    <w:rsid w:val="00EA033C"/>
    <w:rsid w:val="00EA24A3"/>
    <w:rsid w:val="00EA5289"/>
    <w:rsid w:val="00EA58D1"/>
    <w:rsid w:val="00EA61BC"/>
    <w:rsid w:val="00EA681A"/>
    <w:rsid w:val="00EA735B"/>
    <w:rsid w:val="00EB1E69"/>
    <w:rsid w:val="00EB2086"/>
    <w:rsid w:val="00EB31ED"/>
    <w:rsid w:val="00EB4874"/>
    <w:rsid w:val="00EB5EDF"/>
    <w:rsid w:val="00EB60FE"/>
    <w:rsid w:val="00EB74DB"/>
    <w:rsid w:val="00EB77EB"/>
    <w:rsid w:val="00EC5359"/>
    <w:rsid w:val="00EC562A"/>
    <w:rsid w:val="00ED067A"/>
    <w:rsid w:val="00ED126D"/>
    <w:rsid w:val="00ED1575"/>
    <w:rsid w:val="00ED2B50"/>
    <w:rsid w:val="00ED3AB8"/>
    <w:rsid w:val="00ED5BBC"/>
    <w:rsid w:val="00EE0249"/>
    <w:rsid w:val="00EE0350"/>
    <w:rsid w:val="00EE0719"/>
    <w:rsid w:val="00EE0E80"/>
    <w:rsid w:val="00EE3E43"/>
    <w:rsid w:val="00EE613F"/>
    <w:rsid w:val="00EE7295"/>
    <w:rsid w:val="00EE7869"/>
    <w:rsid w:val="00EE7FEB"/>
    <w:rsid w:val="00EF054A"/>
    <w:rsid w:val="00EF3235"/>
    <w:rsid w:val="00EF3341"/>
    <w:rsid w:val="00EF40A0"/>
    <w:rsid w:val="00EF49A0"/>
    <w:rsid w:val="00EF6424"/>
    <w:rsid w:val="00EF75B0"/>
    <w:rsid w:val="00EF7637"/>
    <w:rsid w:val="00EF7E72"/>
    <w:rsid w:val="00F00967"/>
    <w:rsid w:val="00F030FB"/>
    <w:rsid w:val="00F06D1D"/>
    <w:rsid w:val="00F06D37"/>
    <w:rsid w:val="00F078B7"/>
    <w:rsid w:val="00F07B9D"/>
    <w:rsid w:val="00F1091D"/>
    <w:rsid w:val="00F11586"/>
    <w:rsid w:val="00F1183B"/>
    <w:rsid w:val="00F11C9F"/>
    <w:rsid w:val="00F12263"/>
    <w:rsid w:val="00F1409D"/>
    <w:rsid w:val="00F14214"/>
    <w:rsid w:val="00F14674"/>
    <w:rsid w:val="00F157A9"/>
    <w:rsid w:val="00F16F00"/>
    <w:rsid w:val="00F20AC4"/>
    <w:rsid w:val="00F21C86"/>
    <w:rsid w:val="00F23C5A"/>
    <w:rsid w:val="00F23F44"/>
    <w:rsid w:val="00F242C9"/>
    <w:rsid w:val="00F2477C"/>
    <w:rsid w:val="00F254A9"/>
    <w:rsid w:val="00F25BB6"/>
    <w:rsid w:val="00F26B7E"/>
    <w:rsid w:val="00F27A3B"/>
    <w:rsid w:val="00F32506"/>
    <w:rsid w:val="00F33817"/>
    <w:rsid w:val="00F33D01"/>
    <w:rsid w:val="00F401AB"/>
    <w:rsid w:val="00F420D5"/>
    <w:rsid w:val="00F451EA"/>
    <w:rsid w:val="00F45447"/>
    <w:rsid w:val="00F456C6"/>
    <w:rsid w:val="00F4577B"/>
    <w:rsid w:val="00F46496"/>
    <w:rsid w:val="00F474D0"/>
    <w:rsid w:val="00F47B4A"/>
    <w:rsid w:val="00F50179"/>
    <w:rsid w:val="00F50B5E"/>
    <w:rsid w:val="00F515EE"/>
    <w:rsid w:val="00F539A2"/>
    <w:rsid w:val="00F54942"/>
    <w:rsid w:val="00F56511"/>
    <w:rsid w:val="00F6194E"/>
    <w:rsid w:val="00F623AC"/>
    <w:rsid w:val="00F62F55"/>
    <w:rsid w:val="00F63674"/>
    <w:rsid w:val="00F6412A"/>
    <w:rsid w:val="00F65893"/>
    <w:rsid w:val="00F66A4A"/>
    <w:rsid w:val="00F67655"/>
    <w:rsid w:val="00F71E22"/>
    <w:rsid w:val="00F72142"/>
    <w:rsid w:val="00F72AE7"/>
    <w:rsid w:val="00F72CAF"/>
    <w:rsid w:val="00F7633D"/>
    <w:rsid w:val="00F833BA"/>
    <w:rsid w:val="00F83574"/>
    <w:rsid w:val="00F84FD0"/>
    <w:rsid w:val="00F859A8"/>
    <w:rsid w:val="00F86D87"/>
    <w:rsid w:val="00F9108B"/>
    <w:rsid w:val="00F91349"/>
    <w:rsid w:val="00F9384E"/>
    <w:rsid w:val="00F93A8A"/>
    <w:rsid w:val="00F95248"/>
    <w:rsid w:val="00F956A9"/>
    <w:rsid w:val="00F963ED"/>
    <w:rsid w:val="00F966CF"/>
    <w:rsid w:val="00F96CAE"/>
    <w:rsid w:val="00F97C99"/>
    <w:rsid w:val="00FA662D"/>
    <w:rsid w:val="00FA6BB7"/>
    <w:rsid w:val="00FA73B1"/>
    <w:rsid w:val="00FB0C33"/>
    <w:rsid w:val="00FB0CB9"/>
    <w:rsid w:val="00FB19F9"/>
    <w:rsid w:val="00FB208D"/>
    <w:rsid w:val="00FB231D"/>
    <w:rsid w:val="00FB2B5A"/>
    <w:rsid w:val="00FB2CDF"/>
    <w:rsid w:val="00FB45F1"/>
    <w:rsid w:val="00FB4A72"/>
    <w:rsid w:val="00FB54E8"/>
    <w:rsid w:val="00FB7054"/>
    <w:rsid w:val="00FC17B7"/>
    <w:rsid w:val="00FC1E68"/>
    <w:rsid w:val="00FC2CB7"/>
    <w:rsid w:val="00FC3515"/>
    <w:rsid w:val="00FC352C"/>
    <w:rsid w:val="00FC4090"/>
    <w:rsid w:val="00FC532F"/>
    <w:rsid w:val="00FC55B4"/>
    <w:rsid w:val="00FD00E6"/>
    <w:rsid w:val="00FD09A1"/>
    <w:rsid w:val="00FD1941"/>
    <w:rsid w:val="00FD2A7C"/>
    <w:rsid w:val="00FD39D7"/>
    <w:rsid w:val="00FD59EB"/>
    <w:rsid w:val="00FD7299"/>
    <w:rsid w:val="00FE1FBE"/>
    <w:rsid w:val="00FE3901"/>
    <w:rsid w:val="00FE39D3"/>
    <w:rsid w:val="00FE4BCE"/>
    <w:rsid w:val="00FE54AE"/>
    <w:rsid w:val="00FE576A"/>
    <w:rsid w:val="00FE7E79"/>
    <w:rsid w:val="00FF1B32"/>
    <w:rsid w:val="00FF365A"/>
    <w:rsid w:val="00FF3E7D"/>
    <w:rsid w:val="00FF5B99"/>
    <w:rsid w:val="00FF70FA"/>
    <w:rsid w:val="00FF730C"/>
    <w:rsid w:val="00FF73F4"/>
    <w:rsid w:val="00FF7CE4"/>
    <w:rsid w:val="00FF7E39"/>
    <w:rsid w:val="01005C04"/>
    <w:rsid w:val="010C0502"/>
    <w:rsid w:val="0125635D"/>
    <w:rsid w:val="01565C22"/>
    <w:rsid w:val="01A22C15"/>
    <w:rsid w:val="01BF5A52"/>
    <w:rsid w:val="01CC3898"/>
    <w:rsid w:val="01D95F0B"/>
    <w:rsid w:val="01DE77E3"/>
    <w:rsid w:val="01FC640B"/>
    <w:rsid w:val="021F0A6D"/>
    <w:rsid w:val="02535CBD"/>
    <w:rsid w:val="025B4F1C"/>
    <w:rsid w:val="025F7408"/>
    <w:rsid w:val="02906263"/>
    <w:rsid w:val="02A76E81"/>
    <w:rsid w:val="02B20C36"/>
    <w:rsid w:val="02C31095"/>
    <w:rsid w:val="02DC3198"/>
    <w:rsid w:val="02F44E37"/>
    <w:rsid w:val="032C2C0D"/>
    <w:rsid w:val="03443777"/>
    <w:rsid w:val="0357767E"/>
    <w:rsid w:val="03946435"/>
    <w:rsid w:val="03C10461"/>
    <w:rsid w:val="03E2177F"/>
    <w:rsid w:val="03FD209E"/>
    <w:rsid w:val="045029FB"/>
    <w:rsid w:val="045448AA"/>
    <w:rsid w:val="045A77D7"/>
    <w:rsid w:val="046048F9"/>
    <w:rsid w:val="04AE18D1"/>
    <w:rsid w:val="04D05CEB"/>
    <w:rsid w:val="04DF0901"/>
    <w:rsid w:val="04F66143"/>
    <w:rsid w:val="04FE13F4"/>
    <w:rsid w:val="052676B9"/>
    <w:rsid w:val="052A026E"/>
    <w:rsid w:val="055E62CD"/>
    <w:rsid w:val="056A1C9B"/>
    <w:rsid w:val="057B5A67"/>
    <w:rsid w:val="059F29D4"/>
    <w:rsid w:val="05A17A72"/>
    <w:rsid w:val="05DE7F94"/>
    <w:rsid w:val="05DF5861"/>
    <w:rsid w:val="05FF17A6"/>
    <w:rsid w:val="060C4B01"/>
    <w:rsid w:val="061F2A86"/>
    <w:rsid w:val="06417867"/>
    <w:rsid w:val="064A5F1B"/>
    <w:rsid w:val="06537525"/>
    <w:rsid w:val="06574AB8"/>
    <w:rsid w:val="06672D9E"/>
    <w:rsid w:val="06713D56"/>
    <w:rsid w:val="06754A83"/>
    <w:rsid w:val="06C867AC"/>
    <w:rsid w:val="06E17D3B"/>
    <w:rsid w:val="07150B15"/>
    <w:rsid w:val="071F7EBF"/>
    <w:rsid w:val="073F0F06"/>
    <w:rsid w:val="073F557B"/>
    <w:rsid w:val="07460E92"/>
    <w:rsid w:val="076B1CFB"/>
    <w:rsid w:val="07795030"/>
    <w:rsid w:val="07C24B58"/>
    <w:rsid w:val="07C4574A"/>
    <w:rsid w:val="07CF32A0"/>
    <w:rsid w:val="07ED677E"/>
    <w:rsid w:val="081418BF"/>
    <w:rsid w:val="08365E65"/>
    <w:rsid w:val="08793FA4"/>
    <w:rsid w:val="089D5934"/>
    <w:rsid w:val="08B84ACC"/>
    <w:rsid w:val="08F41D87"/>
    <w:rsid w:val="08F74A5F"/>
    <w:rsid w:val="08FF042B"/>
    <w:rsid w:val="09095984"/>
    <w:rsid w:val="09192547"/>
    <w:rsid w:val="09390D12"/>
    <w:rsid w:val="094C583B"/>
    <w:rsid w:val="09694269"/>
    <w:rsid w:val="098215A1"/>
    <w:rsid w:val="09A65662"/>
    <w:rsid w:val="09A82EAE"/>
    <w:rsid w:val="09C86F91"/>
    <w:rsid w:val="09F47D86"/>
    <w:rsid w:val="09FB64A3"/>
    <w:rsid w:val="0A00672A"/>
    <w:rsid w:val="0A0E4391"/>
    <w:rsid w:val="0A167B17"/>
    <w:rsid w:val="0A2B694C"/>
    <w:rsid w:val="0A533120"/>
    <w:rsid w:val="0AD927F5"/>
    <w:rsid w:val="0AE53B72"/>
    <w:rsid w:val="0AF47B08"/>
    <w:rsid w:val="0B41054B"/>
    <w:rsid w:val="0B51447D"/>
    <w:rsid w:val="0BE277A8"/>
    <w:rsid w:val="0C404922"/>
    <w:rsid w:val="0C49645E"/>
    <w:rsid w:val="0CD755C5"/>
    <w:rsid w:val="0CE20369"/>
    <w:rsid w:val="0D154730"/>
    <w:rsid w:val="0D6D5E4C"/>
    <w:rsid w:val="0D9F2963"/>
    <w:rsid w:val="0DAE46EF"/>
    <w:rsid w:val="0DC25855"/>
    <w:rsid w:val="0DE7165B"/>
    <w:rsid w:val="0DF92677"/>
    <w:rsid w:val="0DF972A0"/>
    <w:rsid w:val="0E0F33E0"/>
    <w:rsid w:val="0E172295"/>
    <w:rsid w:val="0E325320"/>
    <w:rsid w:val="0E335347"/>
    <w:rsid w:val="0E3F3599"/>
    <w:rsid w:val="0E5500A8"/>
    <w:rsid w:val="0E721A6C"/>
    <w:rsid w:val="0E8F26AA"/>
    <w:rsid w:val="0E9A5B52"/>
    <w:rsid w:val="0EB65F51"/>
    <w:rsid w:val="0EFA3E86"/>
    <w:rsid w:val="0F1A3C80"/>
    <w:rsid w:val="0F1D7D7F"/>
    <w:rsid w:val="0F207E9C"/>
    <w:rsid w:val="0F22328B"/>
    <w:rsid w:val="0F2904D1"/>
    <w:rsid w:val="0F6B6D3C"/>
    <w:rsid w:val="0F7B6853"/>
    <w:rsid w:val="0F7C616D"/>
    <w:rsid w:val="0F953DB9"/>
    <w:rsid w:val="0FB60BC5"/>
    <w:rsid w:val="0FC053D7"/>
    <w:rsid w:val="0FE200C5"/>
    <w:rsid w:val="0FED7751"/>
    <w:rsid w:val="106628A7"/>
    <w:rsid w:val="1066305F"/>
    <w:rsid w:val="10703EDE"/>
    <w:rsid w:val="109C2F25"/>
    <w:rsid w:val="10D12BCF"/>
    <w:rsid w:val="112C7269"/>
    <w:rsid w:val="11AA3420"/>
    <w:rsid w:val="11BD5E31"/>
    <w:rsid w:val="11BE3BDB"/>
    <w:rsid w:val="11E85CAC"/>
    <w:rsid w:val="12104465"/>
    <w:rsid w:val="126B3D39"/>
    <w:rsid w:val="128122DC"/>
    <w:rsid w:val="12ED62C5"/>
    <w:rsid w:val="12F71599"/>
    <w:rsid w:val="130628D8"/>
    <w:rsid w:val="1312127D"/>
    <w:rsid w:val="13160D6D"/>
    <w:rsid w:val="13204ECA"/>
    <w:rsid w:val="136E0BA9"/>
    <w:rsid w:val="13DE3B8C"/>
    <w:rsid w:val="13F66909"/>
    <w:rsid w:val="142C0D80"/>
    <w:rsid w:val="143A0E43"/>
    <w:rsid w:val="145F1258"/>
    <w:rsid w:val="14983A03"/>
    <w:rsid w:val="14A016C2"/>
    <w:rsid w:val="14D507B4"/>
    <w:rsid w:val="15192D96"/>
    <w:rsid w:val="1521464F"/>
    <w:rsid w:val="15237DE9"/>
    <w:rsid w:val="15A94E95"/>
    <w:rsid w:val="15E52C78"/>
    <w:rsid w:val="15F15EE9"/>
    <w:rsid w:val="15FC7BB6"/>
    <w:rsid w:val="15FE40E3"/>
    <w:rsid w:val="16055728"/>
    <w:rsid w:val="160A4EEC"/>
    <w:rsid w:val="16175528"/>
    <w:rsid w:val="16225C7A"/>
    <w:rsid w:val="162D54D7"/>
    <w:rsid w:val="163C6EA9"/>
    <w:rsid w:val="16A5094B"/>
    <w:rsid w:val="16A63835"/>
    <w:rsid w:val="16C07E56"/>
    <w:rsid w:val="16E3540A"/>
    <w:rsid w:val="174F6F43"/>
    <w:rsid w:val="17671E03"/>
    <w:rsid w:val="17771FF6"/>
    <w:rsid w:val="17796000"/>
    <w:rsid w:val="17842753"/>
    <w:rsid w:val="17852965"/>
    <w:rsid w:val="17BB0135"/>
    <w:rsid w:val="17C67150"/>
    <w:rsid w:val="17F453F5"/>
    <w:rsid w:val="17FF1243"/>
    <w:rsid w:val="1853531D"/>
    <w:rsid w:val="18640C92"/>
    <w:rsid w:val="187059FC"/>
    <w:rsid w:val="18A1557C"/>
    <w:rsid w:val="18E526BB"/>
    <w:rsid w:val="18F51424"/>
    <w:rsid w:val="18F60753"/>
    <w:rsid w:val="19215E2D"/>
    <w:rsid w:val="192C3B89"/>
    <w:rsid w:val="19992F43"/>
    <w:rsid w:val="19CB486B"/>
    <w:rsid w:val="1A064859"/>
    <w:rsid w:val="1A0C2EC9"/>
    <w:rsid w:val="1A0D279E"/>
    <w:rsid w:val="1A1104E0"/>
    <w:rsid w:val="1A2308F8"/>
    <w:rsid w:val="1A8268CC"/>
    <w:rsid w:val="1ABD41C4"/>
    <w:rsid w:val="1ADF42B2"/>
    <w:rsid w:val="1AEC0ACF"/>
    <w:rsid w:val="1B03673C"/>
    <w:rsid w:val="1B375D24"/>
    <w:rsid w:val="1B570174"/>
    <w:rsid w:val="1B7E2538"/>
    <w:rsid w:val="1B886580"/>
    <w:rsid w:val="1BBE4697"/>
    <w:rsid w:val="1BC42B10"/>
    <w:rsid w:val="1BE73A14"/>
    <w:rsid w:val="1BEA2D97"/>
    <w:rsid w:val="1BFB3FD6"/>
    <w:rsid w:val="1BFB4FA4"/>
    <w:rsid w:val="1BFB594B"/>
    <w:rsid w:val="1CB36B43"/>
    <w:rsid w:val="1CBA14B4"/>
    <w:rsid w:val="1CC849BD"/>
    <w:rsid w:val="1D247334"/>
    <w:rsid w:val="1DB042FE"/>
    <w:rsid w:val="1DDE2DCF"/>
    <w:rsid w:val="1E042157"/>
    <w:rsid w:val="1E783D88"/>
    <w:rsid w:val="1F086C28"/>
    <w:rsid w:val="1F0C54D7"/>
    <w:rsid w:val="1F185E6D"/>
    <w:rsid w:val="1F37674D"/>
    <w:rsid w:val="1F6E1F30"/>
    <w:rsid w:val="1FBA6AEA"/>
    <w:rsid w:val="1FC14756"/>
    <w:rsid w:val="1FC617AE"/>
    <w:rsid w:val="1FCA360B"/>
    <w:rsid w:val="1FDA6DBE"/>
    <w:rsid w:val="1FE225D0"/>
    <w:rsid w:val="201E11C5"/>
    <w:rsid w:val="20705BE9"/>
    <w:rsid w:val="20745325"/>
    <w:rsid w:val="20C067BC"/>
    <w:rsid w:val="20E4055B"/>
    <w:rsid w:val="20EE1C1F"/>
    <w:rsid w:val="210B5C89"/>
    <w:rsid w:val="2110329F"/>
    <w:rsid w:val="2115671A"/>
    <w:rsid w:val="211B1C44"/>
    <w:rsid w:val="21470C8B"/>
    <w:rsid w:val="219A0DBB"/>
    <w:rsid w:val="21D30729"/>
    <w:rsid w:val="21ED21C6"/>
    <w:rsid w:val="22082616"/>
    <w:rsid w:val="220B7F0B"/>
    <w:rsid w:val="22116A3F"/>
    <w:rsid w:val="228644BC"/>
    <w:rsid w:val="22A4640E"/>
    <w:rsid w:val="22BA5BB9"/>
    <w:rsid w:val="22BB36DF"/>
    <w:rsid w:val="22D57BA3"/>
    <w:rsid w:val="22D87DED"/>
    <w:rsid w:val="232748D0"/>
    <w:rsid w:val="233E67E2"/>
    <w:rsid w:val="233F60BE"/>
    <w:rsid w:val="23735D67"/>
    <w:rsid w:val="238C6E29"/>
    <w:rsid w:val="23952182"/>
    <w:rsid w:val="23C40371"/>
    <w:rsid w:val="23D305B4"/>
    <w:rsid w:val="23F5050A"/>
    <w:rsid w:val="241430A6"/>
    <w:rsid w:val="245D2C8D"/>
    <w:rsid w:val="249935AC"/>
    <w:rsid w:val="249944D1"/>
    <w:rsid w:val="24BC310B"/>
    <w:rsid w:val="24D60635"/>
    <w:rsid w:val="24FE4191"/>
    <w:rsid w:val="25096CBD"/>
    <w:rsid w:val="25247077"/>
    <w:rsid w:val="256E7D73"/>
    <w:rsid w:val="256F74FA"/>
    <w:rsid w:val="257B0F03"/>
    <w:rsid w:val="25C87134"/>
    <w:rsid w:val="25D74FC3"/>
    <w:rsid w:val="25E31261"/>
    <w:rsid w:val="261C4494"/>
    <w:rsid w:val="26213859"/>
    <w:rsid w:val="263E265D"/>
    <w:rsid w:val="26410247"/>
    <w:rsid w:val="264D0C35"/>
    <w:rsid w:val="2650413E"/>
    <w:rsid w:val="265E685B"/>
    <w:rsid w:val="26915FCA"/>
    <w:rsid w:val="269234BA"/>
    <w:rsid w:val="26956186"/>
    <w:rsid w:val="26F6389B"/>
    <w:rsid w:val="271474CA"/>
    <w:rsid w:val="2750627A"/>
    <w:rsid w:val="276D746E"/>
    <w:rsid w:val="27736FCE"/>
    <w:rsid w:val="27765E26"/>
    <w:rsid w:val="27962024"/>
    <w:rsid w:val="27990BFF"/>
    <w:rsid w:val="27DA0163"/>
    <w:rsid w:val="27E370C7"/>
    <w:rsid w:val="27E55EA8"/>
    <w:rsid w:val="27ED736F"/>
    <w:rsid w:val="27EE3C0E"/>
    <w:rsid w:val="27F03E2A"/>
    <w:rsid w:val="28360FB8"/>
    <w:rsid w:val="283A0353"/>
    <w:rsid w:val="285C326E"/>
    <w:rsid w:val="28602E72"/>
    <w:rsid w:val="28874A54"/>
    <w:rsid w:val="2892582B"/>
    <w:rsid w:val="28B730AF"/>
    <w:rsid w:val="28C50E13"/>
    <w:rsid w:val="28D252DE"/>
    <w:rsid w:val="28E374EB"/>
    <w:rsid w:val="28F039B6"/>
    <w:rsid w:val="28F60FCD"/>
    <w:rsid w:val="29291515"/>
    <w:rsid w:val="292A336C"/>
    <w:rsid w:val="294E1641"/>
    <w:rsid w:val="29522056"/>
    <w:rsid w:val="297445E7"/>
    <w:rsid w:val="298D533F"/>
    <w:rsid w:val="29F170A7"/>
    <w:rsid w:val="2A402EB4"/>
    <w:rsid w:val="2A554419"/>
    <w:rsid w:val="2A781EB5"/>
    <w:rsid w:val="2A8D1997"/>
    <w:rsid w:val="2AA44A58"/>
    <w:rsid w:val="2AA55E34"/>
    <w:rsid w:val="2AB80867"/>
    <w:rsid w:val="2AE578A2"/>
    <w:rsid w:val="2AF27EBA"/>
    <w:rsid w:val="2B0752C2"/>
    <w:rsid w:val="2B281991"/>
    <w:rsid w:val="2B7B0FC3"/>
    <w:rsid w:val="2BB13233"/>
    <w:rsid w:val="2BB67139"/>
    <w:rsid w:val="2BB74432"/>
    <w:rsid w:val="2BCC070B"/>
    <w:rsid w:val="2C7D116F"/>
    <w:rsid w:val="2C8E4833"/>
    <w:rsid w:val="2CF0667B"/>
    <w:rsid w:val="2D5B4C0F"/>
    <w:rsid w:val="2D766591"/>
    <w:rsid w:val="2DB96A6D"/>
    <w:rsid w:val="2DDE0F45"/>
    <w:rsid w:val="2DDE64D3"/>
    <w:rsid w:val="2DEA595F"/>
    <w:rsid w:val="2E0028ED"/>
    <w:rsid w:val="2E5B2F02"/>
    <w:rsid w:val="2E752B4A"/>
    <w:rsid w:val="2E80527A"/>
    <w:rsid w:val="2EE6563F"/>
    <w:rsid w:val="2F486004"/>
    <w:rsid w:val="2F805A94"/>
    <w:rsid w:val="2F9B7DD2"/>
    <w:rsid w:val="2FA33530"/>
    <w:rsid w:val="2FA86D99"/>
    <w:rsid w:val="2FB57729"/>
    <w:rsid w:val="2FC021F3"/>
    <w:rsid w:val="30040748"/>
    <w:rsid w:val="307D1FD3"/>
    <w:rsid w:val="30A31CD5"/>
    <w:rsid w:val="30D002D1"/>
    <w:rsid w:val="30DA1187"/>
    <w:rsid w:val="30E96AAE"/>
    <w:rsid w:val="31097764"/>
    <w:rsid w:val="310C0943"/>
    <w:rsid w:val="311E5564"/>
    <w:rsid w:val="31660CB9"/>
    <w:rsid w:val="31735C22"/>
    <w:rsid w:val="3175714F"/>
    <w:rsid w:val="318F4926"/>
    <w:rsid w:val="322748ED"/>
    <w:rsid w:val="323808A8"/>
    <w:rsid w:val="32452FC5"/>
    <w:rsid w:val="3269779D"/>
    <w:rsid w:val="32DB1FCA"/>
    <w:rsid w:val="32E75B37"/>
    <w:rsid w:val="32EF68B4"/>
    <w:rsid w:val="32FB3538"/>
    <w:rsid w:val="33075F3D"/>
    <w:rsid w:val="331035D3"/>
    <w:rsid w:val="332756A7"/>
    <w:rsid w:val="334E2E05"/>
    <w:rsid w:val="33545566"/>
    <w:rsid w:val="3357192F"/>
    <w:rsid w:val="339A4C4A"/>
    <w:rsid w:val="33B71CA0"/>
    <w:rsid w:val="342804A8"/>
    <w:rsid w:val="342D6CBE"/>
    <w:rsid w:val="34337175"/>
    <w:rsid w:val="347100A1"/>
    <w:rsid w:val="34AD36B8"/>
    <w:rsid w:val="34D128EE"/>
    <w:rsid w:val="34D4418C"/>
    <w:rsid w:val="34DA79F4"/>
    <w:rsid w:val="34F76A97"/>
    <w:rsid w:val="34F90010"/>
    <w:rsid w:val="351441F0"/>
    <w:rsid w:val="3529011B"/>
    <w:rsid w:val="353535B2"/>
    <w:rsid w:val="354C5EC7"/>
    <w:rsid w:val="355326FC"/>
    <w:rsid w:val="3578720D"/>
    <w:rsid w:val="35851948"/>
    <w:rsid w:val="35C13CCB"/>
    <w:rsid w:val="35D57C94"/>
    <w:rsid w:val="35D65063"/>
    <w:rsid w:val="361C7B45"/>
    <w:rsid w:val="36775DFC"/>
    <w:rsid w:val="3698148D"/>
    <w:rsid w:val="370B6CF4"/>
    <w:rsid w:val="370D6AF8"/>
    <w:rsid w:val="375D7A2B"/>
    <w:rsid w:val="37A22637"/>
    <w:rsid w:val="37D47531"/>
    <w:rsid w:val="380A119C"/>
    <w:rsid w:val="38671EF1"/>
    <w:rsid w:val="389576AC"/>
    <w:rsid w:val="389C6AEB"/>
    <w:rsid w:val="38BE20CC"/>
    <w:rsid w:val="38BE762D"/>
    <w:rsid w:val="38C74D5D"/>
    <w:rsid w:val="38D877D8"/>
    <w:rsid w:val="38EE02D5"/>
    <w:rsid w:val="390B1722"/>
    <w:rsid w:val="39186D3D"/>
    <w:rsid w:val="39406F06"/>
    <w:rsid w:val="39C40C73"/>
    <w:rsid w:val="39C57AFA"/>
    <w:rsid w:val="39D37108"/>
    <w:rsid w:val="39E353D5"/>
    <w:rsid w:val="39F2758E"/>
    <w:rsid w:val="3A4A1178"/>
    <w:rsid w:val="3A4D26EB"/>
    <w:rsid w:val="3A9012A4"/>
    <w:rsid w:val="3AA51A40"/>
    <w:rsid w:val="3AEA295B"/>
    <w:rsid w:val="3B0D0F39"/>
    <w:rsid w:val="3B1860B3"/>
    <w:rsid w:val="3B2220F5"/>
    <w:rsid w:val="3B300374"/>
    <w:rsid w:val="3B3312CF"/>
    <w:rsid w:val="3B4E2EEA"/>
    <w:rsid w:val="3B547DD5"/>
    <w:rsid w:val="3B9B5ABE"/>
    <w:rsid w:val="3BA0301A"/>
    <w:rsid w:val="3BED2ADE"/>
    <w:rsid w:val="3BF26D83"/>
    <w:rsid w:val="3BFA5C0C"/>
    <w:rsid w:val="3C084298"/>
    <w:rsid w:val="3C300842"/>
    <w:rsid w:val="3C660FEE"/>
    <w:rsid w:val="3C6E23C9"/>
    <w:rsid w:val="3C7C3A87"/>
    <w:rsid w:val="3C7E335B"/>
    <w:rsid w:val="3C885735"/>
    <w:rsid w:val="3C9012E0"/>
    <w:rsid w:val="3CB12751"/>
    <w:rsid w:val="3CC43B7F"/>
    <w:rsid w:val="3CE755E8"/>
    <w:rsid w:val="3CF74EBC"/>
    <w:rsid w:val="3D582B25"/>
    <w:rsid w:val="3D6A7B59"/>
    <w:rsid w:val="3D915310"/>
    <w:rsid w:val="3DC41242"/>
    <w:rsid w:val="3DC8576F"/>
    <w:rsid w:val="3DF7311B"/>
    <w:rsid w:val="3E0B0C1F"/>
    <w:rsid w:val="3E133F77"/>
    <w:rsid w:val="3E1E5270"/>
    <w:rsid w:val="3E2C6DE7"/>
    <w:rsid w:val="3E4427DC"/>
    <w:rsid w:val="3E522122"/>
    <w:rsid w:val="3E7C7D6E"/>
    <w:rsid w:val="3E7F05B5"/>
    <w:rsid w:val="3E9A2F5F"/>
    <w:rsid w:val="3EB07FB9"/>
    <w:rsid w:val="3EB219E2"/>
    <w:rsid w:val="3EFC2464"/>
    <w:rsid w:val="3F0B4462"/>
    <w:rsid w:val="3F0F1D39"/>
    <w:rsid w:val="3F23468E"/>
    <w:rsid w:val="3F6A6DDC"/>
    <w:rsid w:val="3F6B5BE8"/>
    <w:rsid w:val="3F787264"/>
    <w:rsid w:val="3F825CCD"/>
    <w:rsid w:val="3FE53A49"/>
    <w:rsid w:val="3FFC1167"/>
    <w:rsid w:val="40487E84"/>
    <w:rsid w:val="404F74B5"/>
    <w:rsid w:val="40727100"/>
    <w:rsid w:val="40BB4ECE"/>
    <w:rsid w:val="40BF2194"/>
    <w:rsid w:val="40C35A83"/>
    <w:rsid w:val="40D95004"/>
    <w:rsid w:val="4111051C"/>
    <w:rsid w:val="412B15D8"/>
    <w:rsid w:val="41432DC5"/>
    <w:rsid w:val="41A76EB0"/>
    <w:rsid w:val="41C04359"/>
    <w:rsid w:val="41E9571B"/>
    <w:rsid w:val="423A41C8"/>
    <w:rsid w:val="4242307D"/>
    <w:rsid w:val="42467274"/>
    <w:rsid w:val="426F7824"/>
    <w:rsid w:val="42796B0B"/>
    <w:rsid w:val="428060AE"/>
    <w:rsid w:val="428E1E1E"/>
    <w:rsid w:val="429A2DFF"/>
    <w:rsid w:val="42AB2039"/>
    <w:rsid w:val="42D26925"/>
    <w:rsid w:val="42E83C24"/>
    <w:rsid w:val="42F54415"/>
    <w:rsid w:val="430D335C"/>
    <w:rsid w:val="430E7C3C"/>
    <w:rsid w:val="432D7889"/>
    <w:rsid w:val="432E715D"/>
    <w:rsid w:val="43495316"/>
    <w:rsid w:val="436239D7"/>
    <w:rsid w:val="43947908"/>
    <w:rsid w:val="439F3F66"/>
    <w:rsid w:val="43A1478C"/>
    <w:rsid w:val="43B72D8E"/>
    <w:rsid w:val="43C1733D"/>
    <w:rsid w:val="43FD36FF"/>
    <w:rsid w:val="4400471D"/>
    <w:rsid w:val="44004F56"/>
    <w:rsid w:val="44461ED1"/>
    <w:rsid w:val="445338BB"/>
    <w:rsid w:val="44655FBE"/>
    <w:rsid w:val="44826B42"/>
    <w:rsid w:val="44860CD1"/>
    <w:rsid w:val="44EA3184"/>
    <w:rsid w:val="44F331C9"/>
    <w:rsid w:val="450955C6"/>
    <w:rsid w:val="45171187"/>
    <w:rsid w:val="451C4FCB"/>
    <w:rsid w:val="45315AC5"/>
    <w:rsid w:val="457F1EF2"/>
    <w:rsid w:val="458637C9"/>
    <w:rsid w:val="458D0A2C"/>
    <w:rsid w:val="459E4A6E"/>
    <w:rsid w:val="45A030EC"/>
    <w:rsid w:val="45AA6F6F"/>
    <w:rsid w:val="45CB23C1"/>
    <w:rsid w:val="46717A8D"/>
    <w:rsid w:val="467C6F4C"/>
    <w:rsid w:val="46DA7D28"/>
    <w:rsid w:val="46ED1809"/>
    <w:rsid w:val="46F36279"/>
    <w:rsid w:val="46F75CCC"/>
    <w:rsid w:val="46FC5E9B"/>
    <w:rsid w:val="471F1BDF"/>
    <w:rsid w:val="47604374"/>
    <w:rsid w:val="47633357"/>
    <w:rsid w:val="476D294A"/>
    <w:rsid w:val="47775577"/>
    <w:rsid w:val="478D6B48"/>
    <w:rsid w:val="47B022A8"/>
    <w:rsid w:val="47B42327"/>
    <w:rsid w:val="47B70069"/>
    <w:rsid w:val="47BE0573"/>
    <w:rsid w:val="47C63E08"/>
    <w:rsid w:val="47E65735"/>
    <w:rsid w:val="4800731A"/>
    <w:rsid w:val="48074B4D"/>
    <w:rsid w:val="482079BC"/>
    <w:rsid w:val="482B6CCE"/>
    <w:rsid w:val="4835149E"/>
    <w:rsid w:val="48684EBF"/>
    <w:rsid w:val="48975200"/>
    <w:rsid w:val="489A151D"/>
    <w:rsid w:val="489D725F"/>
    <w:rsid w:val="48A01213"/>
    <w:rsid w:val="48A26623"/>
    <w:rsid w:val="48BA1BBF"/>
    <w:rsid w:val="48E22EC4"/>
    <w:rsid w:val="48EC4C8A"/>
    <w:rsid w:val="490C2B32"/>
    <w:rsid w:val="49261002"/>
    <w:rsid w:val="493D00FA"/>
    <w:rsid w:val="49425735"/>
    <w:rsid w:val="499637FE"/>
    <w:rsid w:val="49CF51F6"/>
    <w:rsid w:val="4A477482"/>
    <w:rsid w:val="4A640D3D"/>
    <w:rsid w:val="4AD60806"/>
    <w:rsid w:val="4B3938D2"/>
    <w:rsid w:val="4B7D0C82"/>
    <w:rsid w:val="4B9C37FE"/>
    <w:rsid w:val="4BC603C3"/>
    <w:rsid w:val="4BF76C86"/>
    <w:rsid w:val="4C0849EF"/>
    <w:rsid w:val="4C0D0258"/>
    <w:rsid w:val="4C3457E4"/>
    <w:rsid w:val="4C435E96"/>
    <w:rsid w:val="4C447326"/>
    <w:rsid w:val="4C545E87"/>
    <w:rsid w:val="4C577725"/>
    <w:rsid w:val="4C6C1422"/>
    <w:rsid w:val="4C8449BE"/>
    <w:rsid w:val="4CBF59F6"/>
    <w:rsid w:val="4CC4660B"/>
    <w:rsid w:val="4CCA6149"/>
    <w:rsid w:val="4CCA7EF7"/>
    <w:rsid w:val="4CFB6302"/>
    <w:rsid w:val="4D037549"/>
    <w:rsid w:val="4D2E2B7B"/>
    <w:rsid w:val="4D306E91"/>
    <w:rsid w:val="4D5C16A3"/>
    <w:rsid w:val="4D5E04AC"/>
    <w:rsid w:val="4D7A36CB"/>
    <w:rsid w:val="4DB210B7"/>
    <w:rsid w:val="4DF06083"/>
    <w:rsid w:val="4DF80A94"/>
    <w:rsid w:val="4DFB61FC"/>
    <w:rsid w:val="4E012DB3"/>
    <w:rsid w:val="4E102281"/>
    <w:rsid w:val="4E3D3AAD"/>
    <w:rsid w:val="4E47299C"/>
    <w:rsid w:val="4E704ACE"/>
    <w:rsid w:val="4E81368C"/>
    <w:rsid w:val="4ED67027"/>
    <w:rsid w:val="4EDA7B03"/>
    <w:rsid w:val="4F072E4C"/>
    <w:rsid w:val="4F1171EA"/>
    <w:rsid w:val="4F1C0D7A"/>
    <w:rsid w:val="4F2C3CE9"/>
    <w:rsid w:val="4F4A6982"/>
    <w:rsid w:val="4F530677"/>
    <w:rsid w:val="4F622668"/>
    <w:rsid w:val="4F752402"/>
    <w:rsid w:val="4FC968D9"/>
    <w:rsid w:val="4FF41062"/>
    <w:rsid w:val="504F13FA"/>
    <w:rsid w:val="50A82084"/>
    <w:rsid w:val="50AD3DB7"/>
    <w:rsid w:val="50D605D0"/>
    <w:rsid w:val="51114346"/>
    <w:rsid w:val="51566BAA"/>
    <w:rsid w:val="516E01AD"/>
    <w:rsid w:val="51917235"/>
    <w:rsid w:val="51CB6BEB"/>
    <w:rsid w:val="51DC173E"/>
    <w:rsid w:val="51E65D02"/>
    <w:rsid w:val="51FC6DA4"/>
    <w:rsid w:val="520D7203"/>
    <w:rsid w:val="521606D0"/>
    <w:rsid w:val="522956BF"/>
    <w:rsid w:val="52630BD1"/>
    <w:rsid w:val="52BC29D7"/>
    <w:rsid w:val="52D01FDF"/>
    <w:rsid w:val="52DA7D38"/>
    <w:rsid w:val="52DC6BD6"/>
    <w:rsid w:val="52E9110F"/>
    <w:rsid w:val="52F537F4"/>
    <w:rsid w:val="531B4B18"/>
    <w:rsid w:val="531E0316"/>
    <w:rsid w:val="534E7B91"/>
    <w:rsid w:val="5362593B"/>
    <w:rsid w:val="53C2343A"/>
    <w:rsid w:val="53C5766A"/>
    <w:rsid w:val="53D1600F"/>
    <w:rsid w:val="53FC752F"/>
    <w:rsid w:val="54096145"/>
    <w:rsid w:val="543635BF"/>
    <w:rsid w:val="54417177"/>
    <w:rsid w:val="54752E3E"/>
    <w:rsid w:val="54905ECA"/>
    <w:rsid w:val="54907C78"/>
    <w:rsid w:val="54B576DE"/>
    <w:rsid w:val="54BE4CA1"/>
    <w:rsid w:val="54D04518"/>
    <w:rsid w:val="54D86127"/>
    <w:rsid w:val="54DE2DE2"/>
    <w:rsid w:val="54FF4546"/>
    <w:rsid w:val="553C3BC4"/>
    <w:rsid w:val="554227C3"/>
    <w:rsid w:val="555B07B2"/>
    <w:rsid w:val="555D02CD"/>
    <w:rsid w:val="55774994"/>
    <w:rsid w:val="557C770E"/>
    <w:rsid w:val="558570B1"/>
    <w:rsid w:val="55B1143D"/>
    <w:rsid w:val="55CC0A51"/>
    <w:rsid w:val="55D83684"/>
    <w:rsid w:val="562B140A"/>
    <w:rsid w:val="5630526E"/>
    <w:rsid w:val="56416A39"/>
    <w:rsid w:val="56547E6E"/>
    <w:rsid w:val="56975989"/>
    <w:rsid w:val="56987D1D"/>
    <w:rsid w:val="569B5857"/>
    <w:rsid w:val="56B178A8"/>
    <w:rsid w:val="56CB1729"/>
    <w:rsid w:val="56E42C0C"/>
    <w:rsid w:val="573915E2"/>
    <w:rsid w:val="57911D41"/>
    <w:rsid w:val="57D34C7B"/>
    <w:rsid w:val="57D936E4"/>
    <w:rsid w:val="57E5652D"/>
    <w:rsid w:val="57EE6CBE"/>
    <w:rsid w:val="58022C3B"/>
    <w:rsid w:val="580A1F3C"/>
    <w:rsid w:val="58263D7A"/>
    <w:rsid w:val="586456A3"/>
    <w:rsid w:val="587D0513"/>
    <w:rsid w:val="58C00850"/>
    <w:rsid w:val="58CE248E"/>
    <w:rsid w:val="58D02821"/>
    <w:rsid w:val="58D33612"/>
    <w:rsid w:val="58DF37A3"/>
    <w:rsid w:val="58EC43C6"/>
    <w:rsid w:val="59262FC6"/>
    <w:rsid w:val="59380949"/>
    <w:rsid w:val="59515EF9"/>
    <w:rsid w:val="596F3B96"/>
    <w:rsid w:val="59AF3DFF"/>
    <w:rsid w:val="59C363FA"/>
    <w:rsid w:val="59E55871"/>
    <w:rsid w:val="5A025174"/>
    <w:rsid w:val="5A320FCE"/>
    <w:rsid w:val="5A3966BC"/>
    <w:rsid w:val="5A407A4A"/>
    <w:rsid w:val="5A470DD9"/>
    <w:rsid w:val="5A851901"/>
    <w:rsid w:val="5AC62178"/>
    <w:rsid w:val="5AF034C2"/>
    <w:rsid w:val="5B1B5005"/>
    <w:rsid w:val="5B4D241F"/>
    <w:rsid w:val="5B545E5B"/>
    <w:rsid w:val="5BEF2C11"/>
    <w:rsid w:val="5BF3746A"/>
    <w:rsid w:val="5C0056E3"/>
    <w:rsid w:val="5C036F81"/>
    <w:rsid w:val="5C277114"/>
    <w:rsid w:val="5C413DFD"/>
    <w:rsid w:val="5C4C2CA7"/>
    <w:rsid w:val="5C8207EE"/>
    <w:rsid w:val="5C826784"/>
    <w:rsid w:val="5C9D1184"/>
    <w:rsid w:val="5CA63FA9"/>
    <w:rsid w:val="5CB44D92"/>
    <w:rsid w:val="5CC93458"/>
    <w:rsid w:val="5CCC4F75"/>
    <w:rsid w:val="5CDD7CD2"/>
    <w:rsid w:val="5CED210B"/>
    <w:rsid w:val="5D2544BA"/>
    <w:rsid w:val="5D3A69D3"/>
    <w:rsid w:val="5D570FA6"/>
    <w:rsid w:val="5D5C6349"/>
    <w:rsid w:val="5D737874"/>
    <w:rsid w:val="5D8646F8"/>
    <w:rsid w:val="5D8660BC"/>
    <w:rsid w:val="5DB14783"/>
    <w:rsid w:val="5DCA244C"/>
    <w:rsid w:val="5E3D75FD"/>
    <w:rsid w:val="5E5910D6"/>
    <w:rsid w:val="5E721B5C"/>
    <w:rsid w:val="5E776A60"/>
    <w:rsid w:val="5E802B0B"/>
    <w:rsid w:val="5E810A7B"/>
    <w:rsid w:val="5E892B2C"/>
    <w:rsid w:val="5EBA13FD"/>
    <w:rsid w:val="5EBB7FE7"/>
    <w:rsid w:val="5ECC2455"/>
    <w:rsid w:val="5F0A0E0B"/>
    <w:rsid w:val="5F2D67F5"/>
    <w:rsid w:val="5F4C0C3F"/>
    <w:rsid w:val="5F592AFE"/>
    <w:rsid w:val="5F600DA5"/>
    <w:rsid w:val="5F6B30AD"/>
    <w:rsid w:val="5FAF6FEE"/>
    <w:rsid w:val="5FBC7B73"/>
    <w:rsid w:val="5FBF1411"/>
    <w:rsid w:val="5FD67D35"/>
    <w:rsid w:val="5FEA7F0B"/>
    <w:rsid w:val="60017C7C"/>
    <w:rsid w:val="600D3663"/>
    <w:rsid w:val="607E62CC"/>
    <w:rsid w:val="60E2185B"/>
    <w:rsid w:val="610E08A2"/>
    <w:rsid w:val="612B13A1"/>
    <w:rsid w:val="61A92379"/>
    <w:rsid w:val="61E51C5E"/>
    <w:rsid w:val="61F27457"/>
    <w:rsid w:val="61F524AB"/>
    <w:rsid w:val="61FF7C84"/>
    <w:rsid w:val="620530E0"/>
    <w:rsid w:val="62145A44"/>
    <w:rsid w:val="62262BE0"/>
    <w:rsid w:val="626678E2"/>
    <w:rsid w:val="62E748C0"/>
    <w:rsid w:val="631303F2"/>
    <w:rsid w:val="63506F50"/>
    <w:rsid w:val="63E96724"/>
    <w:rsid w:val="63EA44DC"/>
    <w:rsid w:val="63FA510E"/>
    <w:rsid w:val="63FE0426"/>
    <w:rsid w:val="64124205"/>
    <w:rsid w:val="644D348F"/>
    <w:rsid w:val="64550596"/>
    <w:rsid w:val="6477605C"/>
    <w:rsid w:val="64801AB7"/>
    <w:rsid w:val="649B244D"/>
    <w:rsid w:val="64A537E1"/>
    <w:rsid w:val="64EC5163"/>
    <w:rsid w:val="64EE6A20"/>
    <w:rsid w:val="64F068BE"/>
    <w:rsid w:val="64F658D5"/>
    <w:rsid w:val="650A5824"/>
    <w:rsid w:val="6529160E"/>
    <w:rsid w:val="652A37D1"/>
    <w:rsid w:val="656B1A72"/>
    <w:rsid w:val="65B04D2F"/>
    <w:rsid w:val="65DD6613"/>
    <w:rsid w:val="65E02D5F"/>
    <w:rsid w:val="65E16585"/>
    <w:rsid w:val="65E505B2"/>
    <w:rsid w:val="65F23BAF"/>
    <w:rsid w:val="6603474E"/>
    <w:rsid w:val="660932CF"/>
    <w:rsid w:val="660C5297"/>
    <w:rsid w:val="66417024"/>
    <w:rsid w:val="664B36ED"/>
    <w:rsid w:val="66590E47"/>
    <w:rsid w:val="666340E5"/>
    <w:rsid w:val="66680A54"/>
    <w:rsid w:val="66A4646F"/>
    <w:rsid w:val="66CC2D91"/>
    <w:rsid w:val="66CF2882"/>
    <w:rsid w:val="66E826A9"/>
    <w:rsid w:val="672666F2"/>
    <w:rsid w:val="673132B0"/>
    <w:rsid w:val="676C1E7F"/>
    <w:rsid w:val="67A41618"/>
    <w:rsid w:val="67AC6DD1"/>
    <w:rsid w:val="67DC1391"/>
    <w:rsid w:val="67DD2577"/>
    <w:rsid w:val="68012F0F"/>
    <w:rsid w:val="680421B2"/>
    <w:rsid w:val="6807798D"/>
    <w:rsid w:val="680B1DCD"/>
    <w:rsid w:val="681503E6"/>
    <w:rsid w:val="683B68B2"/>
    <w:rsid w:val="68872E51"/>
    <w:rsid w:val="68AE3467"/>
    <w:rsid w:val="68B24209"/>
    <w:rsid w:val="68C10EA6"/>
    <w:rsid w:val="68CA3301"/>
    <w:rsid w:val="68CC52CB"/>
    <w:rsid w:val="69252C2D"/>
    <w:rsid w:val="692C3FBB"/>
    <w:rsid w:val="693448A9"/>
    <w:rsid w:val="696848C8"/>
    <w:rsid w:val="69824627"/>
    <w:rsid w:val="69892779"/>
    <w:rsid w:val="69BA52E5"/>
    <w:rsid w:val="6A1C4030"/>
    <w:rsid w:val="6A260A0B"/>
    <w:rsid w:val="6A5E5EC5"/>
    <w:rsid w:val="6A75102E"/>
    <w:rsid w:val="6ACD6BE6"/>
    <w:rsid w:val="6ACE4BFE"/>
    <w:rsid w:val="6B075151"/>
    <w:rsid w:val="6B15282D"/>
    <w:rsid w:val="6B5B6548"/>
    <w:rsid w:val="6B6F018F"/>
    <w:rsid w:val="6BDB5825"/>
    <w:rsid w:val="6BE51DE5"/>
    <w:rsid w:val="6C3948F8"/>
    <w:rsid w:val="6C545B9D"/>
    <w:rsid w:val="6C8C6B1F"/>
    <w:rsid w:val="6CA70E8F"/>
    <w:rsid w:val="6CD009DE"/>
    <w:rsid w:val="6CD56CEF"/>
    <w:rsid w:val="6CE801F9"/>
    <w:rsid w:val="6D0603F5"/>
    <w:rsid w:val="6D0854A3"/>
    <w:rsid w:val="6D090706"/>
    <w:rsid w:val="6D1B0A3B"/>
    <w:rsid w:val="6D2A78D9"/>
    <w:rsid w:val="6D2F0CB0"/>
    <w:rsid w:val="6D45564C"/>
    <w:rsid w:val="6D5911AE"/>
    <w:rsid w:val="6D5C2995"/>
    <w:rsid w:val="6D8343C6"/>
    <w:rsid w:val="6D8E5405"/>
    <w:rsid w:val="6D9C2A14"/>
    <w:rsid w:val="6DEA1D4F"/>
    <w:rsid w:val="6DEE4DF9"/>
    <w:rsid w:val="6E4F6056"/>
    <w:rsid w:val="6E724023"/>
    <w:rsid w:val="6E873AFE"/>
    <w:rsid w:val="6E8E0FCC"/>
    <w:rsid w:val="6EBA7973"/>
    <w:rsid w:val="6EC41BFF"/>
    <w:rsid w:val="6EEC1EFB"/>
    <w:rsid w:val="6EF121B8"/>
    <w:rsid w:val="6F3752B5"/>
    <w:rsid w:val="6F392A5E"/>
    <w:rsid w:val="6F675A43"/>
    <w:rsid w:val="6F7F4719"/>
    <w:rsid w:val="6F926B42"/>
    <w:rsid w:val="6FA94B7A"/>
    <w:rsid w:val="6FD67DE1"/>
    <w:rsid w:val="70065AA8"/>
    <w:rsid w:val="70273BAE"/>
    <w:rsid w:val="702D0210"/>
    <w:rsid w:val="70AC68CB"/>
    <w:rsid w:val="70F76C5D"/>
    <w:rsid w:val="70F8039F"/>
    <w:rsid w:val="71236F3D"/>
    <w:rsid w:val="7139610E"/>
    <w:rsid w:val="71581BF0"/>
    <w:rsid w:val="715B31D5"/>
    <w:rsid w:val="716E4E92"/>
    <w:rsid w:val="71755DD4"/>
    <w:rsid w:val="71771B4C"/>
    <w:rsid w:val="71C07997"/>
    <w:rsid w:val="71E73175"/>
    <w:rsid w:val="71F33D12"/>
    <w:rsid w:val="71FC347E"/>
    <w:rsid w:val="71FF1D0A"/>
    <w:rsid w:val="72086C48"/>
    <w:rsid w:val="723637B5"/>
    <w:rsid w:val="727056D0"/>
    <w:rsid w:val="72FB33E4"/>
    <w:rsid w:val="73196236"/>
    <w:rsid w:val="733C7E7A"/>
    <w:rsid w:val="737A3B75"/>
    <w:rsid w:val="737E3B89"/>
    <w:rsid w:val="73816CB2"/>
    <w:rsid w:val="738F0BCE"/>
    <w:rsid w:val="73A55AC9"/>
    <w:rsid w:val="73C11280"/>
    <w:rsid w:val="73D3719B"/>
    <w:rsid w:val="73F41B79"/>
    <w:rsid w:val="740578E3"/>
    <w:rsid w:val="742764D0"/>
    <w:rsid w:val="742A5972"/>
    <w:rsid w:val="742C30C1"/>
    <w:rsid w:val="742F15C1"/>
    <w:rsid w:val="7447614D"/>
    <w:rsid w:val="7451604E"/>
    <w:rsid w:val="74654825"/>
    <w:rsid w:val="748702F8"/>
    <w:rsid w:val="748E7A7C"/>
    <w:rsid w:val="7490063B"/>
    <w:rsid w:val="74BF03A7"/>
    <w:rsid w:val="74F31BEB"/>
    <w:rsid w:val="74F4393E"/>
    <w:rsid w:val="750F72AD"/>
    <w:rsid w:val="7521699E"/>
    <w:rsid w:val="752244C4"/>
    <w:rsid w:val="758D73E2"/>
    <w:rsid w:val="75C842CE"/>
    <w:rsid w:val="75E55C1E"/>
    <w:rsid w:val="76B90225"/>
    <w:rsid w:val="76C5092E"/>
    <w:rsid w:val="76FE5951"/>
    <w:rsid w:val="771066E9"/>
    <w:rsid w:val="77117357"/>
    <w:rsid w:val="778B1457"/>
    <w:rsid w:val="77AA6FDD"/>
    <w:rsid w:val="77DC18CC"/>
    <w:rsid w:val="780116F5"/>
    <w:rsid w:val="780E1917"/>
    <w:rsid w:val="785015CD"/>
    <w:rsid w:val="78576328"/>
    <w:rsid w:val="786077DD"/>
    <w:rsid w:val="786A534C"/>
    <w:rsid w:val="787E7BA9"/>
    <w:rsid w:val="78886D34"/>
    <w:rsid w:val="789C002C"/>
    <w:rsid w:val="78C37D6C"/>
    <w:rsid w:val="78D85FB2"/>
    <w:rsid w:val="791D1B21"/>
    <w:rsid w:val="79222CE5"/>
    <w:rsid w:val="792627D5"/>
    <w:rsid w:val="79675392"/>
    <w:rsid w:val="797E2505"/>
    <w:rsid w:val="79893C49"/>
    <w:rsid w:val="79E94D5A"/>
    <w:rsid w:val="7A106FE1"/>
    <w:rsid w:val="7A2111EE"/>
    <w:rsid w:val="7A29339B"/>
    <w:rsid w:val="7A2C3355"/>
    <w:rsid w:val="7A6868D3"/>
    <w:rsid w:val="7A8552D9"/>
    <w:rsid w:val="7AA775CF"/>
    <w:rsid w:val="7ABB0CFB"/>
    <w:rsid w:val="7ABB2FE7"/>
    <w:rsid w:val="7ABC4A73"/>
    <w:rsid w:val="7AC026A2"/>
    <w:rsid w:val="7AD305E1"/>
    <w:rsid w:val="7AF406B1"/>
    <w:rsid w:val="7B191EC6"/>
    <w:rsid w:val="7B24244C"/>
    <w:rsid w:val="7B2E771F"/>
    <w:rsid w:val="7B825BAD"/>
    <w:rsid w:val="7BA75723"/>
    <w:rsid w:val="7BA94FF8"/>
    <w:rsid w:val="7BD02097"/>
    <w:rsid w:val="7BD91124"/>
    <w:rsid w:val="7C167B78"/>
    <w:rsid w:val="7C1953BA"/>
    <w:rsid w:val="7C1B4DE3"/>
    <w:rsid w:val="7C3B2C04"/>
    <w:rsid w:val="7C52568F"/>
    <w:rsid w:val="7C6151AF"/>
    <w:rsid w:val="7C6554D5"/>
    <w:rsid w:val="7C740168"/>
    <w:rsid w:val="7C765821"/>
    <w:rsid w:val="7C835849"/>
    <w:rsid w:val="7CBB76D8"/>
    <w:rsid w:val="7CCB17CA"/>
    <w:rsid w:val="7CE309DD"/>
    <w:rsid w:val="7CEE743B"/>
    <w:rsid w:val="7D0B6E9E"/>
    <w:rsid w:val="7D1110A6"/>
    <w:rsid w:val="7D63227A"/>
    <w:rsid w:val="7D78205E"/>
    <w:rsid w:val="7D8212B0"/>
    <w:rsid w:val="7D884A57"/>
    <w:rsid w:val="7DA243F4"/>
    <w:rsid w:val="7DAA2A29"/>
    <w:rsid w:val="7DC40443"/>
    <w:rsid w:val="7DE40569"/>
    <w:rsid w:val="7DF80CC1"/>
    <w:rsid w:val="7DFD4780"/>
    <w:rsid w:val="7E105802"/>
    <w:rsid w:val="7E1612D5"/>
    <w:rsid w:val="7E2766A8"/>
    <w:rsid w:val="7E490D14"/>
    <w:rsid w:val="7E490E8C"/>
    <w:rsid w:val="7E5D031B"/>
    <w:rsid w:val="7E747B3F"/>
    <w:rsid w:val="7E8B48A1"/>
    <w:rsid w:val="7EB05F55"/>
    <w:rsid w:val="7ECF3FA0"/>
    <w:rsid w:val="7ECF6CCC"/>
    <w:rsid w:val="7ED30FF3"/>
    <w:rsid w:val="7EEC102B"/>
    <w:rsid w:val="7F712AF3"/>
    <w:rsid w:val="7FB421BD"/>
    <w:rsid w:val="7FD40F23"/>
    <w:rsid w:val="7FFA22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8"/>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9"/>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41"/>
    <w:autoRedefine/>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2"/>
    <w:autoRedefine/>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3"/>
    <w:autoRedefine/>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4"/>
    <w:autoRedefine/>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5"/>
    <w:autoRedefine/>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6"/>
    <w:autoRedefine/>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autoRedefine/>
    <w:qFormat/>
    <w:uiPriority w:val="0"/>
    <w:pPr>
      <w:ind w:firstLine="420"/>
    </w:pPr>
  </w:style>
  <w:style w:type="paragraph" w:styleId="13">
    <w:name w:val="annotation text"/>
    <w:basedOn w:val="1"/>
    <w:link w:val="237"/>
    <w:autoRedefine/>
    <w:unhideWhenUsed/>
    <w:qFormat/>
    <w:uiPriority w:val="99"/>
    <w:pPr>
      <w:jc w:val="left"/>
    </w:pPr>
  </w:style>
  <w:style w:type="paragraph" w:styleId="14">
    <w:name w:val="Body Text"/>
    <w:basedOn w:val="1"/>
    <w:link w:val="90"/>
    <w:autoRedefine/>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49"/>
    <w:autoRedefine/>
    <w:unhideWhenUsed/>
    <w:qFormat/>
    <w:uiPriority w:val="99"/>
    <w:rPr>
      <w:sz w:val="18"/>
      <w:szCs w:val="18"/>
    </w:rPr>
  </w:style>
  <w:style w:type="paragraph" w:styleId="18">
    <w:name w:val="footer"/>
    <w:basedOn w:val="1"/>
    <w:link w:val="48"/>
    <w:autoRedefine/>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7"/>
    <w:autoRedefine/>
    <w:qFormat/>
    <w:uiPriority w:val="99"/>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rPr>
      <w:rFonts w:ascii="宋体"/>
    </w:rPr>
  </w:style>
  <w:style w:type="paragraph" w:styleId="21">
    <w:name w:val="toc 4"/>
    <w:basedOn w:val="1"/>
    <w:next w:val="1"/>
    <w:autoRedefine/>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3"/>
    <w:autoRedefine/>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autoRedefine/>
    <w:semiHidden/>
    <w:qFormat/>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Normal (Web)"/>
    <w:basedOn w:val="1"/>
    <w:autoRedefine/>
    <w:semiHidden/>
    <w:unhideWhenUsed/>
    <w:qFormat/>
    <w:uiPriority w:val="99"/>
    <w:pPr>
      <w:widowControl/>
      <w:adjustRightInd/>
      <w:spacing w:before="100" w:beforeAutospacing="1" w:after="100" w:afterAutospacing="1" w:line="240" w:lineRule="auto"/>
      <w:jc w:val="left"/>
    </w:pPr>
    <w:rPr>
      <w:rFonts w:ascii="宋体" w:hAnsi="宋体" w:cs="宋体"/>
      <w:kern w:val="0"/>
      <w:sz w:val="24"/>
      <w:szCs w:val="24"/>
    </w:rPr>
  </w:style>
  <w:style w:type="paragraph" w:styleId="27">
    <w:name w:val="Title"/>
    <w:basedOn w:val="1"/>
    <w:link w:val="52"/>
    <w:autoRedefine/>
    <w:qFormat/>
    <w:uiPriority w:val="0"/>
    <w:pPr>
      <w:spacing w:before="240" w:after="60"/>
      <w:jc w:val="center"/>
      <w:outlineLvl w:val="0"/>
    </w:pPr>
    <w:rPr>
      <w:rFonts w:ascii="Arial" w:hAnsi="Arial" w:cs="Arial"/>
      <w:b/>
      <w:bCs/>
      <w:sz w:val="32"/>
      <w:szCs w:val="32"/>
    </w:rPr>
  </w:style>
  <w:style w:type="paragraph" w:styleId="28">
    <w:name w:val="annotation subject"/>
    <w:basedOn w:val="13"/>
    <w:next w:val="13"/>
    <w:link w:val="238"/>
    <w:autoRedefine/>
    <w:unhideWhenUsed/>
    <w:qFormat/>
    <w:uiPriority w:val="99"/>
    <w:rPr>
      <w:b/>
      <w:bCs/>
    </w:rPr>
  </w:style>
  <w:style w:type="table" w:styleId="30">
    <w:name w:val="Table Grid"/>
    <w:basedOn w:val="2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autoRedefine/>
    <w:qFormat/>
    <w:uiPriority w:val="22"/>
    <w:rPr>
      <w:b/>
      <w:bCs/>
    </w:rPr>
  </w:style>
  <w:style w:type="character" w:styleId="33">
    <w:name w:val="page number"/>
    <w:autoRedefine/>
    <w:qFormat/>
    <w:uiPriority w:val="0"/>
    <w:rPr>
      <w:rFonts w:ascii="宋体" w:hAnsi="Times New Roman" w:eastAsia="宋体"/>
      <w:sz w:val="18"/>
    </w:rPr>
  </w:style>
  <w:style w:type="character" w:styleId="34">
    <w:name w:val="Emphasis"/>
    <w:autoRedefine/>
    <w:qFormat/>
    <w:uiPriority w:val="20"/>
    <w:rPr>
      <w:i/>
      <w:iCs/>
    </w:rPr>
  </w:style>
  <w:style w:type="character" w:styleId="35">
    <w:name w:val="Hyperlink"/>
    <w:autoRedefine/>
    <w:qFormat/>
    <w:uiPriority w:val="99"/>
    <w:rPr>
      <w:rFonts w:ascii="宋体" w:hAnsi="Times New Roman" w:eastAsia="宋体"/>
      <w:color w:val="auto"/>
      <w:spacing w:val="0"/>
      <w:w w:val="100"/>
      <w:position w:val="0"/>
      <w:sz w:val="21"/>
      <w:u w:val="none"/>
      <w:vertAlign w:val="baseline"/>
    </w:rPr>
  </w:style>
  <w:style w:type="character" w:styleId="36">
    <w:name w:val="annotation reference"/>
    <w:basedOn w:val="31"/>
    <w:autoRedefine/>
    <w:unhideWhenUsed/>
    <w:qFormat/>
    <w:uiPriority w:val="99"/>
    <w:rPr>
      <w:sz w:val="21"/>
      <w:szCs w:val="21"/>
    </w:rPr>
  </w:style>
  <w:style w:type="character" w:styleId="37">
    <w:name w:val="footnote reference"/>
    <w:autoRedefine/>
    <w:semiHidden/>
    <w:qFormat/>
    <w:uiPriority w:val="0"/>
    <w:rPr>
      <w:rFonts w:ascii="宋体" w:hAnsi="宋体" w:eastAsia="宋体" w:cs="Times New Roman"/>
      <w:spacing w:val="0"/>
      <w:sz w:val="18"/>
      <w:vertAlign w:val="superscript"/>
    </w:rPr>
  </w:style>
  <w:style w:type="character" w:customStyle="1" w:styleId="38">
    <w:name w:val="标题 1 字符"/>
    <w:link w:val="2"/>
    <w:autoRedefine/>
    <w:qFormat/>
    <w:uiPriority w:val="9"/>
    <w:rPr>
      <w:rFonts w:ascii="Times New Roman" w:hAnsi="Times New Roman" w:eastAsia="宋体" w:cs="Times New Roman"/>
      <w:b/>
      <w:bCs/>
      <w:kern w:val="44"/>
      <w:sz w:val="44"/>
      <w:szCs w:val="44"/>
    </w:rPr>
  </w:style>
  <w:style w:type="character" w:customStyle="1" w:styleId="39">
    <w:name w:val="标题 2 字符"/>
    <w:link w:val="3"/>
    <w:autoRedefine/>
    <w:qFormat/>
    <w:uiPriority w:val="0"/>
    <w:rPr>
      <w:rFonts w:ascii="Arial" w:hAnsi="Arial" w:eastAsia="黑体" w:cs="Times New Roman"/>
      <w:b/>
      <w:bCs/>
      <w:sz w:val="32"/>
      <w:szCs w:val="32"/>
    </w:rPr>
  </w:style>
  <w:style w:type="character" w:customStyle="1" w:styleId="40">
    <w:name w:val="标题 3 字符"/>
    <w:link w:val="4"/>
    <w:autoRedefine/>
    <w:qFormat/>
    <w:uiPriority w:val="0"/>
    <w:rPr>
      <w:rFonts w:ascii="Times New Roman" w:hAnsi="Times New Roman" w:eastAsia="宋体" w:cs="Times New Roman"/>
      <w:b/>
      <w:bCs/>
      <w:sz w:val="32"/>
      <w:szCs w:val="32"/>
    </w:rPr>
  </w:style>
  <w:style w:type="character" w:customStyle="1" w:styleId="41">
    <w:name w:val="标题 4 字符"/>
    <w:link w:val="5"/>
    <w:autoRedefine/>
    <w:qFormat/>
    <w:uiPriority w:val="9"/>
    <w:rPr>
      <w:rFonts w:ascii="Arial" w:hAnsi="Arial" w:eastAsia="黑体" w:cs="Times New Roman"/>
      <w:b/>
      <w:bCs/>
      <w:sz w:val="28"/>
      <w:szCs w:val="28"/>
    </w:rPr>
  </w:style>
  <w:style w:type="character" w:customStyle="1" w:styleId="42">
    <w:name w:val="标题 5 字符"/>
    <w:link w:val="6"/>
    <w:autoRedefine/>
    <w:qFormat/>
    <w:uiPriority w:val="0"/>
    <w:rPr>
      <w:rFonts w:ascii="Times New Roman" w:hAnsi="Times New Roman" w:eastAsia="宋体" w:cs="Times New Roman"/>
      <w:b/>
      <w:bCs/>
      <w:sz w:val="28"/>
      <w:szCs w:val="28"/>
    </w:rPr>
  </w:style>
  <w:style w:type="character" w:customStyle="1" w:styleId="43">
    <w:name w:val="标题 6 字符"/>
    <w:link w:val="7"/>
    <w:autoRedefine/>
    <w:qFormat/>
    <w:uiPriority w:val="0"/>
    <w:rPr>
      <w:rFonts w:ascii="Arial" w:hAnsi="Arial" w:eastAsia="黑体" w:cs="Times New Roman"/>
      <w:b/>
      <w:bCs/>
      <w:sz w:val="24"/>
      <w:szCs w:val="24"/>
    </w:rPr>
  </w:style>
  <w:style w:type="character" w:customStyle="1" w:styleId="44">
    <w:name w:val="标题 7 字符"/>
    <w:link w:val="8"/>
    <w:autoRedefine/>
    <w:qFormat/>
    <w:uiPriority w:val="0"/>
    <w:rPr>
      <w:rFonts w:ascii="Times New Roman" w:hAnsi="Times New Roman" w:eastAsia="宋体" w:cs="Times New Roman"/>
      <w:b/>
      <w:bCs/>
      <w:sz w:val="24"/>
      <w:szCs w:val="24"/>
    </w:rPr>
  </w:style>
  <w:style w:type="character" w:customStyle="1" w:styleId="45">
    <w:name w:val="标题 8 字符"/>
    <w:link w:val="9"/>
    <w:autoRedefine/>
    <w:qFormat/>
    <w:uiPriority w:val="0"/>
    <w:rPr>
      <w:rFonts w:ascii="Arial" w:hAnsi="Arial" w:eastAsia="黑体" w:cs="Times New Roman"/>
      <w:sz w:val="24"/>
      <w:szCs w:val="24"/>
    </w:rPr>
  </w:style>
  <w:style w:type="character" w:customStyle="1" w:styleId="46">
    <w:name w:val="标题 9 字符"/>
    <w:link w:val="10"/>
    <w:autoRedefine/>
    <w:qFormat/>
    <w:uiPriority w:val="0"/>
    <w:rPr>
      <w:rFonts w:ascii="Arial" w:hAnsi="Arial" w:eastAsia="黑体" w:cs="Times New Roman"/>
      <w:szCs w:val="21"/>
    </w:rPr>
  </w:style>
  <w:style w:type="character" w:customStyle="1" w:styleId="47">
    <w:name w:val="页眉 字符"/>
    <w:link w:val="19"/>
    <w:autoRedefine/>
    <w:qFormat/>
    <w:uiPriority w:val="99"/>
    <w:rPr>
      <w:rFonts w:ascii="Times New Roman" w:hAnsi="Times New Roman" w:eastAsia="宋体" w:cs="Times New Roman"/>
      <w:sz w:val="18"/>
      <w:szCs w:val="18"/>
    </w:rPr>
  </w:style>
  <w:style w:type="character" w:customStyle="1" w:styleId="48">
    <w:name w:val="页脚 字符"/>
    <w:link w:val="18"/>
    <w:autoRedefine/>
    <w:qFormat/>
    <w:uiPriority w:val="99"/>
    <w:rPr>
      <w:rFonts w:ascii="宋体" w:hAnsi="Times New Roman" w:eastAsia="宋体" w:cs="Times New Roman"/>
      <w:sz w:val="18"/>
      <w:szCs w:val="18"/>
    </w:rPr>
  </w:style>
  <w:style w:type="character" w:customStyle="1" w:styleId="49">
    <w:name w:val="批注框文本 字符"/>
    <w:link w:val="17"/>
    <w:autoRedefine/>
    <w:semiHidden/>
    <w:qFormat/>
    <w:uiPriority w:val="99"/>
    <w:rPr>
      <w:sz w:val="18"/>
      <w:szCs w:val="18"/>
    </w:rPr>
  </w:style>
  <w:style w:type="paragraph" w:customStyle="1" w:styleId="50">
    <w:name w:val="引用1"/>
    <w:basedOn w:val="1"/>
    <w:next w:val="1"/>
    <w:link w:val="51"/>
    <w:autoRedefine/>
    <w:qFormat/>
    <w:uiPriority w:val="29"/>
    <w:rPr>
      <w:i/>
      <w:iCs/>
      <w:color w:val="000000"/>
    </w:rPr>
  </w:style>
  <w:style w:type="character" w:customStyle="1" w:styleId="51">
    <w:name w:val="引用 字符"/>
    <w:link w:val="50"/>
    <w:autoRedefine/>
    <w:qFormat/>
    <w:uiPriority w:val="29"/>
    <w:rPr>
      <w:i/>
      <w:iCs/>
      <w:color w:val="000000"/>
    </w:rPr>
  </w:style>
  <w:style w:type="character" w:customStyle="1" w:styleId="52">
    <w:name w:val="标题 字符"/>
    <w:link w:val="27"/>
    <w:autoRedefine/>
    <w:qFormat/>
    <w:uiPriority w:val="0"/>
    <w:rPr>
      <w:rFonts w:ascii="Arial" w:hAnsi="Arial" w:eastAsia="宋体" w:cs="Arial"/>
      <w:b/>
      <w:bCs/>
      <w:sz w:val="32"/>
      <w:szCs w:val="32"/>
    </w:rPr>
  </w:style>
  <w:style w:type="paragraph" w:customStyle="1" w:styleId="53">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4">
    <w:name w:val="标准称谓"/>
    <w:next w:val="1"/>
    <w:autoRedefine/>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5">
    <w:name w:val="标准文件_页脚偶数页"/>
    <w:autoRedefine/>
    <w:qFormat/>
    <w:uiPriority w:val="0"/>
    <w:pPr>
      <w:ind w:left="198"/>
    </w:pPr>
    <w:rPr>
      <w:rFonts w:ascii="宋体" w:hAnsi="Times New Roman" w:eastAsia="宋体" w:cs="Times New Roman"/>
      <w:sz w:val="18"/>
      <w:lang w:val="en-US" w:eastAsia="zh-CN" w:bidi="ar-SA"/>
    </w:rPr>
  </w:style>
  <w:style w:type="paragraph" w:customStyle="1" w:styleId="56">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57">
    <w:name w:val="标准书眉一"/>
    <w:autoRedefine/>
    <w:qFormat/>
    <w:uiPriority w:val="0"/>
    <w:pPr>
      <w:jc w:val="both"/>
    </w:pPr>
    <w:rPr>
      <w:rFonts w:ascii="Times New Roman" w:hAnsi="Times New Roman" w:eastAsia="宋体" w:cs="Times New Roman"/>
      <w:lang w:val="en-US" w:eastAsia="zh-CN" w:bidi="ar-SA"/>
    </w:rPr>
  </w:style>
  <w:style w:type="paragraph" w:customStyle="1" w:styleId="58">
    <w:name w:val="标准文件_ICS"/>
    <w:basedOn w:val="1"/>
    <w:autoRedefine/>
    <w:qFormat/>
    <w:uiPriority w:val="0"/>
    <w:pPr>
      <w:spacing w:line="0" w:lineRule="atLeast"/>
    </w:pPr>
    <w:rPr>
      <w:rFonts w:ascii="黑体" w:hAnsi="宋体" w:eastAsia="黑体"/>
    </w:rPr>
  </w:style>
  <w:style w:type="paragraph" w:customStyle="1" w:styleId="59">
    <w:name w:val="标准文件_标准正文"/>
    <w:basedOn w:val="1"/>
    <w:next w:val="60"/>
    <w:autoRedefine/>
    <w:qFormat/>
    <w:uiPriority w:val="0"/>
    <w:pPr>
      <w:snapToGrid w:val="0"/>
      <w:ind w:firstLine="200" w:firstLineChars="200"/>
    </w:pPr>
    <w:rPr>
      <w:kern w:val="0"/>
    </w:rPr>
  </w:style>
  <w:style w:type="paragraph" w:customStyle="1" w:styleId="60">
    <w:name w:val="标准文件_段"/>
    <w:link w:val="188"/>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1">
    <w:name w:val="标准文件_版本"/>
    <w:basedOn w:val="59"/>
    <w:autoRedefine/>
    <w:qFormat/>
    <w:uiPriority w:val="0"/>
    <w:pPr>
      <w:adjustRightInd/>
      <w:snapToGrid/>
      <w:ind w:firstLine="0" w:firstLineChars="0"/>
    </w:pPr>
    <w:rPr>
      <w:rFonts w:ascii="宋体" w:hAnsi="宋体"/>
      <w:kern w:val="2"/>
    </w:rPr>
  </w:style>
  <w:style w:type="paragraph" w:customStyle="1" w:styleId="62">
    <w:name w:val="标准文件_标准部门"/>
    <w:basedOn w:val="1"/>
    <w:autoRedefine/>
    <w:qFormat/>
    <w:uiPriority w:val="0"/>
    <w:pPr>
      <w:jc w:val="center"/>
    </w:pPr>
    <w:rPr>
      <w:rFonts w:ascii="黑体" w:eastAsia="黑体"/>
      <w:kern w:val="0"/>
      <w:sz w:val="44"/>
    </w:rPr>
  </w:style>
  <w:style w:type="paragraph" w:customStyle="1" w:styleId="63">
    <w:name w:val="标准文件_标准代替"/>
    <w:basedOn w:val="1"/>
    <w:next w:val="1"/>
    <w:autoRedefine/>
    <w:qFormat/>
    <w:uiPriority w:val="0"/>
    <w:pPr>
      <w:spacing w:line="310" w:lineRule="exact"/>
      <w:jc w:val="right"/>
    </w:pPr>
    <w:rPr>
      <w:rFonts w:ascii="宋体" w:hAnsi="宋体"/>
      <w:kern w:val="0"/>
    </w:rPr>
  </w:style>
  <w:style w:type="paragraph" w:customStyle="1" w:styleId="64">
    <w:name w:val="标准文件_标准名称标题"/>
    <w:basedOn w:val="1"/>
    <w:next w:val="1"/>
    <w:link w:val="246"/>
    <w:autoRedefine/>
    <w:qFormat/>
    <w:uiPriority w:val="0"/>
    <w:pPr>
      <w:widowControl/>
      <w:shd w:val="clear" w:color="FFFFFF" w:fill="FFFFFF"/>
      <w:adjustRightInd/>
      <w:spacing w:before="640" w:after="100"/>
      <w:jc w:val="center"/>
    </w:pPr>
    <w:rPr>
      <w:rFonts w:ascii="黑体" w:eastAsia="黑体"/>
      <w:kern w:val="0"/>
      <w:sz w:val="32"/>
    </w:rPr>
  </w:style>
  <w:style w:type="paragraph" w:customStyle="1" w:styleId="65">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6">
    <w:name w:val="标准文件_页眉偶数页"/>
    <w:basedOn w:val="65"/>
    <w:next w:val="1"/>
    <w:autoRedefine/>
    <w:qFormat/>
    <w:uiPriority w:val="0"/>
    <w:pPr>
      <w:jc w:val="left"/>
    </w:pPr>
  </w:style>
  <w:style w:type="paragraph" w:customStyle="1" w:styleId="67">
    <w:name w:val="标准文件_参考文献标题"/>
    <w:basedOn w:val="1"/>
    <w:next w:val="1"/>
    <w:autoRedefine/>
    <w:qFormat/>
    <w:uiPriority w:val="0"/>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68">
    <w:name w:val="标准文件_参考文献条目"/>
    <w:autoRedefine/>
    <w:qFormat/>
    <w:uiPriority w:val="0"/>
    <w:pPr>
      <w:numPr>
        <w:ilvl w:val="0"/>
        <w:numId w:val="1"/>
      </w:numPr>
    </w:pPr>
    <w:rPr>
      <w:rFonts w:ascii="宋体" w:hAnsi="Times New Roman" w:eastAsia="宋体" w:cs="Times New Roman"/>
      <w:lang w:val="en-US" w:eastAsia="zh-CN" w:bidi="ar-SA"/>
    </w:rPr>
  </w:style>
  <w:style w:type="paragraph" w:customStyle="1" w:styleId="69">
    <w:name w:val="标准文件_二级条标题"/>
    <w:next w:val="60"/>
    <w:link w:val="247"/>
    <w:autoRedefine/>
    <w:qFormat/>
    <w:uiPriority w:val="0"/>
    <w:pPr>
      <w:widowControl w:val="0"/>
      <w:numPr>
        <w:ilvl w:val="3"/>
        <w:numId w:val="2"/>
      </w:numPr>
      <w:spacing w:before="120" w:beforeLines="50" w:after="120" w:afterLines="50"/>
      <w:jc w:val="both"/>
      <w:outlineLvl w:val="2"/>
    </w:pPr>
    <w:rPr>
      <w:rFonts w:ascii="黑体" w:hAnsi="Times New Roman" w:eastAsia="黑体" w:cs="Times New Roman"/>
      <w:sz w:val="21"/>
      <w:lang w:val="en-US" w:eastAsia="zh-CN" w:bidi="ar-SA"/>
    </w:rPr>
  </w:style>
  <w:style w:type="character" w:customStyle="1" w:styleId="70">
    <w:name w:val="标准文件_发布"/>
    <w:autoRedefine/>
    <w:qFormat/>
    <w:uiPriority w:val="0"/>
    <w:rPr>
      <w:rFonts w:ascii="黑体" w:eastAsia="黑体"/>
      <w:spacing w:val="0"/>
      <w:w w:val="100"/>
      <w:position w:val="3"/>
      <w:sz w:val="28"/>
    </w:rPr>
  </w:style>
  <w:style w:type="paragraph" w:customStyle="1" w:styleId="71">
    <w:name w:val="标准文件_方框数字列项"/>
    <w:basedOn w:val="60"/>
    <w:autoRedefine/>
    <w:qFormat/>
    <w:uiPriority w:val="0"/>
    <w:pPr>
      <w:numPr>
        <w:ilvl w:val="0"/>
        <w:numId w:val="3"/>
      </w:numPr>
      <w:ind w:firstLine="0" w:firstLineChars="0"/>
    </w:pPr>
  </w:style>
  <w:style w:type="paragraph" w:customStyle="1" w:styleId="72">
    <w:name w:val="标准文件_封面标准编号"/>
    <w:basedOn w:val="1"/>
    <w:next w:val="63"/>
    <w:autoRedefine/>
    <w:qFormat/>
    <w:uiPriority w:val="0"/>
    <w:pPr>
      <w:spacing w:line="310" w:lineRule="exact"/>
      <w:jc w:val="right"/>
    </w:pPr>
    <w:rPr>
      <w:rFonts w:ascii="黑体" w:eastAsia="黑体"/>
      <w:kern w:val="0"/>
      <w:sz w:val="28"/>
    </w:rPr>
  </w:style>
  <w:style w:type="paragraph" w:customStyle="1" w:styleId="73">
    <w:name w:val="标准文件_封面标准分类号"/>
    <w:basedOn w:val="1"/>
    <w:autoRedefine/>
    <w:qFormat/>
    <w:uiPriority w:val="0"/>
    <w:rPr>
      <w:rFonts w:ascii="黑体" w:eastAsia="黑体"/>
      <w:b/>
      <w:kern w:val="0"/>
      <w:sz w:val="28"/>
    </w:rPr>
  </w:style>
  <w:style w:type="paragraph" w:customStyle="1" w:styleId="74">
    <w:name w:val="标准文件_封面标准名称"/>
    <w:basedOn w:val="1"/>
    <w:autoRedefine/>
    <w:qFormat/>
    <w:uiPriority w:val="0"/>
    <w:pPr>
      <w:spacing w:line="240" w:lineRule="auto"/>
      <w:jc w:val="center"/>
    </w:pPr>
    <w:rPr>
      <w:rFonts w:ascii="黑体" w:eastAsia="黑体"/>
      <w:kern w:val="0"/>
      <w:sz w:val="52"/>
    </w:rPr>
  </w:style>
  <w:style w:type="paragraph" w:customStyle="1" w:styleId="75">
    <w:name w:val="标准文件_封面标准英文名称"/>
    <w:basedOn w:val="1"/>
    <w:autoRedefine/>
    <w:qFormat/>
    <w:uiPriority w:val="0"/>
    <w:pPr>
      <w:spacing w:line="240" w:lineRule="auto"/>
      <w:jc w:val="center"/>
    </w:pPr>
    <w:rPr>
      <w:rFonts w:ascii="黑体" w:eastAsia="黑体"/>
      <w:b/>
      <w:sz w:val="28"/>
    </w:rPr>
  </w:style>
  <w:style w:type="paragraph" w:customStyle="1" w:styleId="76">
    <w:name w:val="标准文件_封面发布日期"/>
    <w:basedOn w:val="1"/>
    <w:autoRedefine/>
    <w:qFormat/>
    <w:uiPriority w:val="0"/>
    <w:pPr>
      <w:spacing w:line="310" w:lineRule="exact"/>
    </w:pPr>
    <w:rPr>
      <w:rFonts w:ascii="黑体" w:eastAsia="黑体"/>
      <w:kern w:val="0"/>
      <w:sz w:val="28"/>
    </w:rPr>
  </w:style>
  <w:style w:type="paragraph" w:customStyle="1" w:styleId="77">
    <w:name w:val="标准文件_封面密级"/>
    <w:basedOn w:val="1"/>
    <w:autoRedefine/>
    <w:qFormat/>
    <w:uiPriority w:val="0"/>
    <w:rPr>
      <w:rFonts w:eastAsia="黑体"/>
      <w:sz w:val="32"/>
    </w:rPr>
  </w:style>
  <w:style w:type="paragraph" w:customStyle="1" w:styleId="78">
    <w:name w:val="标准文件_封面实施日期"/>
    <w:basedOn w:val="1"/>
    <w:autoRedefine/>
    <w:qFormat/>
    <w:uiPriority w:val="0"/>
    <w:pPr>
      <w:spacing w:line="310" w:lineRule="exact"/>
      <w:jc w:val="right"/>
    </w:pPr>
    <w:rPr>
      <w:rFonts w:ascii="黑体" w:eastAsia="黑体"/>
      <w:sz w:val="28"/>
    </w:rPr>
  </w:style>
  <w:style w:type="paragraph" w:customStyle="1" w:styleId="79">
    <w:name w:val="标准文件_封面抬头"/>
    <w:basedOn w:val="60"/>
    <w:autoRedefine/>
    <w:qFormat/>
    <w:uiPriority w:val="0"/>
    <w:pPr>
      <w:adjustRightInd w:val="0"/>
      <w:spacing w:line="800" w:lineRule="exact"/>
      <w:ind w:firstLine="0" w:firstLineChars="0"/>
      <w:jc w:val="distribute"/>
    </w:pPr>
    <w:rPr>
      <w:rFonts w:ascii="黑体" w:eastAsia="黑体"/>
      <w:b/>
      <w:sz w:val="64"/>
    </w:rPr>
  </w:style>
  <w:style w:type="paragraph" w:customStyle="1" w:styleId="80">
    <w:name w:val="标准文件_附录标识"/>
    <w:next w:val="60"/>
    <w:autoRedefine/>
    <w:qFormat/>
    <w:uiPriority w:val="0"/>
    <w:pPr>
      <w:numPr>
        <w:ilvl w:val="0"/>
        <w:numId w:val="4"/>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81">
    <w:name w:val="标准文件_附录表标题"/>
    <w:next w:val="60"/>
    <w:autoRedefine/>
    <w:qFormat/>
    <w:uiPriority w:val="0"/>
    <w:pPr>
      <w:numPr>
        <w:ilvl w:val="1"/>
        <w:numId w:val="5"/>
      </w:numPr>
      <w:adjustRightInd w:val="0"/>
      <w:snapToGrid w:val="0"/>
      <w:spacing w:beforeLines="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2">
    <w:name w:val="标准文件_附录一级条标题"/>
    <w:next w:val="60"/>
    <w:autoRedefine/>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83">
    <w:name w:val="标准文件_附录二级条标题"/>
    <w:basedOn w:val="82"/>
    <w:next w:val="60"/>
    <w:autoRedefine/>
    <w:qFormat/>
    <w:uiPriority w:val="0"/>
    <w:pPr>
      <w:widowControl/>
      <w:numPr>
        <w:ilvl w:val="2"/>
      </w:numPr>
      <w:wordWrap w:val="0"/>
      <w:overflowPunct w:val="0"/>
      <w:autoSpaceDE w:val="0"/>
      <w:autoSpaceDN w:val="0"/>
      <w:textAlignment w:val="baseline"/>
      <w:outlineLvl w:val="3"/>
    </w:pPr>
  </w:style>
  <w:style w:type="paragraph" w:customStyle="1" w:styleId="84">
    <w:name w:val="标准文件_附录公式"/>
    <w:basedOn w:val="59"/>
    <w:next w:val="59"/>
    <w:autoRedefine/>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5">
    <w:name w:val="标准文件_附录三级条标题"/>
    <w:next w:val="60"/>
    <w:autoRedefine/>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86">
    <w:name w:val="标准文件_附录四级条标题"/>
    <w:next w:val="60"/>
    <w:autoRedefine/>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87">
    <w:name w:val="标准文件_附录图标题"/>
    <w:next w:val="60"/>
    <w:autoRedefine/>
    <w:qFormat/>
    <w:uiPriority w:val="0"/>
    <w:pPr>
      <w:numPr>
        <w:ilvl w:val="1"/>
        <w:numId w:val="6"/>
      </w:numPr>
      <w:adjustRightInd w:val="0"/>
      <w:snapToGrid w:val="0"/>
      <w:spacing w:beforeLines="50" w:afterLines="50"/>
      <w:ind w:firstLine="420"/>
      <w:jc w:val="center"/>
    </w:pPr>
    <w:rPr>
      <w:rFonts w:ascii="黑体" w:hAnsi="Times New Roman" w:eastAsia="黑体" w:cs="Times New Roman"/>
      <w:sz w:val="21"/>
      <w:lang w:val="en-US" w:eastAsia="zh-CN" w:bidi="ar-SA"/>
    </w:rPr>
  </w:style>
  <w:style w:type="paragraph" w:customStyle="1" w:styleId="88">
    <w:name w:val="标准文件_附录五级条标题"/>
    <w:next w:val="60"/>
    <w:autoRedefine/>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89">
    <w:name w:val="标准文件_附录英文标识"/>
    <w:next w:val="14"/>
    <w:autoRedefine/>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0">
    <w:name w:val="正文文本 字符"/>
    <w:link w:val="14"/>
    <w:autoRedefine/>
    <w:qFormat/>
    <w:uiPriority w:val="0"/>
    <w:rPr>
      <w:rFonts w:ascii="Times New Roman" w:hAnsi="Times New Roman" w:eastAsia="宋体" w:cs="Times New Roman"/>
      <w:szCs w:val="20"/>
    </w:rPr>
  </w:style>
  <w:style w:type="paragraph" w:customStyle="1" w:styleId="91">
    <w:name w:val="标准文件_附录章标题"/>
    <w:next w:val="60"/>
    <w:autoRedefine/>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2">
    <w:name w:val="标准文件_公式后的破折号"/>
    <w:basedOn w:val="60"/>
    <w:next w:val="60"/>
    <w:autoRedefine/>
    <w:qFormat/>
    <w:uiPriority w:val="0"/>
    <w:pPr>
      <w:ind w:left="488" w:leftChars="200" w:hanging="289" w:hangingChars="290"/>
    </w:pPr>
  </w:style>
  <w:style w:type="paragraph" w:customStyle="1" w:styleId="93">
    <w:name w:val="标准文件_前言、引言标题"/>
    <w:next w:val="1"/>
    <w:link w:val="249"/>
    <w:autoRedefine/>
    <w:qFormat/>
    <w:uiPriority w:val="0"/>
    <w:pPr>
      <w:numPr>
        <w:ilvl w:val="0"/>
        <w:numId w:val="8"/>
      </w:numPr>
      <w:shd w:val="clear" w:color="FFFFFF" w:fill="FFFFFF"/>
      <w:spacing w:afterLines="150"/>
      <w:ind w:left="0" w:firstLine="0"/>
      <w:jc w:val="center"/>
      <w:outlineLvl w:val="0"/>
    </w:pPr>
    <w:rPr>
      <w:rFonts w:ascii="黑体" w:hAnsi="Times New Roman" w:eastAsia="黑体" w:cs="Times New Roman"/>
      <w:sz w:val="32"/>
      <w:lang w:val="en-US" w:eastAsia="zh-CN" w:bidi="ar-SA"/>
    </w:rPr>
  </w:style>
  <w:style w:type="paragraph" w:customStyle="1" w:styleId="94">
    <w:name w:val="标准文件_目次、标准名称标题"/>
    <w:basedOn w:val="93"/>
    <w:next w:val="60"/>
    <w:link w:val="248"/>
    <w:autoRedefine/>
    <w:qFormat/>
    <w:uiPriority w:val="0"/>
    <w:pPr>
      <w:spacing w:line="460" w:lineRule="exact"/>
    </w:pPr>
  </w:style>
  <w:style w:type="paragraph" w:customStyle="1" w:styleId="95">
    <w:name w:val="标准文件_目录标题"/>
    <w:basedOn w:val="1"/>
    <w:autoRedefine/>
    <w:qFormat/>
    <w:uiPriority w:val="0"/>
    <w:pPr>
      <w:spacing w:afterLines="150" w:line="240" w:lineRule="auto"/>
      <w:jc w:val="center"/>
    </w:pPr>
    <w:rPr>
      <w:rFonts w:ascii="黑体" w:eastAsia="黑体"/>
      <w:sz w:val="32"/>
    </w:rPr>
  </w:style>
  <w:style w:type="paragraph" w:customStyle="1" w:styleId="96">
    <w:name w:val="标准文件_破折号列项"/>
    <w:autoRedefine/>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7">
    <w:name w:val="标准文件_破折号列项（二级）"/>
    <w:basedOn w:val="96"/>
    <w:autoRedefine/>
    <w:qFormat/>
    <w:uiPriority w:val="0"/>
    <w:pPr>
      <w:numPr>
        <w:numId w:val="10"/>
      </w:numPr>
      <w:ind w:left="0" w:firstLine="200"/>
    </w:pPr>
  </w:style>
  <w:style w:type="paragraph" w:customStyle="1" w:styleId="98">
    <w:name w:val="标准文件_三级条标题"/>
    <w:basedOn w:val="69"/>
    <w:next w:val="60"/>
    <w:link w:val="250"/>
    <w:autoRedefine/>
    <w:qFormat/>
    <w:uiPriority w:val="0"/>
    <w:pPr>
      <w:widowControl/>
      <w:numPr>
        <w:ilvl w:val="4"/>
      </w:numPr>
      <w:outlineLvl w:val="3"/>
    </w:pPr>
  </w:style>
  <w:style w:type="character" w:customStyle="1" w:styleId="99">
    <w:name w:val="不明显参考1"/>
    <w:autoRedefine/>
    <w:qFormat/>
    <w:uiPriority w:val="31"/>
    <w:rPr>
      <w:smallCaps/>
      <w:color w:val="C0504D"/>
      <w:u w:val="single"/>
    </w:rPr>
  </w:style>
  <w:style w:type="paragraph" w:customStyle="1" w:styleId="100">
    <w:name w:val="标准文件_示例后续"/>
    <w:basedOn w:val="1"/>
    <w:autoRedefine/>
    <w:qFormat/>
    <w:uiPriority w:val="0"/>
    <w:pPr>
      <w:adjustRightInd/>
      <w:spacing w:line="240" w:lineRule="auto"/>
      <w:ind w:firstLine="200" w:firstLineChars="200"/>
    </w:pPr>
    <w:rPr>
      <w:sz w:val="18"/>
      <w:szCs w:val="24"/>
    </w:rPr>
  </w:style>
  <w:style w:type="paragraph" w:customStyle="1" w:styleId="101">
    <w:name w:val="标准文件_数字编号列项"/>
    <w:autoRedefine/>
    <w:qFormat/>
    <w:uiPriority w:val="0"/>
    <w:pPr>
      <w:numPr>
        <w:ilvl w:val="0"/>
        <w:numId w:val="11"/>
      </w:numPr>
      <w:jc w:val="both"/>
    </w:pPr>
    <w:rPr>
      <w:rFonts w:ascii="宋体" w:hAnsi="宋体" w:eastAsia="宋体" w:cs="Times New Roman"/>
      <w:sz w:val="21"/>
      <w:lang w:val="en-US" w:eastAsia="zh-CN" w:bidi="ar-SA"/>
    </w:rPr>
  </w:style>
  <w:style w:type="paragraph" w:customStyle="1" w:styleId="102">
    <w:name w:val="标准文件_四级条标题"/>
    <w:next w:val="60"/>
    <w:link w:val="261"/>
    <w:autoRedefine/>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character" w:customStyle="1" w:styleId="103">
    <w:name w:val="脚注文本 字符"/>
    <w:link w:val="22"/>
    <w:autoRedefine/>
    <w:semiHidden/>
    <w:qFormat/>
    <w:uiPriority w:val="0"/>
    <w:rPr>
      <w:rFonts w:ascii="宋体" w:hAnsi="Times New Roman" w:eastAsia="宋体" w:cs="Times New Roman"/>
      <w:sz w:val="18"/>
      <w:szCs w:val="18"/>
    </w:rPr>
  </w:style>
  <w:style w:type="paragraph" w:customStyle="1" w:styleId="104">
    <w:name w:val="标准文件_条文脚注"/>
    <w:basedOn w:val="22"/>
    <w:link w:val="259"/>
    <w:autoRedefine/>
    <w:qFormat/>
    <w:uiPriority w:val="0"/>
    <w:pPr>
      <w:adjustRightInd w:val="0"/>
      <w:spacing w:line="240" w:lineRule="auto"/>
      <w:ind w:left="0" w:leftChars="0" w:firstLine="200" w:firstLineChars="200"/>
      <w:jc w:val="both"/>
    </w:pPr>
    <w:rPr>
      <w:rFonts w:hAnsi="宋体"/>
    </w:rPr>
  </w:style>
  <w:style w:type="paragraph" w:customStyle="1" w:styleId="105">
    <w:name w:val="标准文件_图表脚注"/>
    <w:basedOn w:val="1"/>
    <w:next w:val="60"/>
    <w:link w:val="258"/>
    <w:autoRedefine/>
    <w:qFormat/>
    <w:uiPriority w:val="0"/>
    <w:pPr>
      <w:numPr>
        <w:ilvl w:val="0"/>
        <w:numId w:val="12"/>
      </w:numPr>
      <w:spacing w:line="240" w:lineRule="auto"/>
      <w:jc w:val="left"/>
    </w:pPr>
    <w:rPr>
      <w:rFonts w:ascii="宋体" w:hAnsi="宋体"/>
      <w:sz w:val="18"/>
    </w:rPr>
  </w:style>
  <w:style w:type="character" w:customStyle="1" w:styleId="106">
    <w:name w:val="标准文件_图表脚注内容"/>
    <w:autoRedefine/>
    <w:qFormat/>
    <w:uiPriority w:val="0"/>
    <w:rPr>
      <w:rFonts w:ascii="宋体" w:hAnsi="宋体" w:eastAsia="宋体" w:cs="Times New Roman"/>
      <w:spacing w:val="0"/>
      <w:sz w:val="18"/>
      <w:vertAlign w:val="superscript"/>
    </w:rPr>
  </w:style>
  <w:style w:type="paragraph" w:customStyle="1" w:styleId="107">
    <w:name w:val="标准文件_五级条标题"/>
    <w:next w:val="60"/>
    <w:link w:val="257"/>
    <w:autoRedefine/>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08">
    <w:name w:val="标准文件_章标题"/>
    <w:next w:val="60"/>
    <w:autoRedefine/>
    <w:qFormat/>
    <w:uiPriority w:val="0"/>
    <w:pPr>
      <w:numPr>
        <w:ilvl w:val="1"/>
        <w:numId w:val="2"/>
      </w:numPr>
      <w:spacing w:before="240" w:beforeLines="100" w:after="240" w:afterLines="100"/>
      <w:jc w:val="both"/>
      <w:outlineLvl w:val="0"/>
    </w:pPr>
    <w:rPr>
      <w:rFonts w:ascii="黑体" w:hAnsi="Times New Roman" w:eastAsia="黑体" w:cs="Times New Roman"/>
      <w:sz w:val="21"/>
      <w:lang w:val="en-US" w:eastAsia="zh-CN" w:bidi="ar-SA"/>
    </w:rPr>
  </w:style>
  <w:style w:type="paragraph" w:customStyle="1" w:styleId="109">
    <w:name w:val="标准文件_一级条标题"/>
    <w:basedOn w:val="108"/>
    <w:next w:val="60"/>
    <w:link w:val="251"/>
    <w:autoRedefine/>
    <w:qFormat/>
    <w:uiPriority w:val="0"/>
    <w:pPr>
      <w:numPr>
        <w:ilvl w:val="2"/>
      </w:numPr>
      <w:spacing w:before="120" w:beforeLines="50" w:after="0" w:afterLines="0"/>
      <w:jc w:val="left"/>
      <w:outlineLvl w:val="1"/>
    </w:pPr>
  </w:style>
  <w:style w:type="paragraph" w:customStyle="1" w:styleId="110">
    <w:name w:val="标准文件_一致程度"/>
    <w:basedOn w:val="1"/>
    <w:link w:val="252"/>
    <w:autoRedefine/>
    <w:qFormat/>
    <w:uiPriority w:val="0"/>
    <w:pPr>
      <w:spacing w:line="440" w:lineRule="exact"/>
      <w:jc w:val="center"/>
    </w:pPr>
    <w:rPr>
      <w:sz w:val="28"/>
    </w:rPr>
  </w:style>
  <w:style w:type="paragraph" w:customStyle="1" w:styleId="111">
    <w:name w:val="标准文件_引言标题"/>
    <w:next w:val="1"/>
    <w:autoRedefine/>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2">
    <w:name w:val="标准文件_英文图表脚注"/>
    <w:basedOn w:val="59"/>
    <w:link w:val="253"/>
    <w:autoRedefine/>
    <w:qFormat/>
    <w:uiPriority w:val="0"/>
    <w:pPr>
      <w:widowControl/>
      <w:adjustRightInd/>
      <w:snapToGrid/>
      <w:spacing w:line="240" w:lineRule="auto"/>
      <w:ind w:left="79" w:hanging="79" w:hangingChars="80"/>
    </w:pPr>
    <w:rPr>
      <w:rFonts w:ascii="宋体" w:hAnsi="宋体"/>
    </w:rPr>
  </w:style>
  <w:style w:type="paragraph" w:customStyle="1" w:styleId="113">
    <w:name w:val="标准文件_数字编号列项（二级）"/>
    <w:autoRedefine/>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4">
    <w:name w:val="标准文件_英文注："/>
    <w:basedOn w:val="1"/>
    <w:next w:val="60"/>
    <w:autoRedefine/>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5">
    <w:name w:val="标准文件_英文注×："/>
    <w:basedOn w:val="1"/>
    <w:autoRedefine/>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6">
    <w:name w:val="标准文件_正文表标题"/>
    <w:next w:val="60"/>
    <w:autoRedefine/>
    <w:qFormat/>
    <w:uiPriority w:val="0"/>
    <w:pPr>
      <w:numPr>
        <w:ilvl w:val="0"/>
        <w:numId w:val="16"/>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17">
    <w:name w:val="标准文件_正文公式"/>
    <w:basedOn w:val="1"/>
    <w:next w:val="59"/>
    <w:link w:val="255"/>
    <w:autoRedefine/>
    <w:qFormat/>
    <w:uiPriority w:val="0"/>
    <w:pPr>
      <w:tabs>
        <w:tab w:val="center" w:pos="4678"/>
        <w:tab w:val="right" w:leader="middleDot" w:pos="9356"/>
      </w:tabs>
      <w:spacing w:line="240" w:lineRule="auto"/>
    </w:pPr>
    <w:rPr>
      <w:rFonts w:ascii="宋体" w:hAnsi="宋体"/>
    </w:rPr>
  </w:style>
  <w:style w:type="paragraph" w:customStyle="1" w:styleId="118">
    <w:name w:val="标准文件_正文图标题"/>
    <w:next w:val="60"/>
    <w:link w:val="254"/>
    <w:autoRedefine/>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19">
    <w:name w:val="标准文件_正文英文表标题"/>
    <w:next w:val="60"/>
    <w:link w:val="256"/>
    <w:autoRedefine/>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0">
    <w:name w:val="标准文件_正文英文图标题"/>
    <w:next w:val="60"/>
    <w:autoRedefine/>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1">
    <w:name w:val="标准文件_编号列项（三级）"/>
    <w:autoRedefine/>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22">
    <w:name w:val="二级无标题条"/>
    <w:basedOn w:val="1"/>
    <w:autoRedefine/>
    <w:qFormat/>
    <w:uiPriority w:val="0"/>
    <w:pPr>
      <w:numPr>
        <w:ilvl w:val="3"/>
        <w:numId w:val="20"/>
      </w:numPr>
      <w:adjustRightInd/>
      <w:spacing w:line="240" w:lineRule="auto"/>
    </w:pPr>
    <w:rPr>
      <w:rFonts w:ascii="宋体" w:hAnsi="宋体"/>
      <w:szCs w:val="24"/>
    </w:rPr>
  </w:style>
  <w:style w:type="paragraph" w:customStyle="1" w:styleId="123">
    <w:name w:val="发布部门"/>
    <w:next w:val="60"/>
    <w:autoRedefine/>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4">
    <w:name w:val="发布日期"/>
    <w:autoRedefine/>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5">
    <w:name w:val="封面标准代替信息"/>
    <w:basedOn w:val="1"/>
    <w:autoRedefine/>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6">
    <w:name w:val="封面标准名称"/>
    <w:autoRedefine/>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7">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8">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9">
    <w:name w:val="封面标准英文名称"/>
    <w:autoRedefine/>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0">
    <w:name w:val="封面一致性程度标识"/>
    <w:autoRedefine/>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1">
    <w:name w:val="封面正文"/>
    <w:autoRedefine/>
    <w:qFormat/>
    <w:uiPriority w:val="0"/>
    <w:pPr>
      <w:jc w:val="both"/>
    </w:pPr>
    <w:rPr>
      <w:rFonts w:ascii="Times New Roman" w:hAnsi="Times New Roman" w:eastAsia="宋体" w:cs="Times New Roman"/>
      <w:lang w:val="en-US" w:eastAsia="zh-CN" w:bidi="ar-SA"/>
    </w:rPr>
  </w:style>
  <w:style w:type="paragraph" w:customStyle="1" w:styleId="132">
    <w:name w:val="附录二级无标题条"/>
    <w:basedOn w:val="1"/>
    <w:next w:val="60"/>
    <w:autoRedefine/>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3">
    <w:name w:val="附录三级无标题条"/>
    <w:basedOn w:val="132"/>
    <w:next w:val="60"/>
    <w:autoRedefine/>
    <w:qFormat/>
    <w:uiPriority w:val="0"/>
    <w:pPr>
      <w:outlineLvl w:val="4"/>
    </w:pPr>
  </w:style>
  <w:style w:type="paragraph" w:customStyle="1" w:styleId="134">
    <w:name w:val="附录四级无标题条"/>
    <w:basedOn w:val="133"/>
    <w:next w:val="60"/>
    <w:autoRedefine/>
    <w:qFormat/>
    <w:uiPriority w:val="0"/>
    <w:pPr>
      <w:outlineLvl w:val="5"/>
    </w:pPr>
  </w:style>
  <w:style w:type="paragraph" w:customStyle="1" w:styleId="135">
    <w:name w:val="附录图"/>
    <w:next w:val="60"/>
    <w:autoRedefine/>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6">
    <w:name w:val="标准文件_一级项"/>
    <w:autoRedefine/>
    <w:qFormat/>
    <w:uiPriority w:val="0"/>
    <w:pPr>
      <w:numPr>
        <w:ilvl w:val="0"/>
        <w:numId w:val="21"/>
      </w:numPr>
    </w:pPr>
    <w:rPr>
      <w:rFonts w:ascii="宋体" w:hAnsi="Times New Roman" w:eastAsia="宋体" w:cs="Times New Roman"/>
      <w:sz w:val="21"/>
      <w:lang w:val="en-US" w:eastAsia="zh-CN" w:bidi="ar-SA"/>
    </w:rPr>
  </w:style>
  <w:style w:type="paragraph" w:customStyle="1" w:styleId="137">
    <w:name w:val="附录五级无标题条"/>
    <w:basedOn w:val="134"/>
    <w:next w:val="60"/>
    <w:autoRedefine/>
    <w:qFormat/>
    <w:uiPriority w:val="0"/>
    <w:pPr>
      <w:outlineLvl w:val="6"/>
    </w:pPr>
  </w:style>
  <w:style w:type="paragraph" w:customStyle="1" w:styleId="138">
    <w:name w:val="附录性质"/>
    <w:basedOn w:val="1"/>
    <w:autoRedefine/>
    <w:qFormat/>
    <w:uiPriority w:val="0"/>
    <w:pPr>
      <w:widowControl/>
      <w:adjustRightInd/>
      <w:jc w:val="center"/>
    </w:pPr>
    <w:rPr>
      <w:rFonts w:ascii="黑体" w:eastAsia="黑体"/>
    </w:rPr>
  </w:style>
  <w:style w:type="paragraph" w:customStyle="1" w:styleId="139">
    <w:name w:val="附录一级无标题条"/>
    <w:basedOn w:val="91"/>
    <w:next w:val="60"/>
    <w:autoRedefine/>
    <w:qFormat/>
    <w:uiPriority w:val="0"/>
    <w:pPr>
      <w:autoSpaceDN w:val="0"/>
      <w:outlineLvl w:val="2"/>
    </w:pPr>
    <w:rPr>
      <w:rFonts w:ascii="宋体" w:hAnsi="宋体" w:eastAsia="宋体"/>
    </w:rPr>
  </w:style>
  <w:style w:type="character" w:customStyle="1" w:styleId="140">
    <w:name w:val="个人答复风格"/>
    <w:autoRedefine/>
    <w:qFormat/>
    <w:uiPriority w:val="0"/>
    <w:rPr>
      <w:rFonts w:ascii="Arial" w:hAnsi="Arial" w:eastAsia="宋体" w:cs="Arial"/>
      <w:color w:val="auto"/>
      <w:spacing w:val="0"/>
      <w:sz w:val="20"/>
    </w:rPr>
  </w:style>
  <w:style w:type="character" w:customStyle="1" w:styleId="141">
    <w:name w:val="个人撰写风格"/>
    <w:autoRedefine/>
    <w:qFormat/>
    <w:uiPriority w:val="0"/>
    <w:rPr>
      <w:rFonts w:ascii="Arial" w:hAnsi="Arial" w:eastAsia="宋体" w:cs="Arial"/>
      <w:color w:val="auto"/>
      <w:spacing w:val="0"/>
      <w:sz w:val="20"/>
    </w:rPr>
  </w:style>
  <w:style w:type="paragraph" w:customStyle="1" w:styleId="142">
    <w:name w:val="脚注后续"/>
    <w:autoRedefine/>
    <w:qFormat/>
    <w:uiPriority w:val="0"/>
    <w:pPr>
      <w:ind w:left="350" w:leftChars="350"/>
      <w:jc w:val="both"/>
    </w:pPr>
    <w:rPr>
      <w:rFonts w:ascii="宋体" w:hAnsi="Times New Roman" w:eastAsia="宋体" w:cs="Times New Roman"/>
      <w:sz w:val="18"/>
      <w:lang w:val="en-US" w:eastAsia="zh-CN" w:bidi="ar-SA"/>
    </w:rPr>
  </w:style>
  <w:style w:type="paragraph" w:customStyle="1" w:styleId="143">
    <w:name w:val="列项——"/>
    <w:autoRedefine/>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4">
    <w:name w:val="列项·"/>
    <w:basedOn w:val="60"/>
    <w:autoRedefine/>
    <w:qFormat/>
    <w:uiPriority w:val="0"/>
    <w:pPr>
      <w:tabs>
        <w:tab w:val="left" w:pos="840"/>
      </w:tabs>
    </w:pPr>
  </w:style>
  <w:style w:type="paragraph" w:customStyle="1" w:styleId="145">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46">
    <w:name w:val="目录 21"/>
    <w:basedOn w:val="1"/>
    <w:next w:val="1"/>
    <w:autoRedefine/>
    <w:semiHidden/>
    <w:qFormat/>
    <w:uiPriority w:val="0"/>
    <w:pPr>
      <w:adjustRightInd/>
      <w:spacing w:line="240" w:lineRule="auto"/>
      <w:jc w:val="left"/>
    </w:pPr>
    <w:rPr>
      <w:bCs/>
      <w:iCs/>
    </w:rPr>
  </w:style>
  <w:style w:type="paragraph" w:customStyle="1" w:styleId="147">
    <w:name w:val="目录 31"/>
    <w:basedOn w:val="1"/>
    <w:next w:val="1"/>
    <w:autoRedefine/>
    <w:semiHidden/>
    <w:qFormat/>
    <w:uiPriority w:val="0"/>
    <w:pPr>
      <w:spacing w:line="240" w:lineRule="auto"/>
    </w:pPr>
    <w:rPr>
      <w:rFonts w:ascii="宋体" w:hAnsi="宋体"/>
      <w:iCs/>
    </w:rPr>
  </w:style>
  <w:style w:type="paragraph" w:customStyle="1" w:styleId="148">
    <w:name w:val="目录 41"/>
    <w:basedOn w:val="1"/>
    <w:next w:val="1"/>
    <w:autoRedefine/>
    <w:semiHidden/>
    <w:qFormat/>
    <w:uiPriority w:val="0"/>
    <w:pPr>
      <w:adjustRightInd/>
      <w:spacing w:line="240" w:lineRule="auto"/>
      <w:jc w:val="left"/>
    </w:pPr>
  </w:style>
  <w:style w:type="paragraph" w:customStyle="1" w:styleId="149">
    <w:name w:val="目录 51"/>
    <w:basedOn w:val="1"/>
    <w:next w:val="1"/>
    <w:autoRedefine/>
    <w:semiHidden/>
    <w:qFormat/>
    <w:uiPriority w:val="0"/>
    <w:pPr>
      <w:spacing w:line="240" w:lineRule="auto"/>
    </w:pPr>
    <w:rPr>
      <w:rFonts w:ascii="宋体" w:hAnsi="宋体"/>
    </w:rPr>
  </w:style>
  <w:style w:type="paragraph" w:customStyle="1" w:styleId="150">
    <w:name w:val="目录 61"/>
    <w:basedOn w:val="1"/>
    <w:next w:val="1"/>
    <w:autoRedefine/>
    <w:semiHidden/>
    <w:qFormat/>
    <w:uiPriority w:val="0"/>
    <w:pPr>
      <w:adjustRightInd/>
      <w:spacing w:line="240" w:lineRule="auto"/>
      <w:jc w:val="left"/>
    </w:pPr>
  </w:style>
  <w:style w:type="paragraph" w:customStyle="1" w:styleId="151">
    <w:name w:val="目录 71"/>
    <w:basedOn w:val="150"/>
    <w:autoRedefine/>
    <w:semiHidden/>
    <w:qFormat/>
    <w:uiPriority w:val="0"/>
    <w:pPr>
      <w:ind w:left="1260"/>
    </w:pPr>
  </w:style>
  <w:style w:type="paragraph" w:customStyle="1" w:styleId="152">
    <w:name w:val="目录 81"/>
    <w:basedOn w:val="151"/>
    <w:autoRedefine/>
    <w:semiHidden/>
    <w:qFormat/>
    <w:uiPriority w:val="0"/>
    <w:pPr>
      <w:ind w:left="1470"/>
    </w:pPr>
  </w:style>
  <w:style w:type="paragraph" w:customStyle="1" w:styleId="153">
    <w:name w:val="目录 91"/>
    <w:basedOn w:val="152"/>
    <w:autoRedefine/>
    <w:semiHidden/>
    <w:qFormat/>
    <w:uiPriority w:val="0"/>
    <w:pPr>
      <w:ind w:left="1680"/>
    </w:pPr>
  </w:style>
  <w:style w:type="paragraph" w:customStyle="1" w:styleId="154">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155">
    <w:name w:val="其他发布部门"/>
    <w:basedOn w:val="123"/>
    <w:autoRedefine/>
    <w:qFormat/>
    <w:uiPriority w:val="0"/>
    <w:pPr>
      <w:framePr w:wrap="around"/>
      <w:spacing w:line="0" w:lineRule="atLeast"/>
    </w:pPr>
    <w:rPr>
      <w:rFonts w:ascii="黑体" w:eastAsia="黑体"/>
      <w:b w:val="0"/>
    </w:rPr>
  </w:style>
  <w:style w:type="paragraph" w:customStyle="1" w:styleId="156">
    <w:name w:val="前言标题"/>
    <w:next w:val="1"/>
    <w:autoRedefine/>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7">
    <w:name w:val="三级无标题条"/>
    <w:basedOn w:val="1"/>
    <w:autoRedefine/>
    <w:qFormat/>
    <w:uiPriority w:val="0"/>
    <w:pPr>
      <w:numPr>
        <w:ilvl w:val="4"/>
        <w:numId w:val="20"/>
      </w:numPr>
      <w:adjustRightInd/>
      <w:spacing w:line="240" w:lineRule="auto"/>
    </w:pPr>
    <w:rPr>
      <w:rFonts w:ascii="宋体" w:hAnsi="宋体"/>
      <w:szCs w:val="24"/>
    </w:rPr>
  </w:style>
  <w:style w:type="paragraph" w:customStyle="1" w:styleId="158">
    <w:name w:val="实施日期"/>
    <w:basedOn w:val="124"/>
    <w:autoRedefine/>
    <w:qFormat/>
    <w:uiPriority w:val="0"/>
    <w:pPr>
      <w:framePr w:hSpace="0" w:wrap="around" w:xAlign="right"/>
      <w:jc w:val="right"/>
    </w:pPr>
  </w:style>
  <w:style w:type="paragraph" w:customStyle="1" w:styleId="159">
    <w:name w:val="四级无标题条"/>
    <w:basedOn w:val="1"/>
    <w:autoRedefine/>
    <w:qFormat/>
    <w:uiPriority w:val="0"/>
    <w:pPr>
      <w:numPr>
        <w:ilvl w:val="5"/>
        <w:numId w:val="20"/>
      </w:numPr>
      <w:adjustRightInd/>
      <w:spacing w:line="240" w:lineRule="auto"/>
    </w:pPr>
    <w:rPr>
      <w:rFonts w:ascii="宋体" w:hAnsi="宋体"/>
      <w:szCs w:val="24"/>
    </w:rPr>
  </w:style>
  <w:style w:type="paragraph" w:customStyle="1" w:styleId="160">
    <w:name w:val="文献分类号"/>
    <w:autoRedefine/>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1">
    <w:name w:val="无标题条"/>
    <w:next w:val="60"/>
    <w:autoRedefine/>
    <w:qFormat/>
    <w:uiPriority w:val="0"/>
    <w:pPr>
      <w:jc w:val="both"/>
    </w:pPr>
    <w:rPr>
      <w:rFonts w:ascii="宋体" w:hAnsi="宋体" w:eastAsia="宋体" w:cs="Times New Roman"/>
      <w:sz w:val="21"/>
      <w:lang w:val="en-US" w:eastAsia="zh-CN" w:bidi="ar-SA"/>
    </w:rPr>
  </w:style>
  <w:style w:type="paragraph" w:customStyle="1" w:styleId="162">
    <w:name w:val="五级无标题条"/>
    <w:basedOn w:val="1"/>
    <w:autoRedefine/>
    <w:qFormat/>
    <w:uiPriority w:val="0"/>
    <w:pPr>
      <w:numPr>
        <w:ilvl w:val="6"/>
        <w:numId w:val="20"/>
      </w:numPr>
      <w:adjustRightInd/>
    </w:pPr>
    <w:rPr>
      <w:szCs w:val="24"/>
    </w:rPr>
  </w:style>
  <w:style w:type="paragraph" w:customStyle="1" w:styleId="163">
    <w:name w:val="一级无标题条"/>
    <w:basedOn w:val="1"/>
    <w:autoRedefine/>
    <w:qFormat/>
    <w:uiPriority w:val="0"/>
    <w:pPr>
      <w:numPr>
        <w:ilvl w:val="2"/>
        <w:numId w:val="20"/>
      </w:numPr>
      <w:adjustRightInd/>
      <w:spacing w:before="10" w:after="10" w:line="240" w:lineRule="auto"/>
    </w:pPr>
    <w:rPr>
      <w:rFonts w:ascii="宋体" w:hAnsi="宋体"/>
      <w:szCs w:val="24"/>
    </w:rPr>
  </w:style>
  <w:style w:type="paragraph" w:customStyle="1" w:styleId="164">
    <w:name w:val="注:后续"/>
    <w:autoRedefine/>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5">
    <w:name w:val="注×:后续"/>
    <w:basedOn w:val="164"/>
    <w:autoRedefine/>
    <w:qFormat/>
    <w:uiPriority w:val="0"/>
    <w:pPr>
      <w:ind w:left="1406" w:leftChars="0" w:hanging="499" w:firstLineChars="0"/>
    </w:pPr>
  </w:style>
  <w:style w:type="paragraph" w:customStyle="1" w:styleId="166">
    <w:name w:val="标准文件_一级无标题"/>
    <w:basedOn w:val="109"/>
    <w:autoRedefine/>
    <w:qFormat/>
    <w:uiPriority w:val="0"/>
    <w:pPr>
      <w:spacing w:beforeLines="0"/>
      <w:outlineLvl w:val="9"/>
    </w:pPr>
    <w:rPr>
      <w:rFonts w:ascii="宋体" w:eastAsia="宋体"/>
    </w:rPr>
  </w:style>
  <w:style w:type="paragraph" w:customStyle="1" w:styleId="167">
    <w:name w:val="标准文件_五级无标题"/>
    <w:basedOn w:val="107"/>
    <w:autoRedefine/>
    <w:qFormat/>
    <w:uiPriority w:val="0"/>
    <w:pPr>
      <w:spacing w:beforeLines="0" w:afterLines="0"/>
      <w:outlineLvl w:val="9"/>
    </w:pPr>
    <w:rPr>
      <w:rFonts w:ascii="宋体" w:eastAsia="宋体"/>
    </w:rPr>
  </w:style>
  <w:style w:type="paragraph" w:customStyle="1" w:styleId="168">
    <w:name w:val="标准文件_三级无标题"/>
    <w:basedOn w:val="98"/>
    <w:autoRedefine/>
    <w:qFormat/>
    <w:uiPriority w:val="0"/>
    <w:pPr>
      <w:spacing w:beforeLines="0" w:afterLines="0"/>
      <w:outlineLvl w:val="9"/>
    </w:pPr>
    <w:rPr>
      <w:rFonts w:ascii="宋体" w:eastAsia="宋体"/>
    </w:rPr>
  </w:style>
  <w:style w:type="paragraph" w:customStyle="1" w:styleId="169">
    <w:name w:val="标准文件_二级无标题"/>
    <w:basedOn w:val="69"/>
    <w:link w:val="283"/>
    <w:autoRedefine/>
    <w:qFormat/>
    <w:uiPriority w:val="0"/>
    <w:pPr>
      <w:widowControl/>
      <w:numPr>
        <w:ilvl w:val="0"/>
        <w:numId w:val="0"/>
      </w:numPr>
      <w:suppressLineNumbers/>
      <w:spacing w:beforeLines="0" w:afterLines="0"/>
      <w:outlineLvl w:val="9"/>
    </w:pPr>
    <w:rPr>
      <w:rFonts w:ascii="宋体" w:eastAsia="宋体"/>
    </w:rPr>
  </w:style>
  <w:style w:type="paragraph" w:customStyle="1" w:styleId="170">
    <w:name w:val="标准_四级无标题"/>
    <w:basedOn w:val="102"/>
    <w:next w:val="60"/>
    <w:autoRedefine/>
    <w:qFormat/>
    <w:uiPriority w:val="0"/>
    <w:rPr>
      <w:rFonts w:eastAsia="宋体"/>
    </w:rPr>
  </w:style>
  <w:style w:type="paragraph" w:customStyle="1" w:styleId="171">
    <w:name w:val="标准文件_四级无标题"/>
    <w:basedOn w:val="102"/>
    <w:autoRedefine/>
    <w:qFormat/>
    <w:uiPriority w:val="0"/>
    <w:pPr>
      <w:spacing w:beforeLines="0" w:afterLines="0"/>
      <w:outlineLvl w:val="9"/>
    </w:pPr>
    <w:rPr>
      <w:rFonts w:ascii="宋体" w:hAnsi="黑体" w:eastAsia="宋体"/>
      <w:szCs w:val="52"/>
    </w:rPr>
  </w:style>
  <w:style w:type="paragraph" w:customStyle="1" w:styleId="172">
    <w:name w:val="标准文件_大写罗马数字编号列项"/>
    <w:basedOn w:val="60"/>
    <w:autoRedefine/>
    <w:qFormat/>
    <w:uiPriority w:val="0"/>
    <w:pPr>
      <w:numPr>
        <w:ilvl w:val="0"/>
        <w:numId w:val="23"/>
      </w:numPr>
      <w:ind w:firstLine="0" w:firstLineChars="0"/>
    </w:pPr>
    <w:rPr>
      <w:rFonts w:ascii="Times New Roman" w:cs="Arial"/>
      <w:szCs w:val="28"/>
    </w:rPr>
  </w:style>
  <w:style w:type="paragraph" w:customStyle="1" w:styleId="173">
    <w:name w:val="标准文件_小写罗马数字编号列项"/>
    <w:basedOn w:val="60"/>
    <w:autoRedefine/>
    <w:qFormat/>
    <w:uiPriority w:val="0"/>
    <w:pPr>
      <w:numPr>
        <w:ilvl w:val="0"/>
        <w:numId w:val="24"/>
      </w:numPr>
      <w:ind w:firstLine="0" w:firstLineChars="0"/>
    </w:pPr>
    <w:rPr>
      <w:rFonts w:cs="Arial"/>
      <w:szCs w:val="28"/>
    </w:rPr>
  </w:style>
  <w:style w:type="paragraph" w:customStyle="1" w:styleId="174">
    <w:name w:val="标准文件_附录标题"/>
    <w:basedOn w:val="80"/>
    <w:autoRedefine/>
    <w:qFormat/>
    <w:uiPriority w:val="0"/>
    <w:pPr>
      <w:numPr>
        <w:numId w:val="0"/>
      </w:numPr>
      <w:spacing w:after="280"/>
      <w:outlineLvl w:val="9"/>
    </w:pPr>
  </w:style>
  <w:style w:type="paragraph" w:customStyle="1" w:styleId="175">
    <w:name w:val="标准文件_二级项"/>
    <w:link w:val="260"/>
    <w:autoRedefine/>
    <w:qFormat/>
    <w:uiPriority w:val="0"/>
    <w:rPr>
      <w:rFonts w:ascii="宋体" w:hAnsi="Times New Roman" w:eastAsia="宋体" w:cs="Times New Roman"/>
      <w:sz w:val="21"/>
      <w:lang w:val="en-US" w:eastAsia="zh-CN" w:bidi="ar-SA"/>
    </w:rPr>
  </w:style>
  <w:style w:type="paragraph" w:customStyle="1" w:styleId="176">
    <w:name w:val="标准文件_三级项"/>
    <w:basedOn w:val="1"/>
    <w:autoRedefine/>
    <w:qFormat/>
    <w:uiPriority w:val="0"/>
    <w:pPr>
      <w:numPr>
        <w:ilvl w:val="2"/>
        <w:numId w:val="21"/>
      </w:numPr>
      <w:spacing w:line="536870612" w:lineRule="auto"/>
    </w:pPr>
    <w:rPr>
      <w:rFonts w:ascii="Times New Roman" w:hAnsi="Times New Roman"/>
    </w:rPr>
  </w:style>
  <w:style w:type="paragraph" w:customStyle="1" w:styleId="177">
    <w:name w:val="图表脚注说明"/>
    <w:basedOn w:val="1"/>
    <w:next w:val="60"/>
    <w:autoRedefine/>
    <w:qFormat/>
    <w:uiPriority w:val="0"/>
    <w:pPr>
      <w:numPr>
        <w:ilvl w:val="0"/>
        <w:numId w:val="25"/>
      </w:numPr>
      <w:adjustRightInd/>
      <w:spacing w:line="240" w:lineRule="auto"/>
      <w:ind w:left="783"/>
    </w:pPr>
    <w:rPr>
      <w:rFonts w:ascii="宋体" w:hAnsi="Times New Roman"/>
      <w:sz w:val="18"/>
      <w:szCs w:val="18"/>
    </w:rPr>
  </w:style>
  <w:style w:type="paragraph" w:customStyle="1" w:styleId="178">
    <w:name w:val="标准文件_字母编号列项（一级）"/>
    <w:autoRedefine/>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9">
    <w:name w:val="标准文件_索引字母"/>
    <w:next w:val="60"/>
    <w:autoRedefine/>
    <w:qFormat/>
    <w:uiPriority w:val="0"/>
    <w:pPr>
      <w:jc w:val="center"/>
    </w:pPr>
    <w:rPr>
      <w:rFonts w:ascii="宋体" w:hAnsi="宋体" w:eastAsia="Times New Roman" w:cs="Times New Roman"/>
      <w:b/>
      <w:kern w:val="2"/>
      <w:sz w:val="21"/>
      <w:lang w:val="en-US" w:eastAsia="zh-CN" w:bidi="ar-SA"/>
    </w:rPr>
  </w:style>
  <w:style w:type="paragraph" w:customStyle="1" w:styleId="180">
    <w:name w:val="标准文件_附录前"/>
    <w:next w:val="60"/>
    <w:autoRedefine/>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1">
    <w:name w:val="标准文件_正文标准名称"/>
    <w:autoRedefine/>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182">
    <w:name w:val="标准文件_表格"/>
    <w:basedOn w:val="60"/>
    <w:autoRedefine/>
    <w:qFormat/>
    <w:uiPriority w:val="0"/>
    <w:pPr>
      <w:ind w:firstLine="0" w:firstLineChars="0"/>
      <w:jc w:val="center"/>
    </w:pPr>
    <w:rPr>
      <w:sz w:val="18"/>
    </w:rPr>
  </w:style>
  <w:style w:type="paragraph" w:customStyle="1" w:styleId="183">
    <w:name w:val="标准文件_注："/>
    <w:next w:val="60"/>
    <w:link w:val="280"/>
    <w:autoRedefine/>
    <w:qFormat/>
    <w:uiPriority w:val="0"/>
    <w:pPr>
      <w:widowControl w:val="0"/>
      <w:autoSpaceDE w:val="0"/>
      <w:autoSpaceDN w:val="0"/>
      <w:ind w:left="737" w:hanging="374"/>
      <w:jc w:val="both"/>
    </w:pPr>
    <w:rPr>
      <w:rFonts w:ascii="宋体" w:hAnsi="Times New Roman" w:eastAsia="宋体" w:cs="Times New Roman"/>
      <w:sz w:val="18"/>
      <w:szCs w:val="18"/>
      <w:lang w:val="en-US" w:eastAsia="zh-CN" w:bidi="ar-SA"/>
    </w:rPr>
  </w:style>
  <w:style w:type="paragraph" w:customStyle="1" w:styleId="184">
    <w:name w:val="标准文件_注×："/>
    <w:autoRedefine/>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示例："/>
    <w:next w:val="186"/>
    <w:autoRedefine/>
    <w:qFormat/>
    <w:uiPriority w:val="0"/>
    <w:pPr>
      <w:widowControl w:val="0"/>
      <w:numPr>
        <w:ilvl w:val="0"/>
        <w:numId w:val="27"/>
      </w:numPr>
      <w:jc w:val="both"/>
    </w:pPr>
    <w:rPr>
      <w:rFonts w:ascii="宋体" w:hAnsi="Times New Roman" w:eastAsia="宋体" w:cs="Times New Roman"/>
      <w:sz w:val="18"/>
      <w:szCs w:val="18"/>
      <w:lang w:val="en-US" w:eastAsia="zh-CN" w:bidi="ar-SA"/>
    </w:rPr>
  </w:style>
  <w:style w:type="paragraph" w:customStyle="1" w:styleId="186">
    <w:name w:val="标准文件_示例内容"/>
    <w:basedOn w:val="60"/>
    <w:autoRedefine/>
    <w:qFormat/>
    <w:uiPriority w:val="0"/>
    <w:pPr>
      <w:ind w:firstLine="420"/>
    </w:pPr>
    <w:rPr>
      <w:sz w:val="18"/>
    </w:rPr>
  </w:style>
  <w:style w:type="paragraph" w:customStyle="1" w:styleId="187">
    <w:name w:val="标准文件_示例×："/>
    <w:basedOn w:val="1"/>
    <w:next w:val="186"/>
    <w:autoRedefine/>
    <w:qFormat/>
    <w:uiPriority w:val="0"/>
    <w:pPr>
      <w:widowControl/>
      <w:numPr>
        <w:ilvl w:val="0"/>
        <w:numId w:val="28"/>
      </w:numPr>
      <w:adjustRightInd/>
      <w:spacing w:line="240" w:lineRule="auto"/>
    </w:pPr>
    <w:rPr>
      <w:rFonts w:ascii="宋体" w:hAnsi="Times New Roman"/>
      <w:kern w:val="0"/>
      <w:sz w:val="18"/>
      <w:szCs w:val="18"/>
    </w:rPr>
  </w:style>
  <w:style w:type="character" w:customStyle="1" w:styleId="188">
    <w:name w:val="标准文件_段 Char"/>
    <w:link w:val="60"/>
    <w:autoRedefine/>
    <w:qFormat/>
    <w:uiPriority w:val="0"/>
    <w:rPr>
      <w:rFonts w:ascii="宋体" w:hAnsi="Times New Roman"/>
      <w:sz w:val="21"/>
    </w:rPr>
  </w:style>
  <w:style w:type="paragraph" w:customStyle="1" w:styleId="189">
    <w:name w:val="标准文件_表格续"/>
    <w:basedOn w:val="60"/>
    <w:next w:val="60"/>
    <w:autoRedefine/>
    <w:qFormat/>
    <w:uiPriority w:val="0"/>
    <w:pPr>
      <w:jc w:val="center"/>
    </w:pPr>
    <w:rPr>
      <w:rFonts w:ascii="黑体" w:hAnsi="黑体" w:eastAsia="黑体"/>
    </w:rPr>
  </w:style>
  <w:style w:type="character" w:customStyle="1" w:styleId="190">
    <w:name w:val="占位符文本1"/>
    <w:basedOn w:val="31"/>
    <w:autoRedefine/>
    <w:semiHidden/>
    <w:qFormat/>
    <w:uiPriority w:val="99"/>
    <w:rPr>
      <w:color w:val="808080"/>
    </w:rPr>
  </w:style>
  <w:style w:type="paragraph" w:customStyle="1" w:styleId="191">
    <w:name w:val="标准文件_二级项2"/>
    <w:basedOn w:val="60"/>
    <w:autoRedefine/>
    <w:qFormat/>
    <w:uiPriority w:val="0"/>
    <w:pPr>
      <w:numPr>
        <w:ilvl w:val="1"/>
        <w:numId w:val="21"/>
      </w:numPr>
      <w:ind w:left="1271" w:hanging="420" w:firstLineChars="0"/>
    </w:pPr>
  </w:style>
  <w:style w:type="paragraph" w:customStyle="1" w:styleId="192">
    <w:name w:val="标准文件_三级项2"/>
    <w:basedOn w:val="60"/>
    <w:autoRedefine/>
    <w:qFormat/>
    <w:uiPriority w:val="0"/>
    <w:pPr>
      <w:numPr>
        <w:ilvl w:val="0"/>
        <w:numId w:val="29"/>
      </w:numPr>
      <w:spacing w:line="300" w:lineRule="exact"/>
      <w:ind w:left="1276" w:hanging="425" w:firstLineChars="0"/>
    </w:pPr>
    <w:rPr>
      <w:rFonts w:ascii="Times New Roman"/>
    </w:rPr>
  </w:style>
  <w:style w:type="paragraph" w:customStyle="1" w:styleId="193">
    <w:name w:val="标准文件_一级项2"/>
    <w:basedOn w:val="60"/>
    <w:autoRedefine/>
    <w:qFormat/>
    <w:uiPriority w:val="0"/>
    <w:pPr>
      <w:numPr>
        <w:ilvl w:val="0"/>
        <w:numId w:val="30"/>
      </w:numPr>
      <w:spacing w:line="300" w:lineRule="exact"/>
      <w:ind w:left="1271" w:hanging="420" w:firstLineChars="0"/>
    </w:pPr>
    <w:rPr>
      <w:rFonts w:ascii="Times New Roman"/>
    </w:rPr>
  </w:style>
  <w:style w:type="paragraph" w:customStyle="1" w:styleId="194">
    <w:name w:val="标准文件_提示"/>
    <w:basedOn w:val="60"/>
    <w:next w:val="60"/>
    <w:autoRedefine/>
    <w:qFormat/>
    <w:uiPriority w:val="0"/>
    <w:pPr>
      <w:ind w:firstLine="420"/>
    </w:pPr>
    <w:rPr>
      <w:rFonts w:ascii="黑体" w:eastAsia="黑体"/>
    </w:rPr>
  </w:style>
  <w:style w:type="character" w:customStyle="1" w:styleId="195">
    <w:name w:val="标准文件_来源"/>
    <w:basedOn w:val="31"/>
    <w:autoRedefine/>
    <w:qFormat/>
    <w:uiPriority w:val="1"/>
    <w:rPr>
      <w:rFonts w:eastAsia="宋体"/>
      <w:sz w:val="21"/>
    </w:rPr>
  </w:style>
  <w:style w:type="paragraph" w:customStyle="1" w:styleId="196">
    <w:name w:val="标准文件_图表说明"/>
    <w:autoRedefine/>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7">
    <w:name w:val="其他发布日期"/>
    <w:basedOn w:val="124"/>
    <w:autoRedefine/>
    <w:qFormat/>
    <w:uiPriority w:val="0"/>
    <w:pPr>
      <w:framePr w:w="3997" w:h="471" w:hRule="exact" w:hSpace="0" w:vSpace="181" w:wrap="around" w:vAnchor="page" w:hAnchor="page" w:x="1419" w:y="14097"/>
    </w:pPr>
  </w:style>
  <w:style w:type="paragraph" w:customStyle="1" w:styleId="198">
    <w:name w:val="其他实施日期"/>
    <w:basedOn w:val="158"/>
    <w:autoRedefine/>
    <w:qFormat/>
    <w:uiPriority w:val="0"/>
    <w:pPr>
      <w:framePr w:w="3997" w:h="471" w:hRule="exact" w:vSpace="181" w:wrap="around" w:vAnchor="page" w:hAnchor="page" w:x="7089" w:y="14097"/>
    </w:pPr>
  </w:style>
  <w:style w:type="paragraph" w:customStyle="1" w:styleId="199">
    <w:name w:val="标准文件_文件编号"/>
    <w:basedOn w:val="60"/>
    <w:autoRedefine/>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200">
    <w:name w:val="标准文件_替换文件编号"/>
    <w:basedOn w:val="199"/>
    <w:autoRedefine/>
    <w:qFormat/>
    <w:uiPriority w:val="0"/>
    <w:pPr>
      <w:framePr w:wrap="around"/>
      <w:spacing w:before="57"/>
    </w:pPr>
    <w:rPr>
      <w:sz w:val="21"/>
    </w:rPr>
  </w:style>
  <w:style w:type="paragraph" w:customStyle="1" w:styleId="201">
    <w:name w:val="标准文件_文件名称"/>
    <w:basedOn w:val="60"/>
    <w:next w:val="60"/>
    <w:autoRedefine/>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2">
    <w:name w:val="标准文件_附录图标号"/>
    <w:basedOn w:val="60"/>
    <w:next w:val="60"/>
    <w:autoRedefine/>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3">
    <w:name w:val="标准文件_附录表标号"/>
    <w:basedOn w:val="60"/>
    <w:next w:val="60"/>
    <w:autoRedefine/>
    <w:qFormat/>
    <w:uiPriority w:val="0"/>
    <w:pPr>
      <w:numPr>
        <w:ilvl w:val="0"/>
        <w:numId w:val="5"/>
      </w:numPr>
      <w:spacing w:line="14" w:lineRule="exact"/>
      <w:ind w:firstLine="0" w:firstLineChars="0"/>
      <w:jc w:val="center"/>
    </w:pPr>
    <w:rPr>
      <w:rFonts w:eastAsia="黑体"/>
      <w:vanish/>
      <w:sz w:val="2"/>
    </w:rPr>
  </w:style>
  <w:style w:type="paragraph" w:customStyle="1" w:styleId="204">
    <w:name w:val="标准文件_引言一级条标题"/>
    <w:basedOn w:val="60"/>
    <w:next w:val="60"/>
    <w:autoRedefine/>
    <w:qFormat/>
    <w:uiPriority w:val="0"/>
    <w:pPr>
      <w:numPr>
        <w:ilvl w:val="1"/>
        <w:numId w:val="8"/>
      </w:numPr>
      <w:spacing w:beforeLines="50" w:afterLines="50"/>
      <w:ind w:firstLineChars="0"/>
    </w:pPr>
    <w:rPr>
      <w:rFonts w:ascii="黑体" w:eastAsia="黑体"/>
    </w:rPr>
  </w:style>
  <w:style w:type="paragraph" w:customStyle="1" w:styleId="205">
    <w:name w:val="标准文件_引言二级条标题"/>
    <w:basedOn w:val="60"/>
    <w:next w:val="60"/>
    <w:autoRedefine/>
    <w:qFormat/>
    <w:uiPriority w:val="0"/>
    <w:pPr>
      <w:numPr>
        <w:ilvl w:val="2"/>
        <w:numId w:val="8"/>
      </w:numPr>
      <w:spacing w:beforeLines="50" w:afterLines="50"/>
      <w:ind w:firstLineChars="0"/>
    </w:pPr>
    <w:rPr>
      <w:rFonts w:ascii="黑体" w:eastAsia="黑体"/>
    </w:rPr>
  </w:style>
  <w:style w:type="paragraph" w:customStyle="1" w:styleId="206">
    <w:name w:val="标准文件_引言三级条标题"/>
    <w:basedOn w:val="60"/>
    <w:next w:val="60"/>
    <w:autoRedefine/>
    <w:qFormat/>
    <w:uiPriority w:val="0"/>
    <w:pPr>
      <w:numPr>
        <w:ilvl w:val="3"/>
        <w:numId w:val="8"/>
      </w:numPr>
      <w:spacing w:beforeLines="50" w:afterLines="50"/>
      <w:ind w:firstLineChars="0"/>
    </w:pPr>
    <w:rPr>
      <w:rFonts w:ascii="黑体" w:eastAsia="黑体"/>
    </w:rPr>
  </w:style>
  <w:style w:type="paragraph" w:customStyle="1" w:styleId="207">
    <w:name w:val="标准文件_引言四级条标题"/>
    <w:basedOn w:val="60"/>
    <w:next w:val="60"/>
    <w:autoRedefine/>
    <w:qFormat/>
    <w:uiPriority w:val="0"/>
    <w:pPr>
      <w:numPr>
        <w:ilvl w:val="4"/>
        <w:numId w:val="8"/>
      </w:numPr>
      <w:spacing w:beforeLines="50" w:afterLines="50"/>
      <w:ind w:firstLineChars="0"/>
    </w:pPr>
    <w:rPr>
      <w:rFonts w:ascii="黑体" w:eastAsia="黑体"/>
    </w:rPr>
  </w:style>
  <w:style w:type="paragraph" w:customStyle="1" w:styleId="208">
    <w:name w:val="标准文件_引言五级条标题"/>
    <w:basedOn w:val="60"/>
    <w:next w:val="60"/>
    <w:autoRedefine/>
    <w:qFormat/>
    <w:uiPriority w:val="0"/>
    <w:pPr>
      <w:numPr>
        <w:ilvl w:val="5"/>
        <w:numId w:val="8"/>
      </w:numPr>
      <w:spacing w:beforeLines="50" w:afterLines="50"/>
      <w:ind w:firstLineChars="0"/>
    </w:pPr>
    <w:rPr>
      <w:rFonts w:ascii="黑体" w:eastAsia="黑体"/>
    </w:rPr>
  </w:style>
  <w:style w:type="paragraph" w:customStyle="1" w:styleId="209">
    <w:name w:val="标准文件_注后"/>
    <w:basedOn w:val="60"/>
    <w:autoRedefine/>
    <w:qFormat/>
    <w:uiPriority w:val="0"/>
    <w:pPr>
      <w:ind w:left="811" w:firstLine="0" w:firstLineChars="0"/>
    </w:pPr>
    <w:rPr>
      <w:sz w:val="18"/>
    </w:rPr>
  </w:style>
  <w:style w:type="paragraph" w:customStyle="1" w:styleId="210">
    <w:name w:val="标准文件_注X后"/>
    <w:basedOn w:val="60"/>
    <w:autoRedefine/>
    <w:qFormat/>
    <w:uiPriority w:val="0"/>
    <w:pPr>
      <w:ind w:left="811" w:firstLine="0" w:firstLineChars="0"/>
    </w:pPr>
    <w:rPr>
      <w:sz w:val="18"/>
    </w:rPr>
  </w:style>
  <w:style w:type="paragraph" w:customStyle="1" w:styleId="211">
    <w:name w:val="标准文件_示例后"/>
    <w:basedOn w:val="60"/>
    <w:autoRedefine/>
    <w:qFormat/>
    <w:uiPriority w:val="0"/>
    <w:pPr>
      <w:ind w:left="964" w:firstLine="0" w:firstLineChars="0"/>
    </w:pPr>
    <w:rPr>
      <w:sz w:val="18"/>
    </w:rPr>
  </w:style>
  <w:style w:type="paragraph" w:customStyle="1" w:styleId="212">
    <w:name w:val="标准文件_示例X后"/>
    <w:basedOn w:val="60"/>
    <w:link w:val="213"/>
    <w:autoRedefine/>
    <w:qFormat/>
    <w:uiPriority w:val="0"/>
    <w:pPr>
      <w:ind w:left="1049" w:firstLine="0" w:firstLineChars="0"/>
    </w:pPr>
    <w:rPr>
      <w:sz w:val="18"/>
    </w:rPr>
  </w:style>
  <w:style w:type="character" w:customStyle="1" w:styleId="213">
    <w:name w:val="标准文件_示例X后 字符"/>
    <w:basedOn w:val="188"/>
    <w:link w:val="212"/>
    <w:autoRedefine/>
    <w:qFormat/>
    <w:uiPriority w:val="0"/>
    <w:rPr>
      <w:rFonts w:ascii="宋体" w:hAnsi="Times New Roman"/>
      <w:sz w:val="18"/>
    </w:rPr>
  </w:style>
  <w:style w:type="paragraph" w:customStyle="1" w:styleId="214">
    <w:name w:val="标准文件_索引项"/>
    <w:basedOn w:val="60"/>
    <w:next w:val="60"/>
    <w:autoRedefine/>
    <w:qFormat/>
    <w:uiPriority w:val="0"/>
    <w:pPr>
      <w:tabs>
        <w:tab w:val="right" w:leader="dot" w:pos="9356"/>
      </w:tabs>
      <w:ind w:left="210" w:hanging="210" w:firstLineChars="0"/>
      <w:jc w:val="left"/>
    </w:pPr>
  </w:style>
  <w:style w:type="paragraph" w:customStyle="1" w:styleId="215">
    <w:name w:val="标准文件_附录一级无标题"/>
    <w:basedOn w:val="82"/>
    <w:autoRedefine/>
    <w:qFormat/>
    <w:uiPriority w:val="0"/>
    <w:pPr>
      <w:spacing w:beforeLines="0" w:afterLines="0" w:line="276" w:lineRule="auto"/>
      <w:outlineLvl w:val="9"/>
    </w:pPr>
    <w:rPr>
      <w:rFonts w:ascii="宋体" w:eastAsia="宋体"/>
    </w:rPr>
  </w:style>
  <w:style w:type="paragraph" w:customStyle="1" w:styleId="216">
    <w:name w:val="标准文件_附录二级无标题"/>
    <w:basedOn w:val="83"/>
    <w:autoRedefine/>
    <w:qFormat/>
    <w:uiPriority w:val="0"/>
    <w:pPr>
      <w:spacing w:beforeLines="0" w:afterLines="0" w:line="276" w:lineRule="auto"/>
      <w:outlineLvl w:val="9"/>
    </w:pPr>
    <w:rPr>
      <w:rFonts w:ascii="宋体" w:eastAsia="宋体"/>
    </w:rPr>
  </w:style>
  <w:style w:type="paragraph" w:customStyle="1" w:styleId="217">
    <w:name w:val="标准文件_附录三级无标题"/>
    <w:basedOn w:val="85"/>
    <w:autoRedefine/>
    <w:qFormat/>
    <w:uiPriority w:val="0"/>
    <w:pPr>
      <w:spacing w:beforeLines="0" w:afterLines="0" w:line="276" w:lineRule="auto"/>
      <w:outlineLvl w:val="9"/>
    </w:pPr>
    <w:rPr>
      <w:rFonts w:ascii="宋体" w:eastAsia="宋体"/>
    </w:rPr>
  </w:style>
  <w:style w:type="paragraph" w:customStyle="1" w:styleId="218">
    <w:name w:val="标准文件_附录四级无标题"/>
    <w:basedOn w:val="86"/>
    <w:autoRedefine/>
    <w:qFormat/>
    <w:uiPriority w:val="0"/>
    <w:pPr>
      <w:spacing w:beforeLines="0" w:afterLines="0" w:line="276" w:lineRule="auto"/>
      <w:outlineLvl w:val="9"/>
    </w:pPr>
    <w:rPr>
      <w:rFonts w:ascii="宋体" w:eastAsia="宋体"/>
    </w:rPr>
  </w:style>
  <w:style w:type="paragraph" w:customStyle="1" w:styleId="219">
    <w:name w:val="标准文件_附录五级无标题"/>
    <w:basedOn w:val="88"/>
    <w:autoRedefine/>
    <w:qFormat/>
    <w:uiPriority w:val="0"/>
    <w:pPr>
      <w:spacing w:beforeLines="0" w:afterLines="0" w:line="276" w:lineRule="auto"/>
      <w:outlineLvl w:val="9"/>
    </w:pPr>
    <w:rPr>
      <w:rFonts w:ascii="宋体" w:eastAsia="宋体"/>
    </w:rPr>
  </w:style>
  <w:style w:type="paragraph" w:customStyle="1" w:styleId="220">
    <w:name w:val="标准文件_引言一级无标题"/>
    <w:basedOn w:val="204"/>
    <w:next w:val="60"/>
    <w:autoRedefine/>
    <w:qFormat/>
    <w:uiPriority w:val="0"/>
    <w:pPr>
      <w:spacing w:beforeLines="0" w:afterLines="0" w:line="276" w:lineRule="auto"/>
    </w:pPr>
    <w:rPr>
      <w:rFonts w:ascii="宋体" w:eastAsia="宋体"/>
    </w:rPr>
  </w:style>
  <w:style w:type="paragraph" w:customStyle="1" w:styleId="221">
    <w:name w:val="标准文件_引言二级无标题"/>
    <w:basedOn w:val="205"/>
    <w:next w:val="60"/>
    <w:autoRedefine/>
    <w:qFormat/>
    <w:uiPriority w:val="0"/>
    <w:pPr>
      <w:spacing w:beforeLines="0" w:afterLines="0" w:line="276" w:lineRule="auto"/>
    </w:pPr>
    <w:rPr>
      <w:rFonts w:ascii="宋体" w:eastAsia="宋体"/>
    </w:rPr>
  </w:style>
  <w:style w:type="paragraph" w:customStyle="1" w:styleId="222">
    <w:name w:val="标准文件_引言三级无标题"/>
    <w:basedOn w:val="206"/>
    <w:next w:val="60"/>
    <w:autoRedefine/>
    <w:qFormat/>
    <w:uiPriority w:val="0"/>
    <w:pPr>
      <w:spacing w:beforeLines="0" w:afterLines="0" w:line="276" w:lineRule="auto"/>
    </w:pPr>
    <w:rPr>
      <w:rFonts w:ascii="宋体" w:eastAsia="宋体"/>
    </w:rPr>
  </w:style>
  <w:style w:type="paragraph" w:customStyle="1" w:styleId="223">
    <w:name w:val="标准文件_引言四级无标题"/>
    <w:basedOn w:val="207"/>
    <w:next w:val="60"/>
    <w:autoRedefine/>
    <w:qFormat/>
    <w:uiPriority w:val="0"/>
    <w:pPr>
      <w:spacing w:beforeLines="0" w:afterLines="0" w:line="276" w:lineRule="auto"/>
    </w:pPr>
    <w:rPr>
      <w:rFonts w:ascii="宋体" w:eastAsia="宋体"/>
    </w:rPr>
  </w:style>
  <w:style w:type="paragraph" w:customStyle="1" w:styleId="224">
    <w:name w:val="标准文件_引言五级无标题"/>
    <w:basedOn w:val="208"/>
    <w:next w:val="60"/>
    <w:autoRedefine/>
    <w:qFormat/>
    <w:uiPriority w:val="0"/>
    <w:pPr>
      <w:spacing w:beforeLines="0" w:afterLines="0" w:line="276" w:lineRule="auto"/>
    </w:pPr>
    <w:rPr>
      <w:rFonts w:ascii="宋体" w:eastAsia="宋体"/>
    </w:rPr>
  </w:style>
  <w:style w:type="paragraph" w:customStyle="1" w:styleId="225">
    <w:name w:val="标准文件_索引标题"/>
    <w:basedOn w:val="67"/>
    <w:next w:val="60"/>
    <w:autoRedefine/>
    <w:qFormat/>
    <w:uiPriority w:val="0"/>
    <w:rPr>
      <w:rFonts w:hAnsi="黑体"/>
    </w:rPr>
  </w:style>
  <w:style w:type="paragraph" w:customStyle="1" w:styleId="226">
    <w:name w:val="标准文件_脚注内容"/>
    <w:basedOn w:val="60"/>
    <w:autoRedefine/>
    <w:qFormat/>
    <w:uiPriority w:val="0"/>
    <w:pPr>
      <w:ind w:left="400" w:leftChars="200" w:hanging="200" w:hangingChars="200"/>
    </w:pPr>
    <w:rPr>
      <w:sz w:val="15"/>
    </w:rPr>
  </w:style>
  <w:style w:type="paragraph" w:customStyle="1" w:styleId="227">
    <w:name w:val="标准文件_术语条一"/>
    <w:basedOn w:val="166"/>
    <w:next w:val="60"/>
    <w:autoRedefine/>
    <w:qFormat/>
    <w:uiPriority w:val="0"/>
  </w:style>
  <w:style w:type="paragraph" w:customStyle="1" w:styleId="228">
    <w:name w:val="标准文件_术语条二"/>
    <w:basedOn w:val="169"/>
    <w:next w:val="60"/>
    <w:autoRedefine/>
    <w:qFormat/>
    <w:uiPriority w:val="0"/>
  </w:style>
  <w:style w:type="paragraph" w:customStyle="1" w:styleId="229">
    <w:name w:val="标准文件_术语条三"/>
    <w:basedOn w:val="168"/>
    <w:next w:val="60"/>
    <w:autoRedefine/>
    <w:qFormat/>
    <w:uiPriority w:val="0"/>
  </w:style>
  <w:style w:type="paragraph" w:customStyle="1" w:styleId="230">
    <w:name w:val="标准文件_术语条四"/>
    <w:basedOn w:val="171"/>
    <w:next w:val="60"/>
    <w:autoRedefine/>
    <w:qFormat/>
    <w:uiPriority w:val="0"/>
  </w:style>
  <w:style w:type="paragraph" w:customStyle="1" w:styleId="231">
    <w:name w:val="标准文件_术语条五"/>
    <w:basedOn w:val="167"/>
    <w:next w:val="60"/>
    <w:autoRedefine/>
    <w:qFormat/>
    <w:uiPriority w:val="0"/>
  </w:style>
  <w:style w:type="paragraph" w:customStyle="1" w:styleId="232">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3">
    <w:name w:val="发布"/>
    <w:basedOn w:val="31"/>
    <w:autoRedefine/>
    <w:qFormat/>
    <w:uiPriority w:val="0"/>
    <w:rPr>
      <w:rFonts w:ascii="黑体" w:eastAsia="黑体"/>
      <w:spacing w:val="85"/>
      <w:w w:val="100"/>
      <w:position w:val="3"/>
      <w:sz w:val="28"/>
      <w:szCs w:val="28"/>
    </w:rPr>
  </w:style>
  <w:style w:type="paragraph" w:customStyle="1" w:styleId="234">
    <w:name w:val="正文1"/>
    <w:autoRedefine/>
    <w:qFormat/>
    <w:uiPriority w:val="0"/>
    <w:pPr>
      <w:jc w:val="both"/>
    </w:pPr>
    <w:rPr>
      <w:rFonts w:ascii="Times New Roman" w:hAnsi="Times New Roman" w:eastAsia="宋体" w:cs="Times New Roman"/>
      <w:kern w:val="2"/>
      <w:sz w:val="21"/>
      <w:szCs w:val="21"/>
      <w:lang w:val="en-US" w:eastAsia="zh-CN" w:bidi="ar-SA"/>
    </w:rPr>
  </w:style>
  <w:style w:type="table" w:customStyle="1" w:styleId="235">
    <w:name w:val="网格型1"/>
    <w:basedOn w:val="2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6">
    <w:name w:val="网格型2"/>
    <w:basedOn w:val="2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7">
    <w:name w:val="批注文字 字符"/>
    <w:basedOn w:val="31"/>
    <w:link w:val="13"/>
    <w:autoRedefine/>
    <w:semiHidden/>
    <w:qFormat/>
    <w:uiPriority w:val="99"/>
    <w:rPr>
      <w:kern w:val="2"/>
      <w:sz w:val="21"/>
      <w:szCs w:val="21"/>
    </w:rPr>
  </w:style>
  <w:style w:type="character" w:customStyle="1" w:styleId="238">
    <w:name w:val="批注主题 字符"/>
    <w:basedOn w:val="237"/>
    <w:link w:val="28"/>
    <w:autoRedefine/>
    <w:semiHidden/>
    <w:qFormat/>
    <w:uiPriority w:val="99"/>
    <w:rPr>
      <w:b/>
      <w:bCs/>
      <w:kern w:val="2"/>
      <w:sz w:val="21"/>
      <w:szCs w:val="21"/>
    </w:rPr>
  </w:style>
  <w:style w:type="character" w:customStyle="1" w:styleId="239">
    <w:name w:val="first-child"/>
    <w:basedOn w:val="31"/>
    <w:autoRedefine/>
    <w:qFormat/>
    <w:uiPriority w:val="0"/>
  </w:style>
  <w:style w:type="character" w:customStyle="1" w:styleId="240">
    <w:name w:val="layui-this"/>
    <w:basedOn w:val="31"/>
    <w:autoRedefine/>
    <w:qFormat/>
    <w:uiPriority w:val="0"/>
    <w:rPr>
      <w:bdr w:val="single" w:color="EEEEEE" w:sz="4" w:space="0"/>
      <w:shd w:val="clear" w:color="auto" w:fill="FFFFFF"/>
    </w:rPr>
  </w:style>
  <w:style w:type="table" w:customStyle="1" w:styleId="241">
    <w:name w:val="网格型5"/>
    <w:basedOn w:val="29"/>
    <w:autoRedefine/>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2">
    <w:name w:val="Placeholder Text"/>
    <w:basedOn w:val="31"/>
    <w:autoRedefine/>
    <w:semiHidden/>
    <w:qFormat/>
    <w:uiPriority w:val="99"/>
    <w:rPr>
      <w:color w:val="808080"/>
    </w:rPr>
  </w:style>
  <w:style w:type="character" w:customStyle="1" w:styleId="243">
    <w:name w:val="15"/>
    <w:basedOn w:val="31"/>
    <w:autoRedefine/>
    <w:qFormat/>
    <w:uiPriority w:val="0"/>
    <w:rPr>
      <w:rFonts w:hint="eastAsia" w:ascii="黑体" w:hAnsi="黑体" w:eastAsia="黑体"/>
      <w:color w:val="000000"/>
      <w:sz w:val="46"/>
      <w:szCs w:val="46"/>
    </w:rPr>
  </w:style>
  <w:style w:type="paragraph" w:customStyle="1" w:styleId="244">
    <w:name w:val="3级"/>
    <w:basedOn w:val="5"/>
    <w:next w:val="1"/>
    <w:autoRedefine/>
    <w:qFormat/>
    <w:uiPriority w:val="0"/>
    <w:pPr>
      <w:numPr>
        <w:ilvl w:val="0"/>
        <w:numId w:val="31"/>
      </w:numPr>
      <w:spacing w:before="240" w:after="60" w:line="240" w:lineRule="auto"/>
      <w:ind w:left="170" w:hanging="170"/>
    </w:pPr>
    <w:rPr>
      <w:rFonts w:ascii="Times New Roman" w:hAnsi="Times New Roman" w:eastAsia="楷体_GB2312"/>
      <w:sz w:val="32"/>
      <w:szCs w:val="32"/>
    </w:rPr>
  </w:style>
  <w:style w:type="paragraph" w:customStyle="1" w:styleId="245">
    <w:name w:val="4级"/>
    <w:basedOn w:val="6"/>
    <w:next w:val="1"/>
    <w:autoRedefine/>
    <w:qFormat/>
    <w:uiPriority w:val="0"/>
    <w:pPr>
      <w:numPr>
        <w:ilvl w:val="0"/>
        <w:numId w:val="32"/>
      </w:numPr>
      <w:spacing w:before="240" w:after="60" w:line="377" w:lineRule="auto"/>
      <w:ind w:left="924" w:hanging="357"/>
    </w:pPr>
    <w:rPr>
      <w:rFonts w:ascii="仿宋_GB2312" w:hAnsi="仿宋" w:eastAsia="仿宋_GB2312"/>
    </w:rPr>
  </w:style>
  <w:style w:type="character" w:customStyle="1" w:styleId="246">
    <w:name w:val="标准文件_标准名称标题 Char"/>
    <w:link w:val="64"/>
    <w:autoRedefine/>
    <w:qFormat/>
    <w:uiPriority w:val="0"/>
    <w:rPr>
      <w:rFonts w:ascii="黑体" w:eastAsia="黑体"/>
      <w:kern w:val="0"/>
      <w:sz w:val="32"/>
    </w:rPr>
  </w:style>
  <w:style w:type="character" w:customStyle="1" w:styleId="247">
    <w:name w:val="标准文件_二级条标题 Char"/>
    <w:link w:val="69"/>
    <w:autoRedefine/>
    <w:qFormat/>
    <w:uiPriority w:val="0"/>
    <w:rPr>
      <w:rFonts w:ascii="黑体" w:eastAsia="黑体"/>
      <w:sz w:val="21"/>
    </w:rPr>
  </w:style>
  <w:style w:type="character" w:customStyle="1" w:styleId="248">
    <w:name w:val="标准文件_目次、标准名称标题 Char"/>
    <w:link w:val="94"/>
    <w:autoRedefine/>
    <w:qFormat/>
    <w:uiPriority w:val="0"/>
  </w:style>
  <w:style w:type="character" w:customStyle="1" w:styleId="249">
    <w:name w:val="标准文件_前言、引言标题 Char"/>
    <w:link w:val="93"/>
    <w:autoRedefine/>
    <w:qFormat/>
    <w:uiPriority w:val="0"/>
    <w:rPr>
      <w:rFonts w:ascii="黑体" w:hAnsi="Times New Roman" w:eastAsia="黑体" w:cs="Times New Roman"/>
      <w:sz w:val="32"/>
      <w:lang w:val="en-US" w:eastAsia="zh-CN" w:bidi="ar-SA"/>
    </w:rPr>
  </w:style>
  <w:style w:type="character" w:customStyle="1" w:styleId="250">
    <w:name w:val="标准文件_三级条标题 Char"/>
    <w:link w:val="98"/>
    <w:autoRedefine/>
    <w:qFormat/>
    <w:uiPriority w:val="0"/>
  </w:style>
  <w:style w:type="character" w:customStyle="1" w:styleId="251">
    <w:name w:val="标准文件_一级条标题 Char"/>
    <w:link w:val="109"/>
    <w:autoRedefine/>
    <w:qFormat/>
    <w:uiPriority w:val="0"/>
    <w:rPr>
      <w:rFonts w:ascii="黑体" w:eastAsia="黑体"/>
      <w:sz w:val="21"/>
    </w:rPr>
  </w:style>
  <w:style w:type="character" w:customStyle="1" w:styleId="252">
    <w:name w:val="标准文件_一致程度 Char"/>
    <w:link w:val="110"/>
    <w:autoRedefine/>
    <w:qFormat/>
    <w:uiPriority w:val="0"/>
    <w:rPr>
      <w:sz w:val="28"/>
    </w:rPr>
  </w:style>
  <w:style w:type="character" w:customStyle="1" w:styleId="253">
    <w:name w:val="标准文件_英文图表脚注 Char"/>
    <w:link w:val="112"/>
    <w:autoRedefine/>
    <w:qFormat/>
    <w:uiPriority w:val="0"/>
    <w:rPr>
      <w:rFonts w:ascii="宋体" w:hAnsi="宋体"/>
    </w:rPr>
  </w:style>
  <w:style w:type="character" w:customStyle="1" w:styleId="254">
    <w:name w:val="标准文件_正文图标题 Char"/>
    <w:link w:val="118"/>
    <w:autoRedefine/>
    <w:qFormat/>
    <w:uiPriority w:val="0"/>
    <w:rPr>
      <w:rFonts w:ascii="黑体" w:hAnsi="Times New Roman" w:eastAsia="黑体" w:cs="Times New Roman"/>
      <w:sz w:val="21"/>
      <w:lang w:val="en-US" w:eastAsia="zh-CN" w:bidi="ar-SA"/>
    </w:rPr>
  </w:style>
  <w:style w:type="character" w:customStyle="1" w:styleId="255">
    <w:name w:val="标准文件_正文公式 Char"/>
    <w:link w:val="117"/>
    <w:autoRedefine/>
    <w:qFormat/>
    <w:uiPriority w:val="0"/>
    <w:rPr>
      <w:rFonts w:ascii="宋体" w:hAnsi="宋体"/>
    </w:rPr>
  </w:style>
  <w:style w:type="character" w:customStyle="1" w:styleId="256">
    <w:name w:val="标准文件_正文英文表标题 Char"/>
    <w:link w:val="119"/>
    <w:autoRedefine/>
    <w:qFormat/>
    <w:uiPriority w:val="0"/>
    <w:rPr>
      <w:rFonts w:ascii="黑体" w:hAnsi="Times New Roman" w:eastAsia="黑体" w:cs="Times New Roman"/>
      <w:sz w:val="21"/>
      <w:lang w:val="en-US" w:eastAsia="zh-CN" w:bidi="ar-SA"/>
    </w:rPr>
  </w:style>
  <w:style w:type="character" w:customStyle="1" w:styleId="257">
    <w:name w:val="标准文件_五级条标题 Char"/>
    <w:link w:val="107"/>
    <w:autoRedefine/>
    <w:qFormat/>
    <w:uiPriority w:val="0"/>
    <w:rPr>
      <w:rFonts w:ascii="黑体" w:hAnsi="Times New Roman" w:eastAsia="黑体" w:cs="Times New Roman"/>
      <w:sz w:val="21"/>
      <w:lang w:val="en-US" w:eastAsia="zh-CN" w:bidi="ar-SA"/>
    </w:rPr>
  </w:style>
  <w:style w:type="character" w:customStyle="1" w:styleId="258">
    <w:name w:val="标准文件_图表脚注 Char"/>
    <w:link w:val="105"/>
    <w:autoRedefine/>
    <w:qFormat/>
    <w:uiPriority w:val="0"/>
    <w:rPr>
      <w:rFonts w:ascii="宋体" w:hAnsi="宋体"/>
      <w:sz w:val="18"/>
    </w:rPr>
  </w:style>
  <w:style w:type="character" w:customStyle="1" w:styleId="259">
    <w:name w:val="标准文件_条文脚注 Char"/>
    <w:link w:val="104"/>
    <w:autoRedefine/>
    <w:qFormat/>
    <w:uiPriority w:val="0"/>
    <w:rPr>
      <w:rFonts w:hAnsi="宋体"/>
    </w:rPr>
  </w:style>
  <w:style w:type="character" w:customStyle="1" w:styleId="260">
    <w:name w:val="标准文件_二级项 Char"/>
    <w:link w:val="175"/>
    <w:autoRedefine/>
    <w:qFormat/>
    <w:uiPriority w:val="0"/>
    <w:rPr>
      <w:rFonts w:ascii="宋体" w:hAnsi="Times New Roman" w:eastAsia="宋体" w:cs="Times New Roman"/>
      <w:sz w:val="21"/>
      <w:lang w:val="en-US" w:eastAsia="zh-CN" w:bidi="ar-SA"/>
    </w:rPr>
  </w:style>
  <w:style w:type="character" w:customStyle="1" w:styleId="261">
    <w:name w:val="标准文件_四级条标题 Char"/>
    <w:link w:val="102"/>
    <w:autoRedefine/>
    <w:qFormat/>
    <w:uiPriority w:val="0"/>
    <w:rPr>
      <w:rFonts w:ascii="黑体" w:hAnsi="Times New Roman" w:eastAsia="黑体" w:cs="Times New Roman"/>
      <w:sz w:val="21"/>
      <w:lang w:val="en-US" w:eastAsia="zh-CN" w:bidi="ar-SA"/>
    </w:rPr>
  </w:style>
  <w:style w:type="paragraph" w:styleId="262">
    <w:name w:val="List Paragraph"/>
    <w:basedOn w:val="1"/>
    <w:qFormat/>
    <w:uiPriority w:val="34"/>
    <w:pPr>
      <w:ind w:firstLine="420" w:firstLineChars="200"/>
    </w:pPr>
  </w:style>
  <w:style w:type="paragraph" w:customStyle="1" w:styleId="263">
    <w:name w:val="正文表标题"/>
    <w:next w:val="264"/>
    <w:qFormat/>
    <w:uiPriority w:val="0"/>
    <w:pPr>
      <w:numPr>
        <w:ilvl w:val="1"/>
        <w:numId w:val="33"/>
      </w:numPr>
      <w:tabs>
        <w:tab w:val="left" w:pos="360"/>
      </w:tabs>
      <w:spacing w:before="156" w:beforeLines="50" w:after="156" w:afterLines="50"/>
      <w:jc w:val="center"/>
    </w:pPr>
    <w:rPr>
      <w:rFonts w:ascii="黑体" w:hAnsi="Times New Roman" w:eastAsia="黑体" w:cs="Times New Roman"/>
      <w:sz w:val="21"/>
      <w:szCs w:val="21"/>
      <w:lang w:val="en-US" w:eastAsia="zh-CN" w:bidi="ar-SA"/>
    </w:rPr>
  </w:style>
  <w:style w:type="paragraph" w:customStyle="1" w:styleId="264">
    <w:name w:val="段"/>
    <w:qFormat/>
    <w:uiPriority w:val="0"/>
    <w:pPr>
      <w:ind w:firstLine="200" w:firstLineChars="200"/>
      <w:jc w:val="both"/>
    </w:pPr>
    <w:rPr>
      <w:rFonts w:ascii="宋体" w:hAnsi="Times New Roman" w:eastAsia="宋体" w:cs="Times New Roman"/>
      <w:sz w:val="21"/>
      <w:lang w:val="en-US" w:eastAsia="zh-CN" w:bidi="ar-SA"/>
    </w:rPr>
  </w:style>
  <w:style w:type="paragraph" w:customStyle="1" w:styleId="265">
    <w:name w:val="注："/>
    <w:next w:val="1"/>
    <w:qFormat/>
    <w:uiPriority w:val="0"/>
    <w:pPr>
      <w:widowControl w:val="0"/>
      <w:numPr>
        <w:ilvl w:val="0"/>
        <w:numId w:val="34"/>
      </w:numPr>
      <w:autoSpaceDE w:val="0"/>
      <w:autoSpaceDN w:val="0"/>
      <w:jc w:val="both"/>
    </w:pPr>
    <w:rPr>
      <w:rFonts w:ascii="宋体" w:hAnsi="Times New Roman" w:eastAsia="宋体" w:cs="Times New Roman"/>
      <w:sz w:val="18"/>
      <w:szCs w:val="18"/>
      <w:lang w:val="en-US" w:eastAsia="zh-CN" w:bidi="ar-SA"/>
    </w:rPr>
  </w:style>
  <w:style w:type="paragraph" w:customStyle="1" w:styleId="266">
    <w:name w:val="一级条标题"/>
    <w:next w:val="264"/>
    <w:qFormat/>
    <w:uiPriority w:val="0"/>
    <w:pPr>
      <w:numPr>
        <w:ilvl w:val="1"/>
        <w:numId w:val="35"/>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267">
    <w:name w:val="二级条标题"/>
    <w:basedOn w:val="266"/>
    <w:next w:val="264"/>
    <w:qFormat/>
    <w:uiPriority w:val="0"/>
    <w:pPr>
      <w:numPr>
        <w:ilvl w:val="2"/>
      </w:numPr>
      <w:spacing w:before="50" w:after="50"/>
      <w:outlineLvl w:val="3"/>
    </w:pPr>
  </w:style>
  <w:style w:type="paragraph" w:customStyle="1" w:styleId="268">
    <w:name w:val="字母编号列项（一级）"/>
    <w:qFormat/>
    <w:uiPriority w:val="0"/>
    <w:pPr>
      <w:numPr>
        <w:ilvl w:val="0"/>
        <w:numId w:val="36"/>
      </w:numPr>
      <w:jc w:val="both"/>
    </w:pPr>
    <w:rPr>
      <w:rFonts w:ascii="宋体" w:hAnsi="Times New Roman" w:eastAsia="宋体" w:cs="Times New Roman"/>
      <w:sz w:val="21"/>
      <w:lang w:val="en-US" w:eastAsia="zh-CN" w:bidi="ar-SA"/>
    </w:rPr>
  </w:style>
  <w:style w:type="paragraph" w:customStyle="1" w:styleId="269">
    <w:name w:val="附录标识"/>
    <w:basedOn w:val="1"/>
    <w:next w:val="1"/>
    <w:qFormat/>
    <w:uiPriority w:val="0"/>
    <w:pPr>
      <w:keepNext/>
      <w:widowControl/>
      <w:shd w:val="clear" w:color="FFFFFF" w:fill="FFFFFF"/>
      <w:tabs>
        <w:tab w:val="left" w:pos="6405"/>
      </w:tabs>
      <w:spacing w:before="640" w:after="280"/>
      <w:jc w:val="center"/>
      <w:outlineLvl w:val="0"/>
    </w:pPr>
    <w:rPr>
      <w:rFonts w:ascii="黑体" w:eastAsia="黑体"/>
      <w:kern w:val="0"/>
      <w:szCs w:val="20"/>
    </w:rPr>
  </w:style>
  <w:style w:type="paragraph" w:customStyle="1" w:styleId="270">
    <w:name w:val="附录章标题"/>
    <w:next w:val="264"/>
    <w:qFormat/>
    <w:uiPriority w:val="0"/>
    <w:pPr>
      <w:wordWrap w:val="0"/>
      <w:overflowPunct w:val="0"/>
      <w:autoSpaceDE w:val="0"/>
      <w:spacing w:before="50" w:beforeLines="50" w:after="50" w:afterLines="50"/>
      <w:jc w:val="both"/>
      <w:textAlignment w:val="baseline"/>
      <w:outlineLvl w:val="2"/>
    </w:pPr>
    <w:rPr>
      <w:rFonts w:ascii="黑体" w:hAnsi="Times New Roman" w:eastAsia="黑体" w:cs="Times New Roman"/>
      <w:kern w:val="21"/>
      <w:sz w:val="21"/>
      <w:lang w:val="en-US" w:eastAsia="zh-CN" w:bidi="ar-SA"/>
    </w:rPr>
  </w:style>
  <w:style w:type="paragraph" w:customStyle="1" w:styleId="271">
    <w:name w:val="附录图标题"/>
    <w:basedOn w:val="1"/>
    <w:next w:val="1"/>
    <w:qFormat/>
    <w:uiPriority w:val="0"/>
    <w:pPr>
      <w:numPr>
        <w:ilvl w:val="1"/>
        <w:numId w:val="37"/>
      </w:numPr>
      <w:spacing w:before="50" w:beforeLines="50" w:after="50" w:afterLines="50"/>
      <w:jc w:val="center"/>
    </w:pPr>
    <w:rPr>
      <w:rFonts w:ascii="黑体" w:eastAsia="黑体"/>
    </w:rPr>
  </w:style>
  <w:style w:type="paragraph" w:customStyle="1" w:styleId="272">
    <w:name w:val="数字编号列项（二级）"/>
    <w:qFormat/>
    <w:uiPriority w:val="0"/>
    <w:pPr>
      <w:numPr>
        <w:ilvl w:val="1"/>
        <w:numId w:val="36"/>
      </w:numPr>
      <w:jc w:val="both"/>
    </w:pPr>
    <w:rPr>
      <w:rFonts w:ascii="宋体" w:hAnsi="Times New Roman" w:eastAsia="宋体" w:cs="Times New Roman"/>
      <w:sz w:val="21"/>
      <w:lang w:val="en-US" w:eastAsia="zh-CN" w:bidi="ar-SA"/>
    </w:rPr>
  </w:style>
  <w:style w:type="character" w:customStyle="1" w:styleId="273">
    <w:name w:val="fontstyle01"/>
    <w:qFormat/>
    <w:uiPriority w:val="0"/>
    <w:rPr>
      <w:rFonts w:hint="eastAsia" w:ascii="黑体" w:hAnsi="黑体" w:eastAsia="黑体"/>
      <w:color w:val="000000"/>
      <w:sz w:val="46"/>
      <w:szCs w:val="46"/>
    </w:rPr>
  </w:style>
  <w:style w:type="paragraph" w:customStyle="1" w:styleId="274">
    <w:name w:val="章标题-无条题"/>
    <w:qFormat/>
    <w:uiPriority w:val="0"/>
    <w:pPr>
      <w:widowControl w:val="0"/>
      <w:wordWrap w:val="0"/>
      <w:autoSpaceDE w:val="0"/>
      <w:autoSpaceDN w:val="0"/>
    </w:pPr>
    <w:rPr>
      <w:rFonts w:ascii="宋体" w:hAnsi="宋体" w:eastAsia="宋体" w:cs="Times New Roman"/>
      <w:lang w:val="en-US" w:eastAsia="zh-CN" w:bidi="ar-SA"/>
    </w:rPr>
  </w:style>
  <w:style w:type="paragraph" w:customStyle="1" w:styleId="275">
    <w:name w:val="段落"/>
    <w:qFormat/>
    <w:uiPriority w:val="0"/>
    <w:pPr>
      <w:widowControl w:val="0"/>
      <w:autoSpaceDE w:val="0"/>
      <w:autoSpaceDN w:val="0"/>
      <w:ind w:firstLine="420" w:firstLineChars="200"/>
    </w:pPr>
    <w:rPr>
      <w:rFonts w:ascii="宋体" w:hAnsi="Times New Roman" w:eastAsia="宋体" w:cs="Times New Roman"/>
      <w:sz w:val="21"/>
      <w:lang w:val="en-US" w:eastAsia="zh-CN" w:bidi="ar-SA"/>
    </w:rPr>
  </w:style>
  <w:style w:type="paragraph" w:customStyle="1" w:styleId="276">
    <w:name w:val="表标题"/>
    <w:qFormat/>
    <w:uiPriority w:val="0"/>
    <w:pPr>
      <w:widowControl w:val="0"/>
      <w:wordWrap w:val="0"/>
      <w:autoSpaceDE w:val="0"/>
      <w:autoSpaceDN w:val="0"/>
      <w:spacing w:before="50" w:beforeLines="50" w:after="50" w:afterLines="50"/>
      <w:jc w:val="center"/>
    </w:pPr>
    <w:rPr>
      <w:rFonts w:ascii="黑体" w:hAnsi="黑体" w:eastAsia="黑体" w:cs="Times New Roman"/>
      <w:sz w:val="21"/>
      <w:lang w:val="en-US" w:eastAsia="zh-CN" w:bidi="ar-SA"/>
    </w:rPr>
  </w:style>
  <w:style w:type="paragraph" w:customStyle="1" w:styleId="277">
    <w:name w:val="章节条款"/>
    <w:qFormat/>
    <w:uiPriority w:val="0"/>
    <w:pPr>
      <w:widowControl w:val="0"/>
      <w:wordWrap w:val="0"/>
      <w:autoSpaceDE w:val="0"/>
      <w:autoSpaceDN w:val="0"/>
      <w:snapToGrid w:val="0"/>
      <w:spacing w:before="50" w:beforeLines="50" w:after="50" w:afterLines="50"/>
      <w:jc w:val="both"/>
    </w:pPr>
    <w:rPr>
      <w:rFonts w:ascii="黑体" w:hAnsi="黑体" w:eastAsia="黑体" w:cs="Times New Roman"/>
      <w:sz w:val="21"/>
      <w:lang w:val="en-US" w:eastAsia="zh-CN" w:bidi="ar-SA"/>
    </w:rPr>
  </w:style>
  <w:style w:type="paragraph" w:customStyle="1" w:styleId="278">
    <w:name w:val="一级章标题"/>
    <w:qFormat/>
    <w:uiPriority w:val="0"/>
    <w:pPr>
      <w:widowControl w:val="0"/>
      <w:wordWrap w:val="0"/>
      <w:autoSpaceDE w:val="0"/>
      <w:autoSpaceDN w:val="0"/>
      <w:snapToGrid w:val="0"/>
      <w:spacing w:before="312" w:beforeLines="100" w:after="312" w:afterLines="100"/>
      <w:jc w:val="both"/>
    </w:pPr>
    <w:rPr>
      <w:rFonts w:ascii="黑体" w:hAnsi="黑体" w:eastAsia="黑体" w:cs="Times New Roman"/>
      <w:sz w:val="21"/>
      <w:lang w:val="en-US" w:eastAsia="zh-CN" w:bidi="ar-SA"/>
    </w:rPr>
  </w:style>
  <w:style w:type="paragraph" w:customStyle="1" w:styleId="279">
    <w:name w:val="修订1"/>
    <w:hidden/>
    <w:unhideWhenUsed/>
    <w:qFormat/>
    <w:uiPriority w:val="99"/>
    <w:rPr>
      <w:rFonts w:ascii="Calibri" w:hAnsi="Calibri" w:eastAsia="宋体" w:cs="Times New Roman"/>
      <w:kern w:val="2"/>
      <w:sz w:val="21"/>
      <w:szCs w:val="21"/>
      <w:lang w:val="en-US" w:eastAsia="zh-CN" w:bidi="ar-SA"/>
    </w:rPr>
  </w:style>
  <w:style w:type="character" w:customStyle="1" w:styleId="280">
    <w:name w:val="标准文件_注： Char"/>
    <w:link w:val="183"/>
    <w:qFormat/>
    <w:uiPriority w:val="0"/>
    <w:rPr>
      <w:rFonts w:ascii="宋体" w:hAnsi="Times New Roman" w:eastAsia="宋体" w:cs="Times New Roman"/>
      <w:sz w:val="18"/>
      <w:szCs w:val="18"/>
      <w:lang w:val="en-US" w:eastAsia="zh-CN" w:bidi="ar-SA"/>
    </w:rPr>
  </w:style>
  <w:style w:type="paragraph" w:customStyle="1" w:styleId="281">
    <w:name w:val="修订2"/>
    <w:hidden/>
    <w:unhideWhenUsed/>
    <w:qFormat/>
    <w:uiPriority w:val="99"/>
    <w:rPr>
      <w:rFonts w:ascii="Calibri" w:hAnsi="Calibri" w:eastAsia="宋体" w:cs="Times New Roman"/>
      <w:kern w:val="2"/>
      <w:sz w:val="21"/>
      <w:szCs w:val="21"/>
      <w:lang w:val="en-US" w:eastAsia="zh-CN" w:bidi="ar-SA"/>
    </w:rPr>
  </w:style>
  <w:style w:type="paragraph" w:customStyle="1" w:styleId="282">
    <w:name w:val="修订3"/>
    <w:hidden/>
    <w:unhideWhenUsed/>
    <w:qFormat/>
    <w:uiPriority w:val="99"/>
    <w:rPr>
      <w:rFonts w:ascii="Calibri" w:hAnsi="Calibri" w:eastAsia="宋体" w:cs="Times New Roman"/>
      <w:kern w:val="2"/>
      <w:sz w:val="21"/>
      <w:szCs w:val="21"/>
      <w:lang w:val="en-US" w:eastAsia="zh-CN" w:bidi="ar-SA"/>
    </w:rPr>
  </w:style>
  <w:style w:type="character" w:customStyle="1" w:styleId="283">
    <w:name w:val="标准文件_二级无标题 Char"/>
    <w:link w:val="169"/>
    <w:qFormat/>
    <w:uiPriority w:val="0"/>
    <w:rPr>
      <w:rFonts w:ascii="宋体" w:eastAsia="宋体"/>
    </w:rPr>
  </w:style>
  <w:style w:type="paragraph" w:customStyle="1" w:styleId="284">
    <w:name w:val="参考文献"/>
    <w:next w:val="264"/>
    <w:qFormat/>
    <w:uiPriority w:val="0"/>
    <w:pPr>
      <w:keepNext/>
      <w:pageBreakBefore/>
      <w:widowControl/>
      <w:shd w:val="clear" w:color="FFFFFF" w:fill="FFFFFF"/>
      <w:adjustRightInd w:val="0"/>
      <w:spacing w:before="640" w:after="200" w:line="400" w:lineRule="exact"/>
      <w:jc w:val="center"/>
      <w:outlineLvl w:val="0"/>
    </w:pPr>
    <w:rPr>
      <w:rFonts w:ascii="黑体" w:hAnsi="Calibri" w:eastAsia="黑体" w:cs="Times New Roman"/>
      <w:kern w:val="0"/>
      <w:sz w:val="21"/>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2" Type="http://schemas.openxmlformats.org/officeDocument/2006/relationships/glossaryDocument" Target="glossary/document.xml"/><Relationship Id="rId31" Type="http://schemas.openxmlformats.org/officeDocument/2006/relationships/fontTable" Target="fontTable.xml"/><Relationship Id="rId30" Type="http://schemas.openxmlformats.org/officeDocument/2006/relationships/customXml" Target="../customXml/item2.xml"/><Relationship Id="rId3" Type="http://schemas.openxmlformats.org/officeDocument/2006/relationships/footnotes" Target="footnotes.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2.png"/><Relationship Id="rId26" Type="http://schemas.openxmlformats.org/officeDocument/2006/relationships/image" Target="media/image1.jpeg"/><Relationship Id="rId25" Type="http://schemas.openxmlformats.org/officeDocument/2006/relationships/theme" Target="theme/theme1.xml"/><Relationship Id="rId24" Type="http://schemas.openxmlformats.org/officeDocument/2006/relationships/footer" Target="footer11.xml"/><Relationship Id="rId23" Type="http://schemas.openxmlformats.org/officeDocument/2006/relationships/footer" Target="footer10.xml"/><Relationship Id="rId22" Type="http://schemas.openxmlformats.org/officeDocument/2006/relationships/header" Target="header9.xml"/><Relationship Id="rId21" Type="http://schemas.openxmlformats.org/officeDocument/2006/relationships/header" Target="header8.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header" Target="header7.xml"/><Relationship Id="rId17" Type="http://schemas.openxmlformats.org/officeDocument/2006/relationships/header" Target="header6.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33580E5DEE94A56B4AA6E6699E4C1B2"/>
        <w:style w:val=""/>
        <w:category>
          <w:name w:val="常规"/>
          <w:gallery w:val="placeholder"/>
        </w:category>
        <w:types>
          <w:type w:val="bbPlcHdr"/>
        </w:types>
        <w:behaviors>
          <w:behavior w:val="content"/>
        </w:behaviors>
        <w:description w:val=""/>
        <w:guid w:val="{34689D8D-2592-4C26-8790-926C603A8528}"/>
      </w:docPartPr>
      <w:docPartBody>
        <w:p w14:paraId="24815AB7">
          <w:pPr>
            <w:pStyle w:val="5"/>
          </w:pPr>
          <w:r>
            <w:rPr>
              <w:rStyle w:val="4"/>
              <w:rFonts w:hint="eastAsia"/>
            </w:rPr>
            <w:t>单击或点击此处输入文字。</w:t>
          </w:r>
        </w:p>
      </w:docPartBody>
    </w:docPart>
    <w:docPart>
      <w:docPartPr>
        <w:name w:val="5D90168562164F299B43676937C953E8"/>
        <w:style w:val=""/>
        <w:category>
          <w:name w:val="常规"/>
          <w:gallery w:val="placeholder"/>
        </w:category>
        <w:types>
          <w:type w:val="bbPlcHdr"/>
        </w:types>
        <w:behaviors>
          <w:behavior w:val="content"/>
        </w:behaviors>
        <w:description w:val=""/>
        <w:guid w:val="{7A012BD1-694A-4C18-B3FA-49435039141F}"/>
      </w:docPartPr>
      <w:docPartBody>
        <w:p w14:paraId="3C47BC20">
          <w:pPr>
            <w:pStyle w:val="6"/>
          </w:pPr>
          <w:r>
            <w:rPr>
              <w:rStyle w:val="4"/>
              <w:rFonts w:hint="eastAsia"/>
            </w:rPr>
            <w:t>选择一项。</w:t>
          </w:r>
        </w:p>
      </w:docPartBody>
    </w:docPart>
    <w:docPart>
      <w:docPartPr>
        <w:name w:val="{17f91292-1dc5-46d1-8705-c70758c29d7b}"/>
        <w:style w:val=""/>
        <w:category>
          <w:name w:val="常规"/>
          <w:gallery w:val="placeholder"/>
        </w:category>
        <w:types>
          <w:type w:val="bbPlcHdr"/>
        </w:types>
        <w:behaviors>
          <w:behavior w:val="content"/>
        </w:behaviors>
        <w:description w:val=""/>
        <w:guid w:val="{17f91292-1dc5-46d1-8705-c70758c29d7b}"/>
      </w:docPartPr>
      <w:docPartBody>
        <w:p w14:paraId="30B8CE91">
          <w:pPr>
            <w:pStyle w:val="8"/>
            <w:rPr>
              <w:rFonts w:hint="eastAsia"/>
            </w:rPr>
          </w:pPr>
          <w:r>
            <w:rPr>
              <w:rStyle w:val="7"/>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7C0"/>
    <w:rsid w:val="0001420D"/>
    <w:rsid w:val="0004716D"/>
    <w:rsid w:val="000B2816"/>
    <w:rsid w:val="000D0DF4"/>
    <w:rsid w:val="000F721E"/>
    <w:rsid w:val="00122383"/>
    <w:rsid w:val="00124EF0"/>
    <w:rsid w:val="001613CD"/>
    <w:rsid w:val="001678BC"/>
    <w:rsid w:val="0017532E"/>
    <w:rsid w:val="00181D60"/>
    <w:rsid w:val="001B4854"/>
    <w:rsid w:val="001C703A"/>
    <w:rsid w:val="00224E4C"/>
    <w:rsid w:val="00233E0B"/>
    <w:rsid w:val="00245410"/>
    <w:rsid w:val="00247E02"/>
    <w:rsid w:val="00250CE1"/>
    <w:rsid w:val="00252617"/>
    <w:rsid w:val="00292364"/>
    <w:rsid w:val="002A34EB"/>
    <w:rsid w:val="002A42F2"/>
    <w:rsid w:val="002A5A0E"/>
    <w:rsid w:val="002B203B"/>
    <w:rsid w:val="002E79D5"/>
    <w:rsid w:val="00335557"/>
    <w:rsid w:val="00344A6E"/>
    <w:rsid w:val="003568E3"/>
    <w:rsid w:val="003609A4"/>
    <w:rsid w:val="003A430A"/>
    <w:rsid w:val="003B0594"/>
    <w:rsid w:val="00405BE1"/>
    <w:rsid w:val="004262C1"/>
    <w:rsid w:val="004709A1"/>
    <w:rsid w:val="0048438C"/>
    <w:rsid w:val="00486075"/>
    <w:rsid w:val="004C7C9D"/>
    <w:rsid w:val="00506EFF"/>
    <w:rsid w:val="00533DC4"/>
    <w:rsid w:val="00552166"/>
    <w:rsid w:val="005662EB"/>
    <w:rsid w:val="00583AAB"/>
    <w:rsid w:val="00593537"/>
    <w:rsid w:val="006074EA"/>
    <w:rsid w:val="00615B61"/>
    <w:rsid w:val="00642880"/>
    <w:rsid w:val="006468C2"/>
    <w:rsid w:val="006642AD"/>
    <w:rsid w:val="00666D88"/>
    <w:rsid w:val="00672F74"/>
    <w:rsid w:val="00685923"/>
    <w:rsid w:val="006E430E"/>
    <w:rsid w:val="00764574"/>
    <w:rsid w:val="007C3E32"/>
    <w:rsid w:val="007D2C4A"/>
    <w:rsid w:val="00813842"/>
    <w:rsid w:val="008256CB"/>
    <w:rsid w:val="00832824"/>
    <w:rsid w:val="008729C1"/>
    <w:rsid w:val="00883250"/>
    <w:rsid w:val="0091351B"/>
    <w:rsid w:val="00916263"/>
    <w:rsid w:val="009862F8"/>
    <w:rsid w:val="00997226"/>
    <w:rsid w:val="009C0370"/>
    <w:rsid w:val="009D49B1"/>
    <w:rsid w:val="009E760A"/>
    <w:rsid w:val="00A16A80"/>
    <w:rsid w:val="00A209FE"/>
    <w:rsid w:val="00A67B89"/>
    <w:rsid w:val="00A854CF"/>
    <w:rsid w:val="00B05704"/>
    <w:rsid w:val="00B22FC1"/>
    <w:rsid w:val="00BA077C"/>
    <w:rsid w:val="00BA51CF"/>
    <w:rsid w:val="00BC3695"/>
    <w:rsid w:val="00C0640D"/>
    <w:rsid w:val="00C736D0"/>
    <w:rsid w:val="00C96FD9"/>
    <w:rsid w:val="00CA724C"/>
    <w:rsid w:val="00CD2C45"/>
    <w:rsid w:val="00CD5B24"/>
    <w:rsid w:val="00CE18DD"/>
    <w:rsid w:val="00CE472C"/>
    <w:rsid w:val="00D22C93"/>
    <w:rsid w:val="00D434AD"/>
    <w:rsid w:val="00D57D22"/>
    <w:rsid w:val="00D76227"/>
    <w:rsid w:val="00D84024"/>
    <w:rsid w:val="00D9103D"/>
    <w:rsid w:val="00D97AA5"/>
    <w:rsid w:val="00DF7A33"/>
    <w:rsid w:val="00E12032"/>
    <w:rsid w:val="00E6509C"/>
    <w:rsid w:val="00E87155"/>
    <w:rsid w:val="00EC57C0"/>
    <w:rsid w:val="00ED399F"/>
    <w:rsid w:val="00F204AA"/>
    <w:rsid w:val="00F56F1C"/>
    <w:rsid w:val="00F76CD6"/>
    <w:rsid w:val="00F83BC2"/>
    <w:rsid w:val="00F906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customStyle="1" w:styleId="4">
    <w:name w:val="占位符文本1"/>
    <w:basedOn w:val="2"/>
    <w:autoRedefine/>
    <w:semiHidden/>
    <w:qFormat/>
    <w:uiPriority w:val="99"/>
    <w:rPr>
      <w:color w:val="808080"/>
    </w:rPr>
  </w:style>
  <w:style w:type="paragraph" w:customStyle="1" w:styleId="5">
    <w:name w:val="D33580E5DEE94A56B4AA6E6699E4C1B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5D90168562164F299B43676937C953E8"/>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7">
    <w:name w:val="Placeholder Text"/>
    <w:basedOn w:val="2"/>
    <w:autoRedefine/>
    <w:semiHidden/>
    <w:qFormat/>
    <w:uiPriority w:val="99"/>
    <w:rPr>
      <w:color w:val="808080"/>
    </w:rPr>
  </w:style>
  <w:style w:type="paragraph" w:customStyle="1" w:styleId="8">
    <w:name w:val="6E14AFCA18E14F94A68CABAD0F53387D"/>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F08AE0-F168-47C8-9096-A9FA920BEC0D}">
  <ds:schemaRefs/>
</ds:datastoreItem>
</file>

<file path=docProps/app.xml><?xml version="1.0" encoding="utf-8"?>
<Properties xmlns="http://schemas.openxmlformats.org/officeDocument/2006/extended-properties" xmlns:vt="http://schemas.openxmlformats.org/officeDocument/2006/docPropsVTypes">
  <Template>Normal</Template>
  <Company>PCMI</Company>
  <Pages>13</Pages>
  <Words>2577</Words>
  <Characters>3168</Characters>
  <Lines>28</Lines>
  <Paragraphs>8</Paragraphs>
  <TotalTime>12</TotalTime>
  <ScaleCrop>false</ScaleCrop>
  <LinksUpToDate>false</LinksUpToDate>
  <CharactersWithSpaces>3301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2025-06-05T02:20:00Z</dcterms:created>
  <dc:creator>ZHH</dc:creator>
  <dc:description>&lt;config cover="true" show_menu="true" version="1.0.0" doctype="SDKXY"&gt;_x000d_
&lt;/config&gt;</dc:description>
  <cp:lastModifiedBy>工作组</cp:lastModifiedBy>
  <cp:lastPrinted>2023-10-19T05:03:00Z</cp:lastPrinted>
  <dcterms:modified xsi:type="dcterms:W3CDTF">2026-09-07T08:34:10Z</dcterms:modified>
  <dc:title>团体标准</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2052-12.1.0.28043</vt:lpwstr>
  </property>
  <property fmtid="{D5CDD505-2E9C-101B-9397-08002B2CF9AE}" pid="15" name="ICV">
    <vt:lpwstr>8AF50CEA566047BF9508DD878D0D9F66_13</vt:lpwstr>
  </property>
  <property fmtid="{D5CDD505-2E9C-101B-9397-08002B2CF9AE}" pid="16" name="KSOTemplateDocerSaveRecord">
    <vt:lpwstr>eyJoZGlkIjoiZjg4ZGUzMmU5ZDk0M2FjMzAzOTBhZmQxMjNkNTk0NTYiLCJ1c2VySWQiOiI0MDgwOTI1NzcifQ==</vt:lpwstr>
  </property>
</Properties>
</file>