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2D054B">
      <w:pPr>
        <w:pStyle w:val="143"/>
        <w:numPr>
          <w:ilvl w:val="0"/>
          <w:numId w:val="0"/>
        </w:numPr>
        <w:spacing w:before="312" w:after="312"/>
        <w:jc w:val="both"/>
        <w:rPr>
          <w:rFonts w:hint="eastAsia" w:ascii="仿宋" w:hAnsi="仿宋" w:eastAsia="仿宋" w:cs="仿宋"/>
          <w:b/>
          <w:bCs/>
          <w:sz w:val="32"/>
          <w:szCs w:val="32"/>
        </w:rPr>
      </w:pPr>
      <w:bookmarkStart w:id="0" w:name="_Toc298937188"/>
      <w:bookmarkStart w:id="1" w:name="_Toc309995390"/>
      <w:bookmarkStart w:id="2" w:name="_Toc298937100"/>
      <w:bookmarkStart w:id="3" w:name="_Toc304825081"/>
      <w:bookmarkStart w:id="4" w:name="_Toc304828066"/>
      <w:bookmarkStart w:id="5" w:name="_Toc298936924"/>
      <w:bookmarkStart w:id="6" w:name="_Toc298937201"/>
      <w:bookmarkStart w:id="7" w:name="_Toc6138"/>
      <w:bookmarkStart w:id="8" w:name="_Toc298937152"/>
      <w:bookmarkStart w:id="9" w:name="_Toc309994551"/>
      <w:bookmarkStart w:id="10" w:name="_Toc304825008"/>
      <w:bookmarkStart w:id="11" w:name="_Toc309995999"/>
      <w:bookmarkStart w:id="12" w:name="_Toc298937419"/>
      <w:bookmarkStart w:id="13" w:name="_Toc309995472"/>
      <w:bookmarkStart w:id="14" w:name="_Toc309997040"/>
      <w:bookmarkStart w:id="15" w:name="_Toc298937462"/>
      <w:bookmarkStart w:id="16" w:name="_Toc298938635"/>
      <w:bookmarkStart w:id="17" w:name="_Toc298937167"/>
      <w:bookmarkStart w:id="18" w:name="_Toc309993180"/>
      <w:bookmarkStart w:id="19" w:name="_Toc309995578"/>
      <w:bookmarkStart w:id="20" w:name="_Toc298937609"/>
      <w:bookmarkStart w:id="21" w:name="_Toc298937357"/>
      <w:bookmarkStart w:id="22" w:name="_Toc298936801"/>
      <w:bookmarkStart w:id="23" w:name="_Toc304402664"/>
      <w:bookmarkStart w:id="24" w:name="_Toc304824969"/>
      <w:bookmarkStart w:id="25" w:name="_Toc37234703"/>
      <w:bookmarkStart w:id="26" w:name="_Toc298937322"/>
      <w:bookmarkStart w:id="27" w:name="_Toc298938783"/>
      <w:bookmarkStart w:id="28" w:name="_Toc298937276"/>
      <w:bookmarkStart w:id="29" w:name="_Toc499110426"/>
      <w:bookmarkStart w:id="30" w:name="_Toc298923383"/>
      <w:bookmarkStart w:id="31" w:name="_Toc310002637"/>
    </w:p>
    <w:p w14:paraId="705BFDC1">
      <w:pPr>
        <w:pStyle w:val="143"/>
        <w:numPr>
          <w:ilvl w:val="0"/>
          <w:numId w:val="0"/>
        </w:numPr>
        <w:spacing w:before="312" w:after="312" w:line="240" w:lineRule="auto"/>
        <w:jc w:val="center"/>
        <w:rPr>
          <w:rFonts w:hint="eastAsia" w:ascii="仿宋" w:hAnsi="仿宋" w:eastAsia="仿宋" w:cs="仿宋"/>
          <w:b/>
          <w:bCs/>
          <w:sz w:val="32"/>
          <w:szCs w:val="32"/>
        </w:rPr>
      </w:pPr>
      <w:r>
        <w:rPr>
          <w:rFonts w:hint="eastAsia" w:ascii="仿宋" w:hAnsi="仿宋" w:eastAsia="仿宋" w:cs="仿宋"/>
          <w:b/>
          <w:bCs/>
          <w:sz w:val="32"/>
          <w:szCs w:val="32"/>
          <w:lang w:eastAsia="zh-CN"/>
        </w:rPr>
        <w:t>《盐碱地改良凝胶田间应用技术规程》</w:t>
      </w:r>
      <w:r>
        <w:rPr>
          <w:rFonts w:hint="eastAsia" w:ascii="仿宋" w:hAnsi="仿宋" w:eastAsia="仿宋" w:cs="仿宋"/>
          <w:b/>
          <w:bCs/>
          <w:sz w:val="32"/>
          <w:szCs w:val="32"/>
        </w:rPr>
        <w:t>团体标准编制说明</w:t>
      </w:r>
    </w:p>
    <w:p w14:paraId="2A8AD7D5">
      <w:pPr>
        <w:pStyle w:val="143"/>
        <w:numPr>
          <w:ilvl w:val="0"/>
          <w:numId w:val="0"/>
        </w:numPr>
        <w:spacing w:before="312" w:after="312"/>
        <w:rPr>
          <w:rFonts w:hint="eastAsia" w:ascii="仿宋" w:hAnsi="仿宋" w:eastAsia="仿宋" w:cs="仿宋"/>
          <w:b/>
          <w:bCs/>
          <w:sz w:val="21"/>
          <w:szCs w:val="21"/>
          <w:lang w:val="en-US" w:eastAsia="zh-CN" w:bidi="ar-SA"/>
        </w:rPr>
      </w:pPr>
      <w:r>
        <w:rPr>
          <w:rFonts w:hint="eastAsia" w:ascii="仿宋" w:hAnsi="仿宋" w:eastAsia="仿宋" w:cs="仿宋"/>
          <w:b/>
          <w:bCs/>
          <w:color w:val="000000"/>
          <w:sz w:val="21"/>
          <w:szCs w:val="21"/>
        </w:rPr>
        <w:t>一</w:t>
      </w:r>
      <w:r>
        <w:rPr>
          <w:rFonts w:hint="eastAsia" w:ascii="仿宋" w:hAnsi="仿宋" w:eastAsia="仿宋" w:cs="仿宋"/>
          <w:b/>
          <w:bCs/>
          <w:sz w:val="21"/>
          <w:szCs w:val="21"/>
          <w:lang w:val="en-US" w:eastAsia="zh-CN" w:bidi="ar-SA"/>
        </w:rPr>
        <w:t>、任务来源</w:t>
      </w:r>
    </w:p>
    <w:p w14:paraId="2BD45F79">
      <w:pPr>
        <w:keepNext w:val="0"/>
        <w:keepLines w:val="0"/>
        <w:widowControl/>
        <w:suppressLineNumbers w:val="0"/>
        <w:ind w:firstLine="420" w:firstLineChars="200"/>
        <w:jc w:val="left"/>
        <w:rPr>
          <w:rFonts w:hint="eastAsia" w:ascii="仿宋" w:hAnsi="仿宋" w:eastAsia="仿宋" w:cs="仿宋"/>
          <w:b/>
          <w:bCs/>
          <w:color w:val="000000"/>
          <w:sz w:val="21"/>
          <w:szCs w:val="21"/>
        </w:rPr>
      </w:pPr>
      <w:r>
        <w:rPr>
          <w:rFonts w:hint="eastAsia" w:ascii="仿宋" w:hAnsi="仿宋" w:eastAsia="仿宋" w:cs="仿宋"/>
          <w:sz w:val="21"/>
          <w:szCs w:val="21"/>
          <w:lang w:val="en-US" w:eastAsia="zh-CN"/>
        </w:rPr>
        <w:t>2026年5月28日，中国西部开发促进会发布《盐碱地改良凝胶田间应用技术规程》团体标准立项通知,开展团体标准的编制工作。</w:t>
      </w:r>
    </w:p>
    <w:p w14:paraId="489FDD61">
      <w:pPr>
        <w:pStyle w:val="143"/>
        <w:numPr>
          <w:ilvl w:val="0"/>
          <w:numId w:val="0"/>
        </w:numPr>
        <w:spacing w:before="312" w:after="312"/>
      </w:pPr>
      <w:r>
        <w:rPr>
          <w:rFonts w:hint="eastAsia" w:ascii="仿宋" w:hAnsi="仿宋" w:eastAsia="仿宋" w:cs="仿宋"/>
          <w:b/>
          <w:bCs/>
          <w:color w:val="000000"/>
          <w:sz w:val="21"/>
          <w:szCs w:val="21"/>
          <w:lang w:eastAsia="zh-CN"/>
        </w:rPr>
        <w:t>二</w:t>
      </w:r>
      <w:r>
        <w:rPr>
          <w:rFonts w:hint="eastAsia" w:ascii="仿宋" w:hAnsi="仿宋" w:eastAsia="仿宋" w:cs="仿宋"/>
          <w:b/>
          <w:bCs/>
          <w:sz w:val="21"/>
          <w:szCs w:val="21"/>
          <w:lang w:val="en-US" w:eastAsia="zh-CN" w:bidi="ar-SA"/>
        </w:rPr>
        <w:t>、项目背景</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14:paraId="3AFA7EDD">
      <w:pPr>
        <w:pStyle w:val="30"/>
        <w:ind w:left="0" w:leftChars="0" w:firstLine="0" w:firstLineChars="0"/>
        <w:rPr>
          <w:rFonts w:hint="eastAsia" w:ascii="仿宋" w:hAnsi="仿宋" w:eastAsia="仿宋" w:cs="仿宋"/>
          <w:b/>
          <w:bCs/>
          <w:color w:val="000000"/>
          <w:sz w:val="21"/>
          <w:szCs w:val="21"/>
          <w:lang w:val="en-US" w:eastAsia="zh-CN"/>
        </w:rPr>
      </w:pPr>
      <w:bookmarkStart w:id="32" w:name="_Toc298937549"/>
      <w:bookmarkEnd w:id="32"/>
      <w:bookmarkStart w:id="33" w:name="BT1"/>
      <w:bookmarkEnd w:id="33"/>
      <w:r>
        <w:rPr>
          <w:rFonts w:hint="eastAsia" w:ascii="仿宋" w:hAnsi="仿宋" w:eastAsia="仿宋" w:cs="仿宋"/>
          <w:b/>
          <w:bCs/>
          <w:color w:val="000000"/>
          <w:sz w:val="21"/>
          <w:szCs w:val="21"/>
          <w:lang w:val="en-US" w:eastAsia="zh-CN"/>
        </w:rPr>
        <w:t>1.目的</w:t>
      </w:r>
    </w:p>
    <w:p w14:paraId="0E58F26E">
      <w:pPr>
        <w:pStyle w:val="37"/>
        <w:widowControl/>
        <w:spacing w:beforeAutospacing="0" w:afterAutospacing="0" w:line="240" w:lineRule="auto"/>
        <w:ind w:firstLine="420" w:firstLineChars="200"/>
        <w:jc w:val="both"/>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制定本团体标准，旨在顺应耕地保护、盐碱地综合整治、农业绿色发展的快速发展需求，推动盐碱地改良凝胶田间应用技术向标准化、规范化、精准化方向升级。盐碱地改良凝胶作为调控土壤水盐状况、培肥地力、改善土体结构的核心材料，在盐碱耕地提质、后备土地资源开发中发挥着基础性作用。然而，当前行业在施用时机、施用剂量、布设方式、后期管护等方面缺乏统一规范，导致改良效果可比性差、田间应用风险高、技术落地转化效率低等问题。制定本团体标准，有助于统一技术要求与管控指标，推动田间作业流程与效果评估标准化，为产品选型、工程施工、效果验收等各环节提供明确技术依据，促进盐碱地改良凝胶技术健康有序发展。</w:t>
      </w:r>
    </w:p>
    <w:p w14:paraId="38381B68">
      <w:pPr>
        <w:pStyle w:val="30"/>
        <w:ind w:left="0" w:leftChars="0" w:firstLine="0" w:firstLineChars="0"/>
        <w:rPr>
          <w:rFonts w:hint="eastAsia" w:ascii="仿宋" w:hAnsi="仿宋" w:eastAsia="仿宋" w:cs="仿宋"/>
          <w:b/>
          <w:bCs/>
          <w:color w:val="000000"/>
          <w:sz w:val="21"/>
          <w:szCs w:val="21"/>
          <w:lang w:val="en-US" w:eastAsia="zh-CN"/>
        </w:rPr>
      </w:pPr>
      <w:r>
        <w:rPr>
          <w:rFonts w:hint="eastAsia" w:ascii="仿宋" w:hAnsi="仿宋" w:eastAsia="仿宋" w:cs="仿宋"/>
          <w:b/>
          <w:bCs/>
          <w:color w:val="000000"/>
          <w:sz w:val="21"/>
          <w:szCs w:val="21"/>
          <w:lang w:val="en-US" w:eastAsia="zh-CN"/>
        </w:rPr>
        <w:t>2.意义</w:t>
      </w:r>
    </w:p>
    <w:p w14:paraId="1C3D9695">
      <w:pPr>
        <w:pStyle w:val="37"/>
        <w:widowControl/>
        <w:spacing w:beforeAutospacing="0" w:afterAutospacing="0" w:line="240" w:lineRule="auto"/>
        <w:ind w:firstLine="420" w:firstLineChars="200"/>
        <w:jc w:val="both"/>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该团体标准的制定，有助于填补盐碱地改良凝胶田间应用领域的标准空白，提升我国在盐碱地农业治理自主标准化体系中的话语权。通过明确施用工艺、管控参数、效果评价方法等核心内容，能规范行业工程实施与应用管理流程，提升不同区域田间改良效果的一致性与可靠性，降低盐碱地治理项目决策风险，促进技术成果快速转化。同时，标准将建立统一的田间应用评价体系，提高农业主管部门、实施主体对改良凝胶技术的认可度；此外，作为产业升级抓手，将引导企业适配田间工况优化产品性能，加快从 “经验化施用” 向 “标准引领” 转变，助力盐碱地综合利用产业高质量发展。</w:t>
      </w:r>
    </w:p>
    <w:p w14:paraId="1A6555C0">
      <w:pPr>
        <w:pStyle w:val="30"/>
        <w:ind w:left="0" w:leftChars="0" w:firstLine="0" w:firstLineChars="0"/>
        <w:rPr>
          <w:rFonts w:hint="eastAsia" w:ascii="仿宋" w:hAnsi="仿宋" w:eastAsia="仿宋" w:cs="仿宋"/>
          <w:b/>
          <w:bCs/>
          <w:color w:val="000000"/>
          <w:sz w:val="21"/>
          <w:szCs w:val="21"/>
          <w:lang w:val="en-US" w:eastAsia="zh-CN"/>
        </w:rPr>
      </w:pPr>
      <w:r>
        <w:rPr>
          <w:rFonts w:hint="eastAsia" w:ascii="仿宋" w:hAnsi="仿宋" w:eastAsia="仿宋" w:cs="仿宋"/>
          <w:b/>
          <w:bCs/>
          <w:color w:val="000000"/>
          <w:sz w:val="21"/>
          <w:szCs w:val="21"/>
          <w:lang w:val="en-US" w:eastAsia="zh-CN"/>
        </w:rPr>
        <w:t>3.必要性</w:t>
      </w:r>
    </w:p>
    <w:p w14:paraId="02877DB1">
      <w:pPr>
        <w:pStyle w:val="37"/>
        <w:widowControl/>
        <w:spacing w:beforeAutospacing="0" w:afterAutospacing="0" w:line="240" w:lineRule="auto"/>
        <w:ind w:firstLine="420" w:firstLineChars="200"/>
        <w:jc w:val="both"/>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盐碱地改良凝胶已成为盐碱农田降盐改土、水土调控的关键技术产品，但缺乏统一田间应用规范导致工程应用乱象频发。不同区域的施用方案、管控措施差异造成改良成效不可比，直接影响盐碱地治理项目验收与长期效果稳定性；无统一作业标准增加了物料浪费、土壤次生盐渍化风险，阻碍技术规模化推广。制定本标准是解决盐碱地田间治理痛点、保障耕地质量与农业生态安全的迫切需求，也是推动我国盐碱改良材料配套技术自主创新、提升行业国际竞争力的关键支撑。</w:t>
      </w:r>
    </w:p>
    <w:p w14:paraId="1448D036">
      <w:pPr>
        <w:pStyle w:val="37"/>
        <w:widowControl/>
        <w:spacing w:beforeAutospacing="0" w:afterAutospacing="0" w:line="240" w:lineRule="auto"/>
        <w:ind w:firstLine="420" w:firstLineChars="200"/>
        <w:jc w:val="both"/>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综上所述，制定《盐碱地改良凝胶田间应用技术规程》团体标准对于促进盐碱地治理产业健康发展、推动土壤改良田间技术创新、保障耕地生态安全及增强行业竞争力均具有重要意义。这将有助于提升企业在盐碱地改良材料与农田工程应用领域的科技创新能力和市场竞争力，推动整个行业向更加规范化、精准化的方向发展。</w:t>
      </w:r>
    </w:p>
    <w:p w14:paraId="62348F23">
      <w:pPr>
        <w:pStyle w:val="143"/>
        <w:numPr>
          <w:ilvl w:val="0"/>
          <w:numId w:val="0"/>
        </w:numPr>
        <w:spacing w:before="312" w:after="312"/>
        <w:ind w:left="0" w:leftChars="0" w:firstLine="0" w:firstLineChars="0"/>
        <w:rPr>
          <w:rFonts w:ascii="仿宋" w:hAnsi="仿宋" w:eastAsia="仿宋" w:cs="仿宋"/>
          <w:b/>
          <w:bCs/>
          <w:color w:val="000000"/>
          <w:sz w:val="21"/>
          <w:szCs w:val="21"/>
        </w:rPr>
      </w:pPr>
      <w:bookmarkStart w:id="34" w:name="BT3"/>
      <w:bookmarkEnd w:id="34"/>
      <w:r>
        <w:rPr>
          <w:rFonts w:hint="eastAsia" w:ascii="仿宋" w:hAnsi="仿宋" w:eastAsia="仿宋" w:cs="仿宋"/>
          <w:b/>
          <w:bCs/>
          <w:color w:val="000000"/>
          <w:sz w:val="21"/>
          <w:szCs w:val="21"/>
          <w:lang w:val="en-US" w:eastAsia="zh-CN" w:bidi="ar-SA"/>
        </w:rPr>
        <w:t>三、</w:t>
      </w:r>
      <w:r>
        <w:rPr>
          <w:rFonts w:hint="eastAsia" w:ascii="仿宋" w:hAnsi="仿宋" w:eastAsia="仿宋" w:cs="仿宋"/>
          <w:b/>
          <w:bCs/>
          <w:color w:val="000000"/>
          <w:sz w:val="21"/>
          <w:szCs w:val="21"/>
        </w:rPr>
        <w:t>起草单位</w:t>
      </w:r>
      <w:r>
        <w:rPr>
          <w:rFonts w:hint="eastAsia" w:ascii="仿宋" w:hAnsi="仿宋" w:eastAsia="仿宋" w:cs="仿宋"/>
          <w:b/>
          <w:bCs/>
          <w:color w:val="000000"/>
          <w:sz w:val="21"/>
          <w:szCs w:val="21"/>
          <w:lang w:val="en-US" w:eastAsia="zh-CN"/>
        </w:rPr>
        <w:t>和主要工作成员及其所作工作</w:t>
      </w:r>
    </w:p>
    <w:p w14:paraId="12D61796">
      <w:pPr>
        <w:pStyle w:val="30"/>
        <w:ind w:left="0" w:leftChars="0" w:firstLine="0" w:firstLineChars="0"/>
        <w:rPr>
          <w:rFonts w:hint="default" w:eastAsia="仿宋"/>
          <w:sz w:val="21"/>
          <w:szCs w:val="21"/>
          <w:lang w:val="en-US" w:eastAsia="zh-CN"/>
        </w:rPr>
      </w:pPr>
      <w:r>
        <w:rPr>
          <w:rFonts w:hint="eastAsia" w:ascii="仿宋" w:hAnsi="仿宋" w:eastAsia="仿宋" w:cs="仿宋"/>
          <w:b/>
          <w:bCs/>
          <w:color w:val="000000"/>
          <w:sz w:val="21"/>
          <w:szCs w:val="21"/>
          <w:lang w:val="en-US" w:eastAsia="zh-CN"/>
        </w:rPr>
        <w:t>1.起草单位</w:t>
      </w:r>
    </w:p>
    <w:p w14:paraId="33722D0E">
      <w:pPr>
        <w:pStyle w:val="30"/>
        <w:ind w:firstLine="640"/>
        <w:rPr>
          <w:rFonts w:hint="eastAsia" w:ascii="仿宋" w:hAnsi="仿宋" w:eastAsia="仿宋" w:cs="仿宋"/>
          <w:sz w:val="21"/>
          <w:szCs w:val="21"/>
        </w:rPr>
      </w:pPr>
      <w:r>
        <w:rPr>
          <w:rFonts w:hint="eastAsia" w:ascii="仿宋" w:hAnsi="仿宋" w:eastAsia="仿宋" w:cs="仿宋"/>
          <w:sz w:val="21"/>
          <w:szCs w:val="21"/>
          <w:lang w:eastAsia="zh-CN"/>
        </w:rPr>
        <w:t>本文件</w:t>
      </w:r>
      <w:r>
        <w:rPr>
          <w:rFonts w:hint="eastAsia" w:ascii="仿宋" w:hAnsi="仿宋" w:eastAsia="仿宋" w:cs="仿宋"/>
          <w:sz w:val="21"/>
          <w:szCs w:val="21"/>
        </w:rPr>
        <w:t>由</w:t>
      </w:r>
      <w:r>
        <w:rPr>
          <w:rFonts w:hint="eastAsia" w:ascii="仿宋" w:hAnsi="仿宋" w:eastAsia="仿宋" w:cs="仿宋"/>
          <w:sz w:val="21"/>
          <w:szCs w:val="21"/>
          <w:lang w:val="en-US" w:eastAsia="zh-CN"/>
        </w:rPr>
        <w:t>中国西部开发促进会</w:t>
      </w:r>
      <w:r>
        <w:rPr>
          <w:rFonts w:hint="eastAsia" w:ascii="仿宋" w:hAnsi="仿宋" w:eastAsia="仿宋" w:cs="仿宋"/>
          <w:sz w:val="21"/>
          <w:szCs w:val="21"/>
        </w:rPr>
        <w:t>提出</w:t>
      </w:r>
      <w:r>
        <w:rPr>
          <w:rFonts w:hint="eastAsia" w:ascii="仿宋" w:hAnsi="仿宋" w:eastAsia="仿宋" w:cs="仿宋"/>
          <w:sz w:val="21"/>
          <w:szCs w:val="21"/>
          <w:lang w:val="en-US" w:eastAsia="zh-CN"/>
        </w:rPr>
        <w:t>并</w:t>
      </w:r>
      <w:r>
        <w:rPr>
          <w:rFonts w:hint="eastAsia" w:ascii="仿宋" w:hAnsi="仿宋" w:eastAsia="仿宋" w:cs="仿宋"/>
          <w:sz w:val="21"/>
          <w:szCs w:val="21"/>
        </w:rPr>
        <w:t>归口。</w:t>
      </w:r>
    </w:p>
    <w:p w14:paraId="3F8B68C3">
      <w:pPr>
        <w:pStyle w:val="30"/>
        <w:ind w:firstLine="640"/>
        <w:rPr>
          <w:rFonts w:hint="eastAsia" w:ascii="仿宋" w:hAnsi="仿宋" w:eastAsia="仿宋" w:cs="仿宋"/>
          <w:sz w:val="21"/>
          <w:szCs w:val="21"/>
        </w:rPr>
      </w:pPr>
      <w:r>
        <w:rPr>
          <w:rFonts w:hint="eastAsia" w:ascii="仿宋" w:hAnsi="仿宋" w:eastAsia="仿宋" w:cs="仿宋"/>
          <w:sz w:val="21"/>
          <w:szCs w:val="21"/>
          <w:lang w:eastAsia="zh-CN"/>
        </w:rPr>
        <w:t>本文件</w:t>
      </w:r>
      <w:r>
        <w:rPr>
          <w:rFonts w:hint="eastAsia" w:ascii="仿宋" w:hAnsi="仿宋" w:eastAsia="仿宋" w:cs="仿宋"/>
          <w:sz w:val="21"/>
          <w:szCs w:val="21"/>
        </w:rPr>
        <w:t>由</w:t>
      </w:r>
      <w:r>
        <w:rPr>
          <w:rFonts w:hint="eastAsia" w:ascii="仿宋" w:hAnsi="仿宋" w:eastAsia="仿宋" w:cs="仿宋"/>
          <w:sz w:val="21"/>
          <w:szCs w:val="21"/>
          <w:lang w:val="en-US" w:eastAsia="zh-CN"/>
        </w:rPr>
        <w:t>XXXXXXXX</w:t>
      </w:r>
      <w:r>
        <w:rPr>
          <w:rFonts w:hint="eastAsia" w:ascii="仿宋" w:hAnsi="仿宋" w:eastAsia="仿宋" w:cs="仿宋"/>
          <w:sz w:val="21"/>
          <w:szCs w:val="21"/>
        </w:rPr>
        <w:t>有限公司</w:t>
      </w:r>
      <w:r>
        <w:rPr>
          <w:rFonts w:hint="eastAsia" w:ascii="仿宋" w:hAnsi="仿宋" w:eastAsia="仿宋" w:cs="仿宋"/>
          <w:sz w:val="21"/>
          <w:szCs w:val="21"/>
          <w:lang w:val="en-US" w:eastAsia="zh-CN"/>
        </w:rPr>
        <w:t>等</w:t>
      </w:r>
      <w:r>
        <w:rPr>
          <w:rFonts w:hint="eastAsia" w:ascii="仿宋" w:hAnsi="仿宋" w:eastAsia="仿宋" w:cs="仿宋"/>
          <w:sz w:val="21"/>
          <w:szCs w:val="21"/>
          <w:lang w:val="en-US" w:eastAsia="zh-CN" w:bidi="zh-CN"/>
        </w:rPr>
        <w:t>共同</w:t>
      </w:r>
      <w:r>
        <w:rPr>
          <w:rFonts w:hint="eastAsia" w:ascii="仿宋" w:hAnsi="仿宋" w:eastAsia="仿宋" w:cs="仿宋"/>
          <w:sz w:val="21"/>
          <w:szCs w:val="21"/>
        </w:rPr>
        <w:t>起草。</w:t>
      </w:r>
    </w:p>
    <w:p w14:paraId="6C2D1883">
      <w:pPr>
        <w:pStyle w:val="30"/>
        <w:numPr>
          <w:ilvl w:val="0"/>
          <w:numId w:val="0"/>
        </w:numPr>
        <w:ind w:left="0" w:leftChars="0" w:firstLine="0" w:firstLineChars="0"/>
        <w:rPr>
          <w:rFonts w:hint="eastAsia" w:ascii="仿宋" w:hAnsi="仿宋" w:eastAsia="仿宋" w:cs="仿宋"/>
          <w:b/>
          <w:bCs/>
          <w:sz w:val="21"/>
          <w:szCs w:val="21"/>
          <w:lang w:val="en-US" w:eastAsia="zh-CN"/>
        </w:rPr>
      </w:pPr>
      <w:r>
        <w:rPr>
          <w:rFonts w:hint="eastAsia" w:ascii="仿宋" w:hAnsi="仿宋" w:eastAsia="仿宋" w:cs="仿宋"/>
          <w:b/>
          <w:bCs/>
          <w:sz w:val="21"/>
          <w:szCs w:val="21"/>
          <w:lang w:val="en-US" w:eastAsia="zh-CN" w:bidi="ar-SA"/>
        </w:rPr>
        <w:t>2.</w:t>
      </w:r>
      <w:r>
        <w:rPr>
          <w:rFonts w:hint="eastAsia" w:ascii="仿宋" w:hAnsi="仿宋" w:eastAsia="仿宋" w:cs="仿宋"/>
          <w:b/>
          <w:bCs/>
          <w:sz w:val="21"/>
          <w:szCs w:val="21"/>
          <w:lang w:val="en-US" w:eastAsia="zh-CN"/>
        </w:rPr>
        <w:t>主要工作成员及其所做工作</w:t>
      </w:r>
    </w:p>
    <w:p w14:paraId="4F06396F">
      <w:pPr>
        <w:pStyle w:val="30"/>
        <w:numPr>
          <w:ilvl w:val="0"/>
          <w:numId w:val="0"/>
        </w:numPr>
        <w:ind w:leftChars="0" w:firstLine="420" w:firstLineChars="20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本文件主要主要工作及工作职责见表1。</w:t>
      </w:r>
    </w:p>
    <w:p w14:paraId="0BB1C4A3">
      <w:pPr>
        <w:pStyle w:val="30"/>
        <w:numPr>
          <w:ilvl w:val="0"/>
          <w:numId w:val="0"/>
        </w:numPr>
        <w:ind w:leftChars="0"/>
        <w:jc w:val="center"/>
        <w:rPr>
          <w:rFonts w:hint="eastAsia" w:ascii="仿宋" w:hAnsi="仿宋" w:eastAsia="仿宋" w:cs="仿宋"/>
          <w:sz w:val="21"/>
          <w:szCs w:val="21"/>
          <w:lang w:val="en-US" w:eastAsia="zh-CN"/>
        </w:rPr>
      </w:pPr>
    </w:p>
    <w:p w14:paraId="6CA2A8E8">
      <w:pPr>
        <w:pStyle w:val="30"/>
        <w:numPr>
          <w:ilvl w:val="0"/>
          <w:numId w:val="0"/>
        </w:numPr>
        <w:ind w:leftChars="0"/>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表1 主要起草人及工作职责</w:t>
      </w:r>
    </w:p>
    <w:tbl>
      <w:tblPr>
        <w:tblStyle w:val="4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12"/>
        <w:gridCol w:w="5342"/>
      </w:tblGrid>
      <w:tr w14:paraId="662D2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12" w:type="dxa"/>
          </w:tcPr>
          <w:p w14:paraId="440D9251">
            <w:pPr>
              <w:pStyle w:val="30"/>
              <w:numPr>
                <w:ilvl w:val="0"/>
                <w:numId w:val="0"/>
              </w:numPr>
              <w:jc w:val="center"/>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起草单位</w:t>
            </w:r>
          </w:p>
        </w:tc>
        <w:tc>
          <w:tcPr>
            <w:tcW w:w="5342" w:type="dxa"/>
          </w:tcPr>
          <w:p w14:paraId="65A92ED6">
            <w:pPr>
              <w:pStyle w:val="30"/>
              <w:numPr>
                <w:ilvl w:val="0"/>
                <w:numId w:val="0"/>
              </w:numPr>
              <w:jc w:val="center"/>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工作职责</w:t>
            </w:r>
          </w:p>
        </w:tc>
      </w:tr>
      <w:tr w14:paraId="61429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0" w:hRule="atLeast"/>
        </w:trPr>
        <w:tc>
          <w:tcPr>
            <w:tcW w:w="4512" w:type="dxa"/>
          </w:tcPr>
          <w:p w14:paraId="355EAAFE">
            <w:pPr>
              <w:pStyle w:val="30"/>
              <w:numPr>
                <w:ilvl w:val="0"/>
                <w:numId w:val="0"/>
              </w:numPr>
              <w:rPr>
                <w:rFonts w:hint="eastAsia" w:ascii="仿宋" w:hAnsi="仿宋" w:eastAsia="仿宋" w:cs="仿宋"/>
                <w:sz w:val="21"/>
                <w:szCs w:val="21"/>
                <w:highlight w:val="yellow"/>
                <w:vertAlign w:val="baseline"/>
                <w:lang w:val="en-US" w:eastAsia="zh-CN"/>
              </w:rPr>
            </w:pPr>
            <w:r>
              <w:rPr>
                <w:rFonts w:hint="eastAsia" w:ascii="仿宋" w:hAnsi="仿宋" w:eastAsia="仿宋" w:cs="仿宋"/>
                <w:sz w:val="21"/>
                <w:szCs w:val="21"/>
                <w:lang w:val="en-US" w:eastAsia="zh-CN"/>
              </w:rPr>
              <w:t>XXXXXXX</w:t>
            </w:r>
            <w:r>
              <w:rPr>
                <w:rFonts w:hint="eastAsia" w:ascii="仿宋" w:hAnsi="仿宋" w:eastAsia="仿宋" w:cs="仿宋"/>
                <w:sz w:val="21"/>
                <w:szCs w:val="21"/>
              </w:rPr>
              <w:t>有限公司</w:t>
            </w:r>
            <w:r>
              <w:rPr>
                <w:rFonts w:hint="eastAsia" w:ascii="仿宋" w:hAnsi="仿宋" w:eastAsia="仿宋" w:cs="仿宋"/>
                <w:sz w:val="21"/>
                <w:szCs w:val="21"/>
                <w:lang w:val="en-US" w:eastAsia="zh-CN"/>
              </w:rPr>
              <w:t>等</w:t>
            </w:r>
          </w:p>
        </w:tc>
        <w:tc>
          <w:tcPr>
            <w:tcW w:w="5342" w:type="dxa"/>
          </w:tcPr>
          <w:p w14:paraId="50D897F4">
            <w:pPr>
              <w:pStyle w:val="30"/>
              <w:numPr>
                <w:ilvl w:val="0"/>
                <w:numId w:val="0"/>
              </w:numPr>
              <w:rPr>
                <w:rFonts w:hint="default" w:ascii="仿宋" w:hAnsi="仿宋" w:eastAsia="仿宋" w:cs="仿宋"/>
                <w:sz w:val="21"/>
                <w:szCs w:val="21"/>
                <w:vertAlign w:val="baseline"/>
                <w:lang w:val="en-US" w:eastAsia="zh-CN"/>
              </w:rPr>
            </w:pPr>
            <w:r>
              <w:rPr>
                <w:rFonts w:hint="default" w:ascii="仿宋" w:hAnsi="仿宋" w:eastAsia="仿宋" w:cs="仿宋"/>
                <w:sz w:val="21"/>
                <w:szCs w:val="21"/>
                <w:vertAlign w:val="baseline"/>
                <w:lang w:val="en-US" w:eastAsia="zh-CN"/>
              </w:rPr>
              <w:t>项目主编单位主编人员，负责标准制定的统筹规划与安排，标准内容和试验方案编制与确定，标准水平的把握及标准编制运行的组织协调。人员中包括了</w:t>
            </w:r>
            <w:r>
              <w:rPr>
                <w:rFonts w:hint="eastAsia" w:ascii="仿宋" w:hAnsi="仿宋" w:eastAsia="仿宋" w:cs="仿宋"/>
                <w:sz w:val="21"/>
                <w:szCs w:val="21"/>
                <w:lang w:val="en-US" w:eastAsia="zh-CN"/>
              </w:rPr>
              <w:t>本项标准行业的</w:t>
            </w:r>
            <w:r>
              <w:rPr>
                <w:rFonts w:hint="default" w:ascii="仿宋" w:hAnsi="仿宋" w:eastAsia="仿宋" w:cs="仿宋"/>
                <w:sz w:val="21"/>
                <w:szCs w:val="21"/>
                <w:vertAlign w:val="baseline"/>
                <w:lang w:val="en-US" w:eastAsia="zh-CN"/>
              </w:rPr>
              <w:t>专业</w:t>
            </w:r>
            <w:r>
              <w:rPr>
                <w:rFonts w:hint="eastAsia" w:ascii="仿宋" w:hAnsi="仿宋" w:eastAsia="仿宋" w:cs="仿宋"/>
                <w:sz w:val="21"/>
                <w:szCs w:val="21"/>
                <w:vertAlign w:val="baseline"/>
                <w:lang w:val="en-US" w:eastAsia="zh-CN"/>
              </w:rPr>
              <w:t>技术</w:t>
            </w:r>
            <w:r>
              <w:rPr>
                <w:rFonts w:hint="default" w:ascii="仿宋" w:hAnsi="仿宋" w:eastAsia="仿宋" w:cs="仿宋"/>
                <w:sz w:val="21"/>
                <w:szCs w:val="21"/>
                <w:vertAlign w:val="baseline"/>
                <w:lang w:val="en-US" w:eastAsia="zh-CN"/>
              </w:rPr>
              <w:t>人员</w:t>
            </w:r>
            <w:r>
              <w:rPr>
                <w:rFonts w:hint="eastAsia" w:ascii="仿宋" w:hAnsi="仿宋" w:eastAsia="仿宋" w:cs="仿宋"/>
                <w:sz w:val="21"/>
                <w:szCs w:val="21"/>
                <w:vertAlign w:val="baseline"/>
                <w:lang w:val="en-US" w:eastAsia="zh-CN"/>
              </w:rPr>
              <w:t>、</w:t>
            </w:r>
            <w:r>
              <w:rPr>
                <w:rFonts w:hint="default" w:ascii="仿宋" w:hAnsi="仿宋" w:eastAsia="仿宋" w:cs="仿宋"/>
                <w:sz w:val="21"/>
                <w:szCs w:val="21"/>
                <w:vertAlign w:val="baseline"/>
                <w:lang w:val="en-US" w:eastAsia="zh-CN"/>
              </w:rPr>
              <w:t>管理人员</w:t>
            </w:r>
            <w:r>
              <w:rPr>
                <w:rFonts w:hint="eastAsia" w:ascii="仿宋" w:hAnsi="仿宋" w:eastAsia="仿宋" w:cs="仿宋"/>
                <w:sz w:val="21"/>
                <w:szCs w:val="21"/>
                <w:vertAlign w:val="baseline"/>
                <w:lang w:val="en-US" w:eastAsia="zh-CN"/>
              </w:rPr>
              <w:t>。</w:t>
            </w:r>
          </w:p>
        </w:tc>
      </w:tr>
    </w:tbl>
    <w:p w14:paraId="1AC42465">
      <w:pPr>
        <w:pStyle w:val="60"/>
        <w:numPr>
          <w:ilvl w:val="1"/>
          <w:numId w:val="0"/>
        </w:numPr>
        <w:spacing w:before="156" w:after="156"/>
        <w:rPr>
          <w:rFonts w:ascii="仿宋" w:hAnsi="仿宋" w:eastAsia="仿宋" w:cs="仿宋"/>
          <w:b/>
          <w:bCs/>
          <w:color w:val="000000"/>
          <w:sz w:val="21"/>
          <w:szCs w:val="21"/>
        </w:rPr>
      </w:pPr>
      <w:r>
        <w:rPr>
          <w:rFonts w:hint="eastAsia" w:ascii="仿宋" w:hAnsi="仿宋" w:eastAsia="仿宋" w:cs="仿宋"/>
          <w:b/>
          <w:bCs/>
          <w:color w:val="000000"/>
          <w:sz w:val="21"/>
          <w:szCs w:val="21"/>
          <w:lang w:val="en-US" w:eastAsia="zh-CN"/>
        </w:rPr>
        <w:t>四</w:t>
      </w:r>
      <w:r>
        <w:rPr>
          <w:rFonts w:hint="eastAsia" w:ascii="仿宋" w:hAnsi="仿宋" w:eastAsia="仿宋" w:cs="仿宋"/>
          <w:b/>
          <w:bCs/>
          <w:color w:val="000000"/>
          <w:sz w:val="21"/>
          <w:szCs w:val="21"/>
        </w:rPr>
        <w:t>、标准的编制原则</w:t>
      </w:r>
    </w:p>
    <w:p w14:paraId="05199C8B">
      <w:pPr>
        <w:pStyle w:val="30"/>
        <w:ind w:firstLine="640"/>
        <w:rPr>
          <w:rFonts w:hint="eastAsia" w:ascii="仿宋" w:hAnsi="仿宋" w:eastAsia="仿宋" w:cs="仿宋"/>
          <w:sz w:val="21"/>
          <w:szCs w:val="21"/>
        </w:rPr>
      </w:pPr>
      <w:r>
        <w:rPr>
          <w:rFonts w:hint="eastAsia" w:ascii="仿宋" w:hAnsi="仿宋" w:eastAsia="仿宋" w:cs="仿宋"/>
          <w:sz w:val="21"/>
          <w:szCs w:val="21"/>
        </w:rPr>
        <w:t>标准</w:t>
      </w:r>
      <w:r>
        <w:rPr>
          <w:rFonts w:hint="eastAsia" w:ascii="仿宋" w:hAnsi="仿宋" w:eastAsia="仿宋" w:cs="仿宋"/>
          <w:sz w:val="21"/>
          <w:szCs w:val="21"/>
          <w:lang w:val="en-US" w:eastAsia="zh-CN"/>
        </w:rPr>
        <w:t>编制</w:t>
      </w:r>
      <w:r>
        <w:rPr>
          <w:rFonts w:hint="eastAsia" w:ascii="仿宋" w:hAnsi="仿宋" w:eastAsia="仿宋" w:cs="仿宋"/>
          <w:sz w:val="21"/>
          <w:szCs w:val="21"/>
        </w:rPr>
        <w:t>小组在编制标准过程中，以国家、行业现有的标准为制订基础，结合我国目前的行业现状，按照GB/T 1.1—2020《标准化工作导则 第1部分：标准化文件的结构和起草规则》的规定及相关要求编制。</w:t>
      </w:r>
    </w:p>
    <w:p w14:paraId="1C9A70ED">
      <w:pPr>
        <w:pStyle w:val="60"/>
        <w:numPr>
          <w:ilvl w:val="1"/>
          <w:numId w:val="0"/>
        </w:numPr>
        <w:spacing w:before="156" w:after="156"/>
        <w:rPr>
          <w:rFonts w:ascii="仿宋" w:hAnsi="仿宋" w:eastAsia="仿宋" w:cs="仿宋"/>
          <w:b/>
          <w:bCs/>
          <w:color w:val="000000"/>
          <w:sz w:val="21"/>
          <w:szCs w:val="21"/>
        </w:rPr>
      </w:pPr>
      <w:r>
        <w:rPr>
          <w:rFonts w:hint="eastAsia" w:ascii="仿宋" w:hAnsi="仿宋" w:eastAsia="仿宋" w:cs="仿宋"/>
          <w:b/>
          <w:bCs/>
          <w:color w:val="000000"/>
          <w:sz w:val="21"/>
          <w:szCs w:val="21"/>
          <w:lang w:val="en-US" w:eastAsia="zh-CN"/>
        </w:rPr>
        <w:t>五</w:t>
      </w:r>
      <w:r>
        <w:rPr>
          <w:rFonts w:hint="eastAsia" w:ascii="仿宋" w:hAnsi="仿宋" w:eastAsia="仿宋" w:cs="仿宋"/>
          <w:b/>
          <w:bCs/>
          <w:color w:val="000000"/>
          <w:sz w:val="21"/>
          <w:szCs w:val="21"/>
        </w:rPr>
        <w:t>、标准编制过程</w:t>
      </w:r>
    </w:p>
    <w:p w14:paraId="6D1CE6A6">
      <w:pPr>
        <w:pStyle w:val="30"/>
        <w:keepNext w:val="0"/>
        <w:keepLines w:val="0"/>
        <w:pageBreakBefore w:val="0"/>
        <w:widowControl/>
        <w:kinsoku/>
        <w:wordWrap/>
        <w:overflowPunct/>
        <w:topLinePunct w:val="0"/>
        <w:bidi w:val="0"/>
        <w:adjustRightInd/>
        <w:snapToGrid/>
        <w:spacing w:line="240" w:lineRule="auto"/>
        <w:ind w:firstLine="640"/>
        <w:textAlignment w:val="auto"/>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5.1 标准调研</w:t>
      </w:r>
    </w:p>
    <w:p w14:paraId="0205E1E5">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项目立项前，标准编制小组查阅、研读相关国内外文献，广泛搜集相关的材料。同时，标准编制小组安排相关人员，多次与相关行业人员进行调研、交流，广泛征求标准制定方面的意见和建议。</w:t>
      </w:r>
    </w:p>
    <w:p w14:paraId="04940C14">
      <w:pPr>
        <w:pStyle w:val="30"/>
        <w:keepNext w:val="0"/>
        <w:keepLines w:val="0"/>
        <w:pageBreakBefore w:val="0"/>
        <w:widowControl/>
        <w:kinsoku/>
        <w:wordWrap/>
        <w:overflowPunct/>
        <w:topLinePunct w:val="0"/>
        <w:bidi w:val="0"/>
        <w:adjustRightInd/>
        <w:snapToGrid/>
        <w:spacing w:line="240" w:lineRule="auto"/>
        <w:textAlignment w:val="auto"/>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5.2. 标准立项</w:t>
      </w:r>
    </w:p>
    <w:p w14:paraId="5F7AB474">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202</w:t>
      </w:r>
      <w:r>
        <w:rPr>
          <w:rFonts w:hint="eastAsia" w:ascii="仿宋" w:hAnsi="仿宋" w:eastAsia="仿宋" w:cs="仿宋"/>
          <w:sz w:val="21"/>
          <w:szCs w:val="21"/>
          <w:lang w:val="en-US" w:eastAsia="zh-CN"/>
        </w:rPr>
        <w:t>6</w:t>
      </w:r>
      <w:r>
        <w:rPr>
          <w:rFonts w:hint="eastAsia" w:ascii="仿宋" w:hAnsi="仿宋" w:eastAsia="仿宋" w:cs="仿宋"/>
          <w:sz w:val="21"/>
          <w:szCs w:val="21"/>
        </w:rPr>
        <w:t>年</w:t>
      </w:r>
      <w:r>
        <w:rPr>
          <w:rFonts w:hint="eastAsia" w:ascii="仿宋" w:hAnsi="仿宋" w:eastAsia="仿宋" w:cs="仿宋"/>
          <w:sz w:val="21"/>
          <w:szCs w:val="21"/>
          <w:lang w:val="en-US" w:eastAsia="zh-CN"/>
        </w:rPr>
        <w:t>5</w:t>
      </w:r>
      <w:r>
        <w:rPr>
          <w:rFonts w:hint="eastAsia" w:ascii="仿宋" w:hAnsi="仿宋" w:eastAsia="仿宋" w:cs="仿宋"/>
          <w:sz w:val="21"/>
          <w:szCs w:val="21"/>
        </w:rPr>
        <w:t>月</w:t>
      </w:r>
      <w:r>
        <w:rPr>
          <w:rFonts w:hint="eastAsia" w:ascii="仿宋" w:hAnsi="仿宋" w:eastAsia="仿宋" w:cs="仿宋"/>
          <w:sz w:val="21"/>
          <w:szCs w:val="21"/>
          <w:lang w:val="en-US" w:eastAsia="zh-CN"/>
        </w:rPr>
        <w:t>28</w:t>
      </w:r>
      <w:r>
        <w:rPr>
          <w:rFonts w:hint="eastAsia" w:ascii="仿宋" w:hAnsi="仿宋" w:eastAsia="仿宋" w:cs="仿宋"/>
          <w:sz w:val="21"/>
          <w:szCs w:val="21"/>
        </w:rPr>
        <w:t>日本团体标准由中国西部开发促进会正式立项，立项名称为：《</w:t>
      </w:r>
      <w:r>
        <w:rPr>
          <w:rFonts w:hint="eastAsia" w:ascii="仿宋" w:hAnsi="仿宋" w:eastAsia="仿宋" w:cs="仿宋"/>
          <w:kern w:val="0"/>
          <w:sz w:val="21"/>
          <w:szCs w:val="21"/>
          <w:lang w:val="en-US" w:eastAsia="zh-CN" w:bidi="ar-SA"/>
        </w:rPr>
        <w:t>盐碱地改良凝胶田间应用技术规程</w:t>
      </w:r>
      <w:r>
        <w:rPr>
          <w:rFonts w:hint="eastAsia" w:ascii="仿宋" w:hAnsi="仿宋" w:eastAsia="仿宋" w:cs="仿宋"/>
          <w:sz w:val="21"/>
          <w:szCs w:val="21"/>
        </w:rPr>
        <w:t>》。</w:t>
      </w:r>
    </w:p>
    <w:p w14:paraId="72A91C8C">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 xml:space="preserve">5.3 </w:t>
      </w:r>
      <w:r>
        <w:rPr>
          <w:rFonts w:hint="eastAsia" w:ascii="仿宋" w:hAnsi="仿宋" w:eastAsia="仿宋" w:cs="仿宋"/>
          <w:sz w:val="21"/>
          <w:szCs w:val="21"/>
        </w:rPr>
        <w:t>形成标准草案</w:t>
      </w:r>
    </w:p>
    <w:p w14:paraId="19C09E25">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起草小组在资料分析和企业调研的基础上，确定《</w:t>
      </w:r>
      <w:r>
        <w:rPr>
          <w:rFonts w:hint="eastAsia" w:ascii="仿宋" w:hAnsi="仿宋" w:eastAsia="仿宋" w:cs="仿宋"/>
          <w:sz w:val="21"/>
          <w:szCs w:val="21"/>
          <w:lang w:eastAsia="zh-CN"/>
        </w:rPr>
        <w:t>盐碱地改良凝胶田间应用技术规程</w:t>
      </w:r>
      <w:r>
        <w:rPr>
          <w:rFonts w:hint="eastAsia" w:ascii="仿宋" w:hAnsi="仿宋" w:eastAsia="仿宋" w:cs="仿宋"/>
          <w:sz w:val="21"/>
          <w:szCs w:val="21"/>
        </w:rPr>
        <w:t>》的技术规范框架，并参考现有盐碱地改良技术，明确标准的主要技术内容，于2026年5月完成标准草案的编写。</w:t>
      </w:r>
    </w:p>
    <w:p w14:paraId="0431BCCE">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eastAsia" w:ascii="仿宋" w:hAnsi="仿宋" w:eastAsia="仿宋" w:cs="仿宋"/>
          <w:sz w:val="21"/>
          <w:szCs w:val="21"/>
        </w:rPr>
      </w:pPr>
      <w:r>
        <w:rPr>
          <w:rFonts w:hint="eastAsia" w:ascii="仿宋" w:hAnsi="仿宋" w:eastAsia="仿宋" w:cs="仿宋"/>
          <w:b/>
          <w:bCs/>
          <w:color w:val="000000"/>
          <w:sz w:val="21"/>
          <w:szCs w:val="21"/>
          <w:lang w:val="en-US" w:eastAsia="zh-CN" w:bidi="ar-SA"/>
        </w:rPr>
        <w:t>六、试验验证的分析、综述报告，技术经济论证，预期的经济效益、社会效益和生态效益</w:t>
      </w:r>
    </w:p>
    <w:p w14:paraId="5D374B48">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1. 试验验证分析</w:t>
      </w:r>
    </w:p>
    <w:p w14:paraId="0AFD9C27">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本标准试验验证遵循 “覆盖核心场景、兼顾技术差异” 原则，组织农业科研院所、土地整治实施单位及凝胶生产企业开展联合验证。验证对象涵盖滨海盐碱地、内陆苏打盐碱地等典型农田地块，聚焦水盐调控效果、土壤理化指标改善、作物长势稳定性及工艺适配性关键指标。重点考察标准在不同气候条件、土壤基底、施工队伍作业水平下的适配性，通过多轮验证有效规避传统施用中用量随意、施工不均、改良效果波动等问题。各参与单位均能通过规范作业获得稳定可靠结果，充分证明标准条款的科学性、可操作性及普适性，为行业内广泛落地提供坚实技术支撑。</w:t>
      </w:r>
    </w:p>
    <w:p w14:paraId="77A6B0B1">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 xml:space="preserve">2. </w:t>
      </w:r>
      <w:r>
        <w:rPr>
          <w:rFonts w:hint="eastAsia" w:ascii="仿宋" w:hAnsi="仿宋" w:eastAsia="仿宋" w:cs="仿宋"/>
          <w:sz w:val="21"/>
          <w:szCs w:val="21"/>
        </w:rPr>
        <w:t>综述报告</w:t>
      </w:r>
    </w:p>
    <w:p w14:paraId="1D60AAE7">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国内盐碱地改良凝胶田间应用技术已进入科研成果向规模化工程转化关键阶段，得到国家耕地保护与粮食安全相关政策支持，多家企业推出配套改良产品，相关技术广泛应用于盐碱耕地提质、后备耕地开发领域。但行业存在突出痛点：施用工艺不统一，用量与时机无规范，改良效果评估缺乏统一标准，质量管控体系不完善，导致不同地块改良成效可比性不足。结合国内相关单位调研，行业对田间应用标准化文件需求迫切。本标准立足国内盐碱地治理实践，参考相关国标框架，针对性解决核心痛点，填补国内盐碱地改良凝胶田间应用规范空白。</w:t>
      </w:r>
    </w:p>
    <w:p w14:paraId="3E31B9DC">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 xml:space="preserve">3. </w:t>
      </w:r>
      <w:r>
        <w:rPr>
          <w:rFonts w:hint="eastAsia" w:ascii="仿宋" w:hAnsi="仿宋" w:eastAsia="仿宋" w:cs="仿宋"/>
          <w:sz w:val="21"/>
          <w:szCs w:val="21"/>
        </w:rPr>
        <w:t>技术经济论证</w:t>
      </w:r>
    </w:p>
    <w:p w14:paraId="3FAAF551">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技术层面，标准统一核心施用参数、施工要求及效果评估准则，降低技术落地门槛，缩短项目实施方案编制与人员培训周期，减少现场试验失败与物料浪费。经济层面，标准化施工优化田间作业流程，降低人工、材料及管护成本，实现行业综合成本节约。同时，标准为国内企业产品迭代提供导向，推动适配田间工况的改良凝胶产业化，提升国产材料竞争力，减少国外同类产品依赖，形成 “技术规范 - 产业升级 - 效益提升” 良性循环，技术可行性与经济合理性均经充分论证。</w:t>
      </w:r>
    </w:p>
    <w:p w14:paraId="27AD14AC">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 xml:space="preserve">4. </w:t>
      </w:r>
      <w:r>
        <w:rPr>
          <w:rFonts w:hint="eastAsia" w:ascii="仿宋" w:hAnsi="仿宋" w:eastAsia="仿宋" w:cs="仿宋"/>
          <w:sz w:val="21"/>
          <w:szCs w:val="21"/>
        </w:rPr>
        <w:t>预期的经济效益</w:t>
      </w:r>
    </w:p>
    <w:p w14:paraId="4FE21233">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标准实施将推动盐碱地改良凝胶在耕地提质、土地整治项目规模化应用，带动相关产业稳步增长。对实施单位而言，可减少材料浪费与重复治理投入，提升项目实施效率，降低工程成本，增强项目竞争力。对产业端，明确规程将引导企业优化产品适配性，加速国产改良材料市场推广，提升市场占有率。同时，标准化体系将促进上下游产业链协同，催生现场技术指导、效果监测评估等衍生服务，拓展行业经济发展空间。</w:t>
      </w:r>
    </w:p>
    <w:p w14:paraId="75D9A262">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5.</w:t>
      </w:r>
      <w:r>
        <w:rPr>
          <w:rFonts w:hint="eastAsia" w:ascii="仿宋" w:hAnsi="仿宋" w:eastAsia="仿宋" w:cs="仿宋"/>
          <w:sz w:val="21"/>
          <w:szCs w:val="21"/>
        </w:rPr>
        <w:t xml:space="preserve"> 社会效益和生态效益</w:t>
      </w:r>
    </w:p>
    <w:p w14:paraId="601424B3">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eastAsia="zh-CN"/>
        </w:rPr>
        <w:t>社会效益方面，标准统一田间施工与效果评价要求，实现不同区域治理成果可对比核验，助力后备耕地资源挖掘，夯实粮食安全根基，也为行业技术人员培训提供统一依据，推动产业可持续发展。生态效益方面，标准规范凝胶施用限值，严控过量施用带来的土壤次生风险；科学调控土壤水盐平衡，减少农田大水漫灌，节约水资源，助力农业绿色低碳发展。</w:t>
      </w:r>
    </w:p>
    <w:p w14:paraId="10A20A3F">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eastAsia" w:ascii="仿宋" w:hAnsi="仿宋" w:eastAsia="仿宋" w:cs="仿宋"/>
          <w:b/>
          <w:bCs/>
          <w:color w:val="000000"/>
          <w:sz w:val="21"/>
          <w:szCs w:val="21"/>
          <w:lang w:val="en-US" w:eastAsia="zh-CN" w:bidi="ar-SA"/>
        </w:rPr>
      </w:pPr>
      <w:r>
        <w:rPr>
          <w:rFonts w:hint="eastAsia" w:ascii="仿宋" w:hAnsi="仿宋" w:eastAsia="仿宋" w:cs="仿宋"/>
          <w:b/>
          <w:bCs/>
          <w:color w:val="000000"/>
          <w:sz w:val="21"/>
          <w:szCs w:val="21"/>
          <w:lang w:val="en-US" w:eastAsia="zh-CN" w:bidi="ar-SA"/>
        </w:rPr>
        <w:t>七、与国际、国外同类标准技术内容的对比情况。</w:t>
      </w:r>
    </w:p>
    <w:p w14:paraId="7A4EF88F">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国际上 ISO、ASTM 等组织的土壤改良相关标准侧重材料基础性能与生态风险通用原则，对盐碱地改良凝胶田间施用工艺、效果评估等细节规定较宽泛。本标准在参考其核心水土调控与环境管控理念基础上，更贴合国内实践：补充国产改良凝胶产品田间适配要求，解决进口标准“水土不服”问题；新增田间改良成效综合评估规范，填补国际标准在盐碱地凝胶田间工程应用领域的空白。同时，核心技术指标与 ISO、ASTM 相关标准保持一致，确保治理评价成果的国际可比性。</w:t>
      </w:r>
    </w:p>
    <w:p w14:paraId="718EB447">
      <w:pPr>
        <w:pStyle w:val="30"/>
        <w:keepNext w:val="0"/>
        <w:keepLines w:val="0"/>
        <w:pageBreakBefore w:val="0"/>
        <w:widowControl/>
        <w:numPr>
          <w:ilvl w:val="0"/>
          <w:numId w:val="0"/>
        </w:numPr>
        <w:kinsoku/>
        <w:wordWrap/>
        <w:overflowPunct/>
        <w:topLinePunct w:val="0"/>
        <w:bidi w:val="0"/>
        <w:adjustRightInd/>
        <w:snapToGrid/>
        <w:spacing w:line="240" w:lineRule="auto"/>
        <w:ind w:leftChars="0"/>
        <w:textAlignment w:val="auto"/>
        <w:rPr>
          <w:rFonts w:hint="eastAsia" w:ascii="仿宋" w:hAnsi="仿宋" w:eastAsia="仿宋" w:cs="仿宋"/>
          <w:b/>
          <w:bCs/>
          <w:color w:val="000000"/>
          <w:sz w:val="21"/>
          <w:szCs w:val="21"/>
          <w:lang w:val="en-US" w:eastAsia="zh-CN" w:bidi="ar-SA"/>
        </w:rPr>
      </w:pPr>
      <w:r>
        <w:rPr>
          <w:rFonts w:hint="eastAsia" w:ascii="仿宋" w:hAnsi="仿宋" w:eastAsia="仿宋" w:cs="仿宋"/>
          <w:b/>
          <w:bCs/>
          <w:color w:val="000000"/>
          <w:sz w:val="21"/>
          <w:szCs w:val="21"/>
          <w:lang w:val="en-US" w:eastAsia="zh-CN" w:bidi="ar-SA"/>
        </w:rPr>
        <w:t>八、以国际标准为基础的起草情况，以及是否合规引用或者采用国际国外标准，并说明未采用国际标准的原因</w:t>
      </w:r>
    </w:p>
    <w:p w14:paraId="2AE6D9E8">
      <w:pPr>
        <w:pStyle w:val="30"/>
        <w:keepNext w:val="0"/>
        <w:keepLines w:val="0"/>
        <w:pageBreakBefore w:val="0"/>
        <w:widowControl/>
        <w:kinsoku/>
        <w:wordWrap/>
        <w:overflowPunct/>
        <w:topLinePunct w:val="0"/>
        <w:bidi w:val="0"/>
        <w:adjustRightInd/>
        <w:snapToGrid/>
        <w:spacing w:line="240" w:lineRule="auto"/>
        <w:ind w:left="0" w:leftChars="0" w:firstLine="420" w:firstLineChars="200"/>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无。本文件自主制定。</w:t>
      </w:r>
    </w:p>
    <w:p w14:paraId="73EEA8A3">
      <w:pPr>
        <w:pStyle w:val="30"/>
        <w:keepNext w:val="0"/>
        <w:keepLines w:val="0"/>
        <w:pageBreakBefore w:val="0"/>
        <w:widowControl/>
        <w:numPr>
          <w:ilvl w:val="0"/>
          <w:numId w:val="0"/>
        </w:numPr>
        <w:kinsoku/>
        <w:wordWrap/>
        <w:overflowPunct/>
        <w:topLinePunct w:val="0"/>
        <w:bidi w:val="0"/>
        <w:adjustRightInd/>
        <w:snapToGrid/>
        <w:spacing w:line="240" w:lineRule="auto"/>
        <w:ind w:leftChars="0"/>
        <w:textAlignment w:val="auto"/>
        <w:rPr>
          <w:rFonts w:hint="eastAsia" w:ascii="仿宋" w:hAnsi="仿宋" w:eastAsia="仿宋" w:cs="仿宋"/>
          <w:b/>
          <w:bCs/>
          <w:color w:val="000000"/>
          <w:sz w:val="21"/>
          <w:szCs w:val="21"/>
          <w:lang w:val="en-US" w:eastAsia="zh-CN" w:bidi="ar-SA"/>
        </w:rPr>
      </w:pPr>
      <w:r>
        <w:rPr>
          <w:rFonts w:hint="eastAsia" w:ascii="仿宋" w:hAnsi="仿宋" w:eastAsia="仿宋" w:cs="仿宋"/>
          <w:b/>
          <w:bCs/>
          <w:color w:val="000000"/>
          <w:sz w:val="21"/>
          <w:szCs w:val="21"/>
          <w:lang w:val="en-US" w:eastAsia="zh-CN" w:bidi="ar-SA"/>
        </w:rPr>
        <w:t>九、标准主要内容</w:t>
      </w:r>
    </w:p>
    <w:p w14:paraId="5DD2CDA5">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default" w:ascii="仿宋" w:hAnsi="仿宋" w:eastAsia="仿宋" w:cs="仿宋"/>
          <w:b/>
          <w:bCs/>
          <w:sz w:val="21"/>
          <w:szCs w:val="21"/>
          <w:lang w:val="en-US" w:eastAsia="zh-CN"/>
        </w:rPr>
      </w:pPr>
      <w:r>
        <w:rPr>
          <w:rFonts w:hint="eastAsia" w:ascii="仿宋" w:hAnsi="仿宋" w:eastAsia="仿宋" w:cs="仿宋"/>
          <w:b/>
          <w:bCs/>
          <w:sz w:val="21"/>
          <w:szCs w:val="21"/>
          <w:lang w:val="en-US" w:eastAsia="zh-CN"/>
        </w:rPr>
        <w:t>1.范围</w:t>
      </w:r>
    </w:p>
    <w:p w14:paraId="66C0D121">
      <w:pPr>
        <w:pStyle w:val="30"/>
        <w:keepNext w:val="0"/>
        <w:keepLines w:val="0"/>
        <w:pageBreakBefore w:val="0"/>
        <w:widowControl/>
        <w:kinsoku/>
        <w:wordWrap/>
        <w:overflowPunct/>
        <w:topLinePunct w:val="0"/>
        <w:bidi w:val="0"/>
        <w:adjustRightInd/>
        <w:snapToGrid/>
        <w:spacing w:line="240" w:lineRule="auto"/>
        <w:ind w:left="0" w:leftChars="0" w:firstLine="420" w:firstLineChars="200"/>
        <w:textAlignment w:val="auto"/>
        <w:rPr>
          <w:rFonts w:hint="eastAsia" w:ascii="仿宋" w:hAnsi="仿宋" w:eastAsia="仿宋" w:cs="仿宋"/>
          <w:sz w:val="21"/>
          <w:szCs w:val="21"/>
          <w:lang w:val="en-US" w:eastAsia="zh-CN"/>
        </w:rPr>
      </w:pPr>
      <w:bookmarkStart w:id="35" w:name="_Toc17233326"/>
      <w:bookmarkStart w:id="36" w:name="_Toc26648466"/>
      <w:bookmarkStart w:id="37" w:name="_Toc24884212"/>
      <w:bookmarkStart w:id="38" w:name="_Toc24884219"/>
      <w:bookmarkStart w:id="39" w:name="_Toc17233334"/>
      <w:r>
        <w:rPr>
          <w:rFonts w:hint="eastAsia" w:ascii="仿宋" w:hAnsi="仿宋" w:eastAsia="仿宋" w:cs="仿宋"/>
          <w:sz w:val="21"/>
          <w:szCs w:val="21"/>
          <w:lang w:val="en-US" w:eastAsia="zh-CN"/>
        </w:rPr>
        <w:t>本文件规定了盐碱地改良凝胶田间应用的地块调查与预处理、施前准备、田间施用工艺、配套农艺管理、监测评价、质量控制、安全与环保。</w:t>
      </w:r>
    </w:p>
    <w:p w14:paraId="55B1F24D">
      <w:pPr>
        <w:pStyle w:val="30"/>
        <w:keepNext w:val="0"/>
        <w:keepLines w:val="0"/>
        <w:pageBreakBefore w:val="0"/>
        <w:widowControl/>
        <w:kinsoku/>
        <w:wordWrap/>
        <w:overflowPunct/>
        <w:topLinePunct w:val="0"/>
        <w:bidi w:val="0"/>
        <w:adjustRightInd/>
        <w:snapToGrid/>
        <w:spacing w:line="240" w:lineRule="auto"/>
        <w:ind w:left="0" w:leftChars="0" w:firstLine="420" w:firstLineChars="200"/>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本文件适用于盐碱地改良凝胶的田间施用与管理。</w:t>
      </w:r>
    </w:p>
    <w:p w14:paraId="6220ABE0">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eastAsia" w:ascii="仿宋" w:hAnsi="仿宋" w:eastAsia="仿宋" w:cs="仿宋"/>
          <w:b/>
          <w:bCs/>
          <w:sz w:val="21"/>
          <w:szCs w:val="21"/>
          <w:lang w:val="en-US" w:eastAsia="zh-CN"/>
        </w:rPr>
      </w:pPr>
      <w:bookmarkStart w:id="40" w:name="_Toc97192965"/>
      <w:bookmarkStart w:id="41" w:name="_Toc11915"/>
      <w:bookmarkStart w:id="42" w:name="_Toc26986531"/>
      <w:bookmarkStart w:id="43" w:name="_Toc26986772"/>
      <w:bookmarkStart w:id="44" w:name="_Toc26718931"/>
      <w:bookmarkStart w:id="45" w:name="_Toc113282591"/>
      <w:r>
        <w:rPr>
          <w:rFonts w:hint="eastAsia" w:ascii="仿宋" w:hAnsi="仿宋" w:eastAsia="仿宋" w:cs="仿宋"/>
          <w:b/>
          <w:bCs/>
          <w:sz w:val="21"/>
          <w:szCs w:val="21"/>
          <w:lang w:val="en-US" w:eastAsia="zh-CN"/>
        </w:rPr>
        <w:t>2.规范性引用文件</w:t>
      </w:r>
      <w:bookmarkEnd w:id="35"/>
      <w:bookmarkEnd w:id="36"/>
      <w:bookmarkEnd w:id="37"/>
      <w:bookmarkEnd w:id="38"/>
      <w:bookmarkEnd w:id="39"/>
      <w:bookmarkEnd w:id="40"/>
      <w:bookmarkEnd w:id="41"/>
      <w:bookmarkEnd w:id="42"/>
      <w:bookmarkEnd w:id="43"/>
      <w:bookmarkEnd w:id="44"/>
      <w:bookmarkEnd w:id="45"/>
    </w:p>
    <w:p w14:paraId="68CFD47A">
      <w:pPr>
        <w:pStyle w:val="169"/>
        <w:keepNext w:val="0"/>
        <w:keepLines w:val="0"/>
        <w:pageBreakBefore w:val="0"/>
        <w:widowControl/>
        <w:kinsoku/>
        <w:wordWrap/>
        <w:overflowPunct/>
        <w:topLinePunct w:val="0"/>
        <w:bidi w:val="0"/>
        <w:adjustRightInd w:val="0"/>
        <w:snapToGrid w:val="0"/>
        <w:spacing w:line="240" w:lineRule="auto"/>
        <w:textAlignment w:val="auto"/>
        <w:rPr>
          <w:rFonts w:hint="default" w:ascii="仿宋" w:hAnsi="仿宋" w:eastAsia="仿宋" w:cs="仿宋"/>
          <w:sz w:val="21"/>
          <w:szCs w:val="21"/>
          <w:lang w:val="en-US" w:eastAsia="zh-CN" w:bidi="ar-SA"/>
        </w:rPr>
      </w:pPr>
      <w:r>
        <w:rPr>
          <w:rFonts w:hint="default" w:ascii="仿宋" w:hAnsi="仿宋" w:eastAsia="仿宋" w:cs="仿宋"/>
          <w:sz w:val="21"/>
          <w:szCs w:val="21"/>
          <w:lang w:val="en-US" w:eastAsia="zh-CN" w:bidi="ar-SA"/>
        </w:rPr>
        <w:t>GB/T 32722  土壤质量 土壤样品长期和短期保存指南</w:t>
      </w:r>
    </w:p>
    <w:p w14:paraId="5C3A4747">
      <w:pPr>
        <w:pStyle w:val="169"/>
        <w:keepNext w:val="0"/>
        <w:keepLines w:val="0"/>
        <w:pageBreakBefore w:val="0"/>
        <w:widowControl/>
        <w:kinsoku/>
        <w:wordWrap/>
        <w:overflowPunct/>
        <w:topLinePunct w:val="0"/>
        <w:bidi w:val="0"/>
        <w:adjustRightInd w:val="0"/>
        <w:snapToGrid w:val="0"/>
        <w:spacing w:line="240" w:lineRule="auto"/>
        <w:textAlignment w:val="auto"/>
        <w:rPr>
          <w:rFonts w:hint="default" w:ascii="仿宋" w:hAnsi="仿宋" w:eastAsia="仿宋" w:cs="仿宋"/>
          <w:sz w:val="21"/>
          <w:szCs w:val="21"/>
          <w:lang w:val="en-US" w:eastAsia="zh-CN" w:bidi="ar-SA"/>
        </w:rPr>
      </w:pPr>
      <w:r>
        <w:rPr>
          <w:rFonts w:hint="default" w:ascii="仿宋" w:hAnsi="仿宋" w:eastAsia="仿宋" w:cs="仿宋"/>
          <w:sz w:val="21"/>
          <w:szCs w:val="21"/>
          <w:lang w:val="en-US" w:eastAsia="zh-CN" w:bidi="ar-SA"/>
        </w:rPr>
        <w:t>GB/T 36197  土壤质量 土壤采样技术指南</w:t>
      </w:r>
    </w:p>
    <w:p w14:paraId="7F99A100">
      <w:pPr>
        <w:pStyle w:val="169"/>
        <w:keepNext w:val="0"/>
        <w:keepLines w:val="0"/>
        <w:pageBreakBefore w:val="0"/>
        <w:widowControl/>
        <w:kinsoku/>
        <w:wordWrap/>
        <w:overflowPunct/>
        <w:topLinePunct w:val="0"/>
        <w:bidi w:val="0"/>
        <w:adjustRightInd w:val="0"/>
        <w:snapToGrid w:val="0"/>
        <w:spacing w:line="240" w:lineRule="auto"/>
        <w:textAlignment w:val="auto"/>
        <w:rPr>
          <w:rFonts w:hint="default" w:ascii="仿宋" w:hAnsi="仿宋" w:eastAsia="仿宋" w:cs="仿宋"/>
          <w:sz w:val="21"/>
          <w:szCs w:val="21"/>
          <w:lang w:val="en-US" w:eastAsia="zh-CN" w:bidi="ar-SA"/>
        </w:rPr>
      </w:pPr>
      <w:r>
        <w:rPr>
          <w:rFonts w:hint="default" w:ascii="仿宋" w:hAnsi="仿宋" w:eastAsia="仿宋" w:cs="仿宋"/>
          <w:sz w:val="21"/>
          <w:szCs w:val="21"/>
          <w:lang w:val="en-US" w:eastAsia="zh-CN" w:bidi="ar-SA"/>
        </w:rPr>
        <w:t>LY/T 1248  碱化土壤交换性钠的测定</w:t>
      </w:r>
    </w:p>
    <w:p w14:paraId="3DC005FE">
      <w:pPr>
        <w:pStyle w:val="169"/>
        <w:keepNext w:val="0"/>
        <w:keepLines w:val="0"/>
        <w:pageBreakBefore w:val="0"/>
        <w:widowControl/>
        <w:kinsoku/>
        <w:wordWrap/>
        <w:overflowPunct/>
        <w:topLinePunct w:val="0"/>
        <w:bidi w:val="0"/>
        <w:adjustRightInd w:val="0"/>
        <w:snapToGrid w:val="0"/>
        <w:spacing w:line="240" w:lineRule="auto"/>
        <w:textAlignment w:val="auto"/>
        <w:rPr>
          <w:rFonts w:hint="default" w:ascii="仿宋" w:hAnsi="仿宋" w:eastAsia="仿宋" w:cs="仿宋"/>
          <w:sz w:val="21"/>
          <w:szCs w:val="21"/>
          <w:lang w:val="en-US" w:eastAsia="zh-CN" w:bidi="ar-SA"/>
        </w:rPr>
      </w:pPr>
      <w:r>
        <w:rPr>
          <w:rFonts w:hint="default" w:ascii="仿宋" w:hAnsi="仿宋" w:eastAsia="仿宋" w:cs="仿宋"/>
          <w:sz w:val="21"/>
          <w:szCs w:val="21"/>
          <w:lang w:val="en-US" w:eastAsia="zh-CN" w:bidi="ar-SA"/>
        </w:rPr>
        <w:t>LY/T 1249  土壤碱化度的测定</w:t>
      </w:r>
    </w:p>
    <w:p w14:paraId="7772785E">
      <w:pPr>
        <w:pStyle w:val="169"/>
        <w:keepNext w:val="0"/>
        <w:keepLines w:val="0"/>
        <w:pageBreakBefore w:val="0"/>
        <w:widowControl/>
        <w:kinsoku/>
        <w:wordWrap/>
        <w:overflowPunct/>
        <w:topLinePunct w:val="0"/>
        <w:bidi w:val="0"/>
        <w:adjustRightInd w:val="0"/>
        <w:snapToGrid w:val="0"/>
        <w:spacing w:line="240" w:lineRule="auto"/>
        <w:textAlignment w:val="auto"/>
        <w:rPr>
          <w:rFonts w:hint="default" w:ascii="仿宋" w:hAnsi="仿宋" w:eastAsia="仿宋" w:cs="仿宋"/>
          <w:sz w:val="21"/>
          <w:szCs w:val="21"/>
          <w:lang w:val="en-US" w:eastAsia="zh-CN" w:bidi="ar-SA"/>
        </w:rPr>
      </w:pPr>
      <w:r>
        <w:rPr>
          <w:rFonts w:hint="default" w:ascii="仿宋" w:hAnsi="仿宋" w:eastAsia="仿宋" w:cs="仿宋"/>
          <w:sz w:val="21"/>
          <w:szCs w:val="21"/>
          <w:lang w:val="en-US" w:eastAsia="zh-CN" w:bidi="ar-SA"/>
        </w:rPr>
        <w:t>NY/T 1121.2  土壤检测 第2部分：土壤pH的测定</w:t>
      </w:r>
    </w:p>
    <w:p w14:paraId="62A62D67">
      <w:pPr>
        <w:pStyle w:val="169"/>
        <w:keepNext w:val="0"/>
        <w:keepLines w:val="0"/>
        <w:pageBreakBefore w:val="0"/>
        <w:widowControl/>
        <w:kinsoku/>
        <w:wordWrap/>
        <w:overflowPunct/>
        <w:topLinePunct w:val="0"/>
        <w:bidi w:val="0"/>
        <w:adjustRightInd w:val="0"/>
        <w:snapToGrid w:val="0"/>
        <w:spacing w:line="240" w:lineRule="auto"/>
        <w:textAlignment w:val="auto"/>
        <w:rPr>
          <w:rFonts w:hint="default" w:ascii="仿宋" w:hAnsi="仿宋" w:eastAsia="仿宋" w:cs="仿宋"/>
          <w:sz w:val="21"/>
          <w:szCs w:val="21"/>
          <w:lang w:val="en-US" w:eastAsia="zh-CN" w:bidi="ar-SA"/>
        </w:rPr>
      </w:pPr>
      <w:r>
        <w:rPr>
          <w:rFonts w:hint="default" w:ascii="仿宋" w:hAnsi="仿宋" w:eastAsia="仿宋" w:cs="仿宋"/>
          <w:sz w:val="21"/>
          <w:szCs w:val="21"/>
          <w:lang w:val="en-US" w:eastAsia="zh-CN" w:bidi="ar-SA"/>
        </w:rPr>
        <w:t>NY/T 1121.5  土壤检测 第5部分：石灰性土壤阳离子交换量的测定</w:t>
      </w:r>
    </w:p>
    <w:p w14:paraId="506F901B">
      <w:pPr>
        <w:pStyle w:val="169"/>
        <w:keepNext w:val="0"/>
        <w:keepLines w:val="0"/>
        <w:pageBreakBefore w:val="0"/>
        <w:widowControl/>
        <w:kinsoku/>
        <w:wordWrap/>
        <w:overflowPunct/>
        <w:topLinePunct w:val="0"/>
        <w:bidi w:val="0"/>
        <w:adjustRightInd w:val="0"/>
        <w:snapToGrid w:val="0"/>
        <w:spacing w:line="240" w:lineRule="auto"/>
        <w:textAlignment w:val="auto"/>
        <w:rPr>
          <w:rFonts w:hint="default" w:ascii="仿宋" w:hAnsi="仿宋" w:eastAsia="仿宋" w:cs="仿宋"/>
          <w:sz w:val="21"/>
          <w:szCs w:val="21"/>
          <w:lang w:val="en-US" w:eastAsia="zh-CN" w:bidi="ar-SA"/>
        </w:rPr>
      </w:pPr>
      <w:r>
        <w:rPr>
          <w:rFonts w:hint="default" w:ascii="仿宋" w:hAnsi="仿宋" w:eastAsia="仿宋" w:cs="仿宋"/>
          <w:sz w:val="21"/>
          <w:szCs w:val="21"/>
          <w:lang w:val="en-US" w:eastAsia="zh-CN" w:bidi="ar-SA"/>
        </w:rPr>
        <w:t>NY/T 1121.16  土壤检测 第16部分：土壤水溶性盐总量的测定</w:t>
      </w:r>
    </w:p>
    <w:p w14:paraId="558A4E8F">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eastAsia" w:ascii="仿宋" w:hAnsi="仿宋" w:eastAsia="仿宋" w:cs="仿宋"/>
          <w:b/>
          <w:bCs/>
          <w:sz w:val="21"/>
          <w:szCs w:val="21"/>
          <w:lang w:val="en-US" w:eastAsia="zh-CN"/>
        </w:rPr>
      </w:pPr>
      <w:bookmarkStart w:id="46" w:name="_Toc2484"/>
      <w:bookmarkStart w:id="47" w:name="_Toc113282592"/>
      <w:bookmarkStart w:id="48" w:name="_Toc97192966"/>
      <w:r>
        <w:rPr>
          <w:rFonts w:hint="eastAsia" w:ascii="仿宋" w:hAnsi="仿宋" w:eastAsia="仿宋" w:cs="仿宋"/>
          <w:b/>
          <w:bCs/>
          <w:sz w:val="21"/>
          <w:szCs w:val="21"/>
          <w:lang w:val="en-US" w:eastAsia="zh-CN"/>
        </w:rPr>
        <w:t>3.术语和定义</w:t>
      </w:r>
      <w:bookmarkEnd w:id="46"/>
      <w:bookmarkEnd w:id="47"/>
      <w:bookmarkEnd w:id="48"/>
    </w:p>
    <w:p w14:paraId="24EF2DB7">
      <w:pPr>
        <w:pStyle w:val="169"/>
        <w:keepNext w:val="0"/>
        <w:keepLines w:val="0"/>
        <w:pageBreakBefore w:val="0"/>
        <w:widowControl/>
        <w:kinsoku/>
        <w:wordWrap/>
        <w:overflowPunct/>
        <w:topLinePunct w:val="0"/>
        <w:bidi w:val="0"/>
        <w:adjustRightInd w:val="0"/>
        <w:snapToGrid w:val="0"/>
        <w:spacing w:line="240" w:lineRule="auto"/>
        <w:textAlignment w:val="auto"/>
        <w:rPr>
          <w:rFonts w:hint="default"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明确了</w:t>
      </w:r>
      <w:r>
        <w:rPr>
          <w:rFonts w:hint="eastAsia" w:ascii="仿宋" w:hAnsi="仿宋" w:eastAsia="仿宋" w:cs="仿宋"/>
          <w:sz w:val="21"/>
          <w:szCs w:val="21"/>
          <w:lang w:val="en-US" w:eastAsia="zh-CN"/>
        </w:rPr>
        <w:t>盐碱地改良凝胶田间应用</w:t>
      </w:r>
      <w:r>
        <w:rPr>
          <w:rFonts w:hint="eastAsia" w:ascii="仿宋" w:hAnsi="仿宋" w:eastAsia="仿宋" w:cs="仿宋"/>
          <w:sz w:val="21"/>
          <w:szCs w:val="21"/>
          <w:lang w:val="en-US" w:eastAsia="zh-CN" w:bidi="ar-SA"/>
        </w:rPr>
        <w:t>的术语定义。</w:t>
      </w:r>
    </w:p>
    <w:p w14:paraId="0DC87ECC">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eastAsia" w:ascii="仿宋" w:hAnsi="仿宋" w:eastAsia="仿宋" w:cs="仿宋"/>
          <w:b/>
          <w:bCs/>
          <w:sz w:val="21"/>
          <w:szCs w:val="21"/>
          <w:lang w:val="en-US" w:eastAsia="zh-CN"/>
        </w:rPr>
      </w:pPr>
      <w:bookmarkStart w:id="49" w:name="_Toc26986532"/>
      <w:bookmarkEnd w:id="49"/>
      <w:bookmarkStart w:id="50" w:name="_Toc7143"/>
      <w:r>
        <w:rPr>
          <w:rFonts w:hint="eastAsia" w:ascii="仿宋" w:hAnsi="仿宋" w:eastAsia="仿宋" w:cs="仿宋"/>
          <w:b/>
          <w:bCs/>
          <w:sz w:val="21"/>
          <w:szCs w:val="21"/>
          <w:lang w:val="en-US" w:eastAsia="zh-CN"/>
        </w:rPr>
        <w:t>4.</w:t>
      </w:r>
      <w:bookmarkEnd w:id="50"/>
      <w:r>
        <w:rPr>
          <w:rFonts w:hint="eastAsia" w:ascii="仿宋" w:hAnsi="仿宋" w:eastAsia="仿宋" w:cs="仿宋"/>
          <w:b/>
          <w:bCs/>
          <w:sz w:val="21"/>
          <w:szCs w:val="21"/>
          <w:lang w:val="en-US" w:eastAsia="zh-CN"/>
        </w:rPr>
        <w:t>地块调查与预处理</w:t>
      </w:r>
    </w:p>
    <w:p w14:paraId="26B1A1B2">
      <w:pPr>
        <w:pStyle w:val="169"/>
        <w:keepNext w:val="0"/>
        <w:keepLines w:val="0"/>
        <w:pageBreakBefore w:val="0"/>
        <w:widowControl/>
        <w:kinsoku/>
        <w:wordWrap/>
        <w:overflowPunct/>
        <w:topLinePunct w:val="0"/>
        <w:bidi w:val="0"/>
        <w:adjustRightInd w:val="0"/>
        <w:snapToGrid w:val="0"/>
        <w:spacing w:line="240" w:lineRule="auto"/>
        <w:textAlignment w:val="auto"/>
        <w:rPr>
          <w:rFonts w:hint="default" w:ascii="仿宋" w:hAnsi="仿宋" w:eastAsia="仿宋" w:cs="仿宋"/>
          <w:sz w:val="21"/>
          <w:szCs w:val="21"/>
          <w:lang w:val="en-US" w:eastAsia="zh-CN" w:bidi="ar-SA"/>
        </w:rPr>
      </w:pPr>
      <w:r>
        <w:rPr>
          <w:rFonts w:hint="eastAsia" w:ascii="仿宋" w:hAnsi="仿宋" w:eastAsia="仿宋" w:cs="仿宋"/>
          <w:sz w:val="21"/>
          <w:szCs w:val="21"/>
          <w:lang w:val="en-US" w:eastAsia="zh-CN" w:bidi="ar-SA"/>
        </w:rPr>
        <w:t>包括了</w:t>
      </w:r>
      <w:r>
        <w:rPr>
          <w:rFonts w:hint="eastAsia" w:ascii="仿宋" w:hAnsi="仿宋" w:eastAsia="仿宋" w:cs="仿宋"/>
          <w:sz w:val="21"/>
          <w:szCs w:val="21"/>
          <w:lang w:val="en-US" w:eastAsia="zh-CN"/>
        </w:rPr>
        <w:t>盐碱地改良凝胶田间应用</w:t>
      </w:r>
      <w:r>
        <w:rPr>
          <w:rFonts w:hint="eastAsia" w:ascii="仿宋" w:hAnsi="仿宋" w:eastAsia="仿宋" w:cs="仿宋"/>
          <w:sz w:val="21"/>
          <w:szCs w:val="21"/>
          <w:lang w:val="en-US" w:eastAsia="zh-CN" w:bidi="ar-SA"/>
        </w:rPr>
        <w:t>的地块调查与预处理。</w:t>
      </w:r>
    </w:p>
    <w:p w14:paraId="5DFBDE94">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eastAsia" w:ascii="仿宋" w:hAnsi="仿宋" w:eastAsia="仿宋" w:cs="仿宋"/>
          <w:b/>
          <w:bCs/>
          <w:sz w:val="21"/>
          <w:szCs w:val="21"/>
          <w:lang w:val="en-US" w:eastAsia="zh-CN"/>
        </w:rPr>
      </w:pPr>
      <w:bookmarkStart w:id="51" w:name="_Toc4594"/>
      <w:r>
        <w:rPr>
          <w:rFonts w:hint="eastAsia" w:ascii="仿宋" w:hAnsi="仿宋" w:eastAsia="仿宋" w:cs="仿宋"/>
          <w:b/>
          <w:bCs/>
          <w:sz w:val="21"/>
          <w:szCs w:val="21"/>
          <w:lang w:val="en-US" w:eastAsia="zh-CN"/>
        </w:rPr>
        <w:t>5.施前准备</w:t>
      </w:r>
    </w:p>
    <w:p w14:paraId="32CEAFEB">
      <w:pPr>
        <w:pStyle w:val="169"/>
        <w:keepNext w:val="0"/>
        <w:keepLines w:val="0"/>
        <w:pageBreakBefore w:val="0"/>
        <w:widowControl/>
        <w:kinsoku/>
        <w:wordWrap/>
        <w:overflowPunct/>
        <w:topLinePunct w:val="0"/>
        <w:bidi w:val="0"/>
        <w:adjustRightInd w:val="0"/>
        <w:snapToGrid w:val="0"/>
        <w:spacing w:line="240" w:lineRule="auto"/>
        <w:textAlignment w:val="auto"/>
        <w:rPr>
          <w:rFonts w:hint="default" w:ascii="仿宋" w:hAnsi="仿宋" w:eastAsia="仿宋" w:cs="仿宋"/>
          <w:sz w:val="21"/>
          <w:szCs w:val="21"/>
          <w:lang w:val="en-US" w:eastAsia="zh-CN" w:bidi="ar-SA"/>
        </w:rPr>
      </w:pPr>
      <w:r>
        <w:rPr>
          <w:rFonts w:hint="eastAsia" w:ascii="仿宋" w:hAnsi="仿宋" w:eastAsia="仿宋" w:cs="仿宋"/>
          <w:sz w:val="21"/>
          <w:szCs w:val="21"/>
          <w:lang w:val="en-US" w:eastAsia="zh-CN" w:bidi="ar-SA"/>
        </w:rPr>
        <w:t>包括了</w:t>
      </w:r>
      <w:r>
        <w:rPr>
          <w:rFonts w:hint="eastAsia" w:ascii="仿宋" w:hAnsi="仿宋" w:eastAsia="仿宋" w:cs="仿宋"/>
          <w:sz w:val="21"/>
          <w:szCs w:val="21"/>
          <w:lang w:val="en-US" w:eastAsia="zh-CN"/>
        </w:rPr>
        <w:t>盐碱地改良凝胶田间应用</w:t>
      </w:r>
      <w:r>
        <w:rPr>
          <w:rFonts w:hint="eastAsia" w:ascii="仿宋" w:hAnsi="仿宋" w:eastAsia="仿宋" w:cs="仿宋"/>
          <w:sz w:val="21"/>
          <w:szCs w:val="21"/>
          <w:lang w:val="en-US" w:eastAsia="zh-CN" w:bidi="ar-SA"/>
        </w:rPr>
        <w:t>的施前准备。</w:t>
      </w:r>
    </w:p>
    <w:p w14:paraId="4D25D023">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eastAsia" w:ascii="仿宋" w:hAnsi="仿宋" w:eastAsia="仿宋" w:cs="仿宋"/>
          <w:b/>
          <w:bCs/>
          <w:sz w:val="21"/>
          <w:szCs w:val="21"/>
          <w:lang w:val="en-US" w:eastAsia="zh-CN"/>
        </w:rPr>
      </w:pPr>
      <w:r>
        <w:rPr>
          <w:rFonts w:hint="eastAsia" w:ascii="仿宋" w:hAnsi="仿宋" w:eastAsia="仿宋" w:cs="仿宋"/>
          <w:b/>
          <w:bCs/>
          <w:sz w:val="21"/>
          <w:szCs w:val="21"/>
          <w:lang w:val="en-US" w:eastAsia="zh-CN"/>
        </w:rPr>
        <w:t>6.田间施用工艺</w:t>
      </w:r>
    </w:p>
    <w:p w14:paraId="1321D7F4">
      <w:pPr>
        <w:pStyle w:val="169"/>
        <w:keepNext w:val="0"/>
        <w:keepLines w:val="0"/>
        <w:pageBreakBefore w:val="0"/>
        <w:widowControl/>
        <w:kinsoku/>
        <w:wordWrap/>
        <w:overflowPunct/>
        <w:topLinePunct w:val="0"/>
        <w:bidi w:val="0"/>
        <w:adjustRightInd w:val="0"/>
        <w:snapToGrid w:val="0"/>
        <w:spacing w:line="240" w:lineRule="auto"/>
        <w:textAlignment w:val="auto"/>
        <w:rPr>
          <w:rFonts w:hint="default" w:ascii="仿宋" w:hAnsi="仿宋" w:eastAsia="仿宋" w:cs="仿宋"/>
          <w:sz w:val="21"/>
          <w:szCs w:val="21"/>
          <w:lang w:val="en-US" w:eastAsia="zh-CN" w:bidi="ar-SA"/>
        </w:rPr>
      </w:pPr>
      <w:r>
        <w:rPr>
          <w:rFonts w:hint="eastAsia" w:ascii="仿宋" w:hAnsi="仿宋" w:eastAsia="仿宋" w:cs="仿宋"/>
          <w:sz w:val="21"/>
          <w:szCs w:val="21"/>
          <w:lang w:val="en-US" w:eastAsia="zh-CN" w:bidi="ar-SA"/>
        </w:rPr>
        <w:t>包括了</w:t>
      </w:r>
      <w:r>
        <w:rPr>
          <w:rFonts w:hint="eastAsia" w:ascii="仿宋" w:hAnsi="仿宋" w:eastAsia="仿宋" w:cs="仿宋"/>
          <w:sz w:val="21"/>
          <w:szCs w:val="21"/>
          <w:lang w:val="en-US" w:eastAsia="zh-CN"/>
        </w:rPr>
        <w:t>盐碱地改良凝胶田间应用</w:t>
      </w:r>
      <w:r>
        <w:rPr>
          <w:rFonts w:hint="eastAsia" w:ascii="仿宋" w:hAnsi="仿宋" w:eastAsia="仿宋" w:cs="仿宋"/>
          <w:sz w:val="21"/>
          <w:szCs w:val="21"/>
          <w:lang w:val="en-US" w:eastAsia="zh-CN" w:bidi="ar-SA"/>
        </w:rPr>
        <w:t>的田间施用工艺。</w:t>
      </w:r>
    </w:p>
    <w:p w14:paraId="486AB34A">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eastAsia" w:ascii="仿宋" w:hAnsi="仿宋" w:eastAsia="仿宋" w:cs="仿宋"/>
          <w:b/>
          <w:bCs/>
          <w:sz w:val="21"/>
          <w:szCs w:val="21"/>
          <w:lang w:val="en-US" w:eastAsia="zh-CN"/>
        </w:rPr>
      </w:pPr>
      <w:r>
        <w:rPr>
          <w:rFonts w:hint="eastAsia" w:ascii="仿宋" w:hAnsi="仿宋" w:eastAsia="仿宋" w:cs="仿宋"/>
          <w:b/>
          <w:bCs/>
          <w:sz w:val="21"/>
          <w:szCs w:val="21"/>
          <w:lang w:val="en-US" w:eastAsia="zh-CN"/>
        </w:rPr>
        <w:t>7.配套农艺管理</w:t>
      </w:r>
    </w:p>
    <w:p w14:paraId="2A98457B">
      <w:pPr>
        <w:pStyle w:val="169"/>
        <w:keepNext w:val="0"/>
        <w:keepLines w:val="0"/>
        <w:pageBreakBefore w:val="0"/>
        <w:widowControl/>
        <w:kinsoku/>
        <w:wordWrap/>
        <w:overflowPunct/>
        <w:topLinePunct w:val="0"/>
        <w:bidi w:val="0"/>
        <w:adjustRightInd w:val="0"/>
        <w:snapToGrid w:val="0"/>
        <w:spacing w:line="240" w:lineRule="auto"/>
        <w:textAlignment w:val="auto"/>
        <w:rPr>
          <w:rFonts w:hint="default" w:ascii="仿宋" w:hAnsi="仿宋" w:eastAsia="仿宋" w:cs="仿宋"/>
          <w:sz w:val="21"/>
          <w:szCs w:val="21"/>
          <w:lang w:val="en-US" w:eastAsia="zh-CN" w:bidi="ar-SA"/>
        </w:rPr>
      </w:pPr>
      <w:r>
        <w:rPr>
          <w:rFonts w:hint="eastAsia" w:ascii="仿宋" w:hAnsi="仿宋" w:eastAsia="仿宋" w:cs="仿宋"/>
          <w:sz w:val="21"/>
          <w:szCs w:val="21"/>
          <w:lang w:val="en-US" w:eastAsia="zh-CN" w:bidi="ar-SA"/>
        </w:rPr>
        <w:t>包括了</w:t>
      </w:r>
      <w:r>
        <w:rPr>
          <w:rFonts w:hint="eastAsia" w:ascii="仿宋" w:hAnsi="仿宋" w:eastAsia="仿宋" w:cs="仿宋"/>
          <w:sz w:val="21"/>
          <w:szCs w:val="21"/>
          <w:lang w:val="en-US" w:eastAsia="zh-CN"/>
        </w:rPr>
        <w:t>盐碱地改良凝胶田间应用</w:t>
      </w:r>
      <w:r>
        <w:rPr>
          <w:rFonts w:hint="eastAsia" w:ascii="仿宋" w:hAnsi="仿宋" w:eastAsia="仿宋" w:cs="仿宋"/>
          <w:sz w:val="21"/>
          <w:szCs w:val="21"/>
          <w:lang w:val="en-US" w:eastAsia="zh-CN" w:bidi="ar-SA"/>
        </w:rPr>
        <w:t>的配套农艺管理。</w:t>
      </w:r>
    </w:p>
    <w:p w14:paraId="423F5B1E">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eastAsia" w:ascii="仿宋" w:hAnsi="仿宋" w:eastAsia="仿宋" w:cs="仿宋"/>
          <w:b/>
          <w:bCs/>
          <w:sz w:val="21"/>
          <w:szCs w:val="21"/>
          <w:lang w:val="en-US" w:eastAsia="zh-CN"/>
        </w:rPr>
      </w:pPr>
      <w:r>
        <w:rPr>
          <w:rFonts w:hint="eastAsia" w:ascii="仿宋" w:hAnsi="仿宋" w:eastAsia="仿宋" w:cs="仿宋"/>
          <w:b/>
          <w:bCs/>
          <w:sz w:val="21"/>
          <w:szCs w:val="21"/>
          <w:lang w:val="en-US" w:eastAsia="zh-CN"/>
        </w:rPr>
        <w:t>8.监测评价</w:t>
      </w:r>
    </w:p>
    <w:p w14:paraId="45EA6AD4">
      <w:pPr>
        <w:pStyle w:val="169"/>
        <w:keepNext w:val="0"/>
        <w:keepLines w:val="0"/>
        <w:pageBreakBefore w:val="0"/>
        <w:widowControl/>
        <w:kinsoku/>
        <w:wordWrap/>
        <w:overflowPunct/>
        <w:topLinePunct w:val="0"/>
        <w:bidi w:val="0"/>
        <w:adjustRightInd w:val="0"/>
        <w:snapToGrid w:val="0"/>
        <w:spacing w:line="240" w:lineRule="auto"/>
        <w:textAlignment w:val="auto"/>
        <w:rPr>
          <w:rFonts w:hint="default" w:ascii="仿宋" w:hAnsi="仿宋" w:eastAsia="仿宋" w:cs="仿宋"/>
          <w:sz w:val="21"/>
          <w:szCs w:val="21"/>
          <w:lang w:val="en-US" w:eastAsia="zh-CN" w:bidi="ar-SA"/>
        </w:rPr>
      </w:pPr>
      <w:r>
        <w:rPr>
          <w:rFonts w:hint="eastAsia" w:ascii="仿宋" w:hAnsi="仿宋" w:eastAsia="仿宋" w:cs="仿宋"/>
          <w:sz w:val="21"/>
          <w:szCs w:val="21"/>
          <w:lang w:val="en-US" w:eastAsia="zh-CN" w:bidi="ar-SA"/>
        </w:rPr>
        <w:t>包括了</w:t>
      </w:r>
      <w:r>
        <w:rPr>
          <w:rFonts w:hint="eastAsia" w:ascii="仿宋" w:hAnsi="仿宋" w:eastAsia="仿宋" w:cs="仿宋"/>
          <w:sz w:val="21"/>
          <w:szCs w:val="21"/>
          <w:lang w:val="en-US" w:eastAsia="zh-CN"/>
        </w:rPr>
        <w:t>盐碱地改良凝胶田间应用</w:t>
      </w:r>
      <w:r>
        <w:rPr>
          <w:rFonts w:hint="eastAsia" w:ascii="仿宋" w:hAnsi="仿宋" w:eastAsia="仿宋" w:cs="仿宋"/>
          <w:sz w:val="21"/>
          <w:szCs w:val="21"/>
          <w:lang w:val="en-US" w:eastAsia="zh-CN" w:bidi="ar-SA"/>
        </w:rPr>
        <w:t>的监测评价。</w:t>
      </w:r>
    </w:p>
    <w:p w14:paraId="1EA3DC2E">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eastAsia" w:ascii="仿宋" w:hAnsi="仿宋" w:eastAsia="仿宋" w:cs="仿宋"/>
          <w:b/>
          <w:bCs/>
          <w:sz w:val="21"/>
          <w:szCs w:val="21"/>
          <w:lang w:val="en-US" w:eastAsia="zh-CN"/>
        </w:rPr>
      </w:pPr>
      <w:r>
        <w:rPr>
          <w:rFonts w:hint="eastAsia" w:ascii="仿宋" w:hAnsi="仿宋" w:eastAsia="仿宋" w:cs="仿宋"/>
          <w:b/>
          <w:bCs/>
          <w:sz w:val="21"/>
          <w:szCs w:val="21"/>
          <w:lang w:val="en-US" w:eastAsia="zh-CN"/>
        </w:rPr>
        <w:t>9.质量控制</w:t>
      </w:r>
    </w:p>
    <w:p w14:paraId="5FF7AEB2">
      <w:pPr>
        <w:pStyle w:val="169"/>
        <w:keepNext w:val="0"/>
        <w:keepLines w:val="0"/>
        <w:pageBreakBefore w:val="0"/>
        <w:widowControl/>
        <w:kinsoku/>
        <w:wordWrap/>
        <w:overflowPunct/>
        <w:topLinePunct w:val="0"/>
        <w:bidi w:val="0"/>
        <w:adjustRightInd w:val="0"/>
        <w:snapToGrid w:val="0"/>
        <w:spacing w:line="240" w:lineRule="auto"/>
        <w:textAlignment w:val="auto"/>
        <w:rPr>
          <w:rFonts w:hint="default" w:ascii="仿宋" w:hAnsi="仿宋" w:eastAsia="仿宋" w:cs="仿宋"/>
          <w:sz w:val="21"/>
          <w:szCs w:val="21"/>
          <w:lang w:val="en-US" w:eastAsia="zh-CN" w:bidi="ar-SA"/>
        </w:rPr>
      </w:pPr>
      <w:r>
        <w:rPr>
          <w:rFonts w:hint="eastAsia" w:ascii="仿宋" w:hAnsi="仿宋" w:eastAsia="仿宋" w:cs="仿宋"/>
          <w:sz w:val="21"/>
          <w:szCs w:val="21"/>
          <w:lang w:val="en-US" w:eastAsia="zh-CN" w:bidi="ar-SA"/>
        </w:rPr>
        <w:t>包括了</w:t>
      </w:r>
      <w:r>
        <w:rPr>
          <w:rFonts w:hint="eastAsia" w:ascii="仿宋" w:hAnsi="仿宋" w:eastAsia="仿宋" w:cs="仿宋"/>
          <w:sz w:val="21"/>
          <w:szCs w:val="21"/>
          <w:lang w:val="en-US" w:eastAsia="zh-CN"/>
        </w:rPr>
        <w:t>盐碱地改良凝胶田间应用</w:t>
      </w:r>
      <w:r>
        <w:rPr>
          <w:rFonts w:hint="eastAsia" w:ascii="仿宋" w:hAnsi="仿宋" w:eastAsia="仿宋" w:cs="仿宋"/>
          <w:sz w:val="21"/>
          <w:szCs w:val="21"/>
          <w:lang w:val="en-US" w:eastAsia="zh-CN" w:bidi="ar-SA"/>
        </w:rPr>
        <w:t>的质量控制。</w:t>
      </w:r>
    </w:p>
    <w:p w14:paraId="14E2980D">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eastAsia" w:ascii="仿宋" w:hAnsi="仿宋" w:eastAsia="仿宋" w:cs="仿宋"/>
          <w:b/>
          <w:bCs/>
          <w:sz w:val="21"/>
          <w:szCs w:val="21"/>
          <w:lang w:val="en-US" w:eastAsia="zh-CN"/>
        </w:rPr>
      </w:pPr>
      <w:r>
        <w:rPr>
          <w:rFonts w:hint="eastAsia" w:ascii="仿宋" w:hAnsi="仿宋" w:eastAsia="仿宋" w:cs="仿宋"/>
          <w:b/>
          <w:bCs/>
          <w:sz w:val="21"/>
          <w:szCs w:val="21"/>
          <w:lang w:val="en-US" w:eastAsia="zh-CN"/>
        </w:rPr>
        <w:t>10.安全与环保</w:t>
      </w:r>
    </w:p>
    <w:p w14:paraId="30F748C7">
      <w:pPr>
        <w:pStyle w:val="169"/>
        <w:keepNext w:val="0"/>
        <w:keepLines w:val="0"/>
        <w:pageBreakBefore w:val="0"/>
        <w:widowControl/>
        <w:kinsoku/>
        <w:wordWrap/>
        <w:overflowPunct/>
        <w:topLinePunct w:val="0"/>
        <w:bidi w:val="0"/>
        <w:adjustRightInd w:val="0"/>
        <w:snapToGrid w:val="0"/>
        <w:spacing w:line="240" w:lineRule="auto"/>
        <w:textAlignment w:val="auto"/>
        <w:rPr>
          <w:rFonts w:hint="default" w:ascii="仿宋" w:hAnsi="仿宋" w:eastAsia="仿宋" w:cs="仿宋"/>
          <w:sz w:val="21"/>
          <w:szCs w:val="21"/>
          <w:lang w:val="en-US" w:eastAsia="zh-CN" w:bidi="ar-SA"/>
        </w:rPr>
      </w:pPr>
      <w:r>
        <w:rPr>
          <w:rFonts w:hint="eastAsia" w:ascii="仿宋" w:hAnsi="仿宋" w:eastAsia="仿宋" w:cs="仿宋"/>
          <w:sz w:val="21"/>
          <w:szCs w:val="21"/>
          <w:lang w:val="en-US" w:eastAsia="zh-CN" w:bidi="ar-SA"/>
        </w:rPr>
        <w:t>包括了</w:t>
      </w:r>
      <w:r>
        <w:rPr>
          <w:rFonts w:hint="eastAsia" w:ascii="仿宋" w:hAnsi="仿宋" w:eastAsia="仿宋" w:cs="仿宋"/>
          <w:sz w:val="21"/>
          <w:szCs w:val="21"/>
          <w:lang w:val="en-US" w:eastAsia="zh-CN"/>
        </w:rPr>
        <w:t>盐碱地改良凝胶田间应用</w:t>
      </w:r>
      <w:r>
        <w:rPr>
          <w:rFonts w:hint="eastAsia" w:ascii="仿宋" w:hAnsi="仿宋" w:eastAsia="仿宋" w:cs="仿宋"/>
          <w:sz w:val="21"/>
          <w:szCs w:val="21"/>
          <w:lang w:val="en-US" w:eastAsia="zh-CN" w:bidi="ar-SA"/>
        </w:rPr>
        <w:t>的安全与环保。</w:t>
      </w:r>
    </w:p>
    <w:bookmarkEnd w:id="51"/>
    <w:p w14:paraId="2545AB1A">
      <w:pPr>
        <w:pStyle w:val="60"/>
        <w:numPr>
          <w:ilvl w:val="1"/>
          <w:numId w:val="0"/>
        </w:numPr>
        <w:spacing w:before="156" w:after="156"/>
        <w:rPr>
          <w:rFonts w:ascii="仿宋" w:hAnsi="仿宋" w:eastAsia="仿宋" w:cs="仿宋"/>
          <w:b/>
          <w:bCs/>
          <w:color w:val="000000"/>
          <w:sz w:val="21"/>
          <w:szCs w:val="21"/>
        </w:rPr>
      </w:pPr>
      <w:r>
        <w:rPr>
          <w:rFonts w:hint="eastAsia" w:ascii="仿宋" w:hAnsi="仿宋" w:eastAsia="仿宋" w:cs="仿宋"/>
          <w:b/>
          <w:bCs/>
          <w:color w:val="000000"/>
          <w:sz w:val="21"/>
          <w:szCs w:val="21"/>
          <w:lang w:val="en-US" w:eastAsia="zh-CN"/>
        </w:rPr>
        <w:t>十</w:t>
      </w:r>
      <w:r>
        <w:rPr>
          <w:rFonts w:hint="eastAsia" w:ascii="仿宋" w:hAnsi="仿宋" w:eastAsia="仿宋" w:cs="仿宋"/>
          <w:b/>
          <w:bCs/>
          <w:color w:val="000000"/>
          <w:sz w:val="21"/>
          <w:szCs w:val="21"/>
        </w:rPr>
        <w:t>、与有关的现行法律、法规和强制性国家标准及相关标准协调配套情况</w:t>
      </w:r>
    </w:p>
    <w:p w14:paraId="3C228C48">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本文件的制定过程等符合现行法律、法规和强制性国家标准的规定。</w:t>
      </w:r>
    </w:p>
    <w:p w14:paraId="433D6DCC">
      <w:pPr>
        <w:pStyle w:val="60"/>
        <w:numPr>
          <w:ilvl w:val="1"/>
          <w:numId w:val="0"/>
        </w:numPr>
        <w:spacing w:before="156" w:after="156"/>
        <w:rPr>
          <w:rFonts w:ascii="仿宋" w:hAnsi="仿宋" w:eastAsia="仿宋" w:cs="仿宋"/>
          <w:b/>
          <w:bCs/>
          <w:color w:val="000000"/>
          <w:sz w:val="21"/>
          <w:szCs w:val="21"/>
        </w:rPr>
      </w:pPr>
      <w:r>
        <w:rPr>
          <w:rFonts w:hint="eastAsia" w:ascii="仿宋" w:hAnsi="仿宋" w:eastAsia="仿宋" w:cs="仿宋"/>
          <w:b/>
          <w:bCs/>
          <w:color w:val="000000"/>
          <w:sz w:val="21"/>
          <w:szCs w:val="21"/>
          <w:lang w:val="en-US" w:eastAsia="zh-CN"/>
        </w:rPr>
        <w:t>十一</w:t>
      </w:r>
      <w:r>
        <w:rPr>
          <w:rFonts w:hint="eastAsia" w:ascii="仿宋" w:hAnsi="仿宋" w:eastAsia="仿宋" w:cs="仿宋"/>
          <w:b/>
          <w:bCs/>
          <w:color w:val="000000"/>
          <w:sz w:val="21"/>
          <w:szCs w:val="21"/>
        </w:rPr>
        <w:t>、重大分歧意见的处理经过和依据</w:t>
      </w:r>
    </w:p>
    <w:p w14:paraId="106E5E00">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无。</w:t>
      </w:r>
    </w:p>
    <w:p w14:paraId="0912C1A3">
      <w:pPr>
        <w:pStyle w:val="60"/>
        <w:numPr>
          <w:ilvl w:val="1"/>
          <w:numId w:val="0"/>
        </w:numPr>
        <w:spacing w:before="156" w:after="156"/>
        <w:rPr>
          <w:rFonts w:ascii="仿宋" w:hAnsi="仿宋" w:eastAsia="仿宋" w:cs="仿宋"/>
          <w:b/>
          <w:bCs/>
          <w:color w:val="000000"/>
          <w:sz w:val="21"/>
          <w:szCs w:val="21"/>
        </w:rPr>
      </w:pPr>
      <w:r>
        <w:rPr>
          <w:rFonts w:hint="eastAsia" w:ascii="仿宋" w:hAnsi="仿宋" w:eastAsia="仿宋" w:cs="仿宋"/>
          <w:b/>
          <w:bCs/>
          <w:color w:val="000000"/>
          <w:sz w:val="21"/>
          <w:szCs w:val="21"/>
          <w:lang w:val="en-US" w:eastAsia="zh-CN"/>
        </w:rPr>
        <w:t>十二</w:t>
      </w:r>
      <w:r>
        <w:rPr>
          <w:rFonts w:hint="eastAsia" w:ascii="仿宋" w:hAnsi="仿宋" w:eastAsia="仿宋" w:cs="仿宋"/>
          <w:b/>
          <w:bCs/>
          <w:color w:val="000000"/>
          <w:sz w:val="21"/>
          <w:szCs w:val="21"/>
        </w:rPr>
        <w:t>、标准作为强制性或推荐性标准的建议</w:t>
      </w:r>
    </w:p>
    <w:p w14:paraId="24C07FB0">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建议该标准作为推荐性团体标准。</w:t>
      </w:r>
    </w:p>
    <w:p w14:paraId="6F001D2A">
      <w:pPr>
        <w:pStyle w:val="60"/>
        <w:numPr>
          <w:ilvl w:val="1"/>
          <w:numId w:val="0"/>
        </w:numPr>
        <w:spacing w:before="156" w:after="156"/>
        <w:rPr>
          <w:rFonts w:ascii="仿宋" w:hAnsi="仿宋" w:eastAsia="仿宋" w:cs="仿宋"/>
          <w:b/>
          <w:bCs/>
          <w:color w:val="000000"/>
          <w:sz w:val="21"/>
          <w:szCs w:val="21"/>
        </w:rPr>
      </w:pPr>
      <w:r>
        <w:rPr>
          <w:rFonts w:hint="eastAsia" w:ascii="仿宋" w:hAnsi="仿宋" w:eastAsia="仿宋" w:cs="仿宋"/>
          <w:b/>
          <w:bCs/>
          <w:color w:val="000000"/>
          <w:sz w:val="21"/>
          <w:szCs w:val="21"/>
        </w:rPr>
        <w:t>十</w:t>
      </w:r>
      <w:r>
        <w:rPr>
          <w:rFonts w:hint="eastAsia" w:ascii="仿宋" w:hAnsi="仿宋" w:eastAsia="仿宋" w:cs="仿宋"/>
          <w:b/>
          <w:bCs/>
          <w:color w:val="000000"/>
          <w:sz w:val="21"/>
          <w:szCs w:val="21"/>
          <w:lang w:val="en-US" w:eastAsia="zh-CN"/>
        </w:rPr>
        <w:t>三</w:t>
      </w:r>
      <w:r>
        <w:rPr>
          <w:rFonts w:hint="eastAsia" w:ascii="仿宋" w:hAnsi="仿宋" w:eastAsia="仿宋" w:cs="仿宋"/>
          <w:b/>
          <w:bCs/>
          <w:color w:val="000000"/>
          <w:sz w:val="21"/>
          <w:szCs w:val="21"/>
        </w:rPr>
        <w:t>、贯彻标准的要求和措施建议，包括（组织措施、技术措施、过渡办法）</w:t>
      </w:r>
    </w:p>
    <w:p w14:paraId="29A31206">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由于本文件首次制定，没有特殊要求。</w:t>
      </w:r>
    </w:p>
    <w:p w14:paraId="7C9E39C5">
      <w:pPr>
        <w:pStyle w:val="60"/>
        <w:numPr>
          <w:ilvl w:val="1"/>
          <w:numId w:val="0"/>
        </w:numPr>
        <w:spacing w:before="156" w:after="156"/>
        <w:rPr>
          <w:rFonts w:ascii="仿宋" w:hAnsi="仿宋" w:eastAsia="仿宋" w:cs="仿宋"/>
          <w:b/>
          <w:bCs/>
          <w:color w:val="000000"/>
          <w:sz w:val="21"/>
          <w:szCs w:val="21"/>
        </w:rPr>
      </w:pPr>
      <w:r>
        <w:rPr>
          <w:rFonts w:hint="eastAsia" w:ascii="仿宋" w:hAnsi="仿宋" w:eastAsia="仿宋" w:cs="仿宋"/>
          <w:b/>
          <w:bCs/>
          <w:color w:val="000000"/>
          <w:sz w:val="21"/>
          <w:szCs w:val="21"/>
        </w:rPr>
        <w:t>十</w:t>
      </w:r>
      <w:r>
        <w:rPr>
          <w:rFonts w:hint="eastAsia" w:ascii="仿宋" w:hAnsi="仿宋" w:eastAsia="仿宋" w:cs="仿宋"/>
          <w:b/>
          <w:bCs/>
          <w:color w:val="000000"/>
          <w:sz w:val="21"/>
          <w:szCs w:val="21"/>
          <w:lang w:val="en-US" w:eastAsia="zh-CN"/>
        </w:rPr>
        <w:t>四</w:t>
      </w:r>
      <w:r>
        <w:rPr>
          <w:rFonts w:hint="eastAsia" w:ascii="仿宋" w:hAnsi="仿宋" w:eastAsia="仿宋" w:cs="仿宋"/>
          <w:b/>
          <w:bCs/>
          <w:color w:val="000000"/>
          <w:sz w:val="21"/>
          <w:szCs w:val="21"/>
        </w:rPr>
        <w:t>、废止现有有关标准的建议</w:t>
      </w:r>
    </w:p>
    <w:p w14:paraId="1C521100">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无。</w:t>
      </w:r>
    </w:p>
    <w:p w14:paraId="58A38841">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 w:hAnsi="仿宋" w:eastAsia="仿宋" w:cs="仿宋"/>
          <w:kern w:val="0"/>
          <w:sz w:val="21"/>
          <w:szCs w:val="21"/>
          <w:lang w:val="en-US" w:eastAsia="zh-CN" w:bidi="ar-SA"/>
        </w:rPr>
      </w:pPr>
    </w:p>
    <w:p w14:paraId="180512C4">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right"/>
        <w:textAlignment w:val="auto"/>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团体标准工作组</w:t>
      </w:r>
    </w:p>
    <w:p w14:paraId="57A29966">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right"/>
        <w:textAlignment w:val="auto"/>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2026</w:t>
      </w:r>
      <w:bookmarkStart w:id="52" w:name="_GoBack"/>
      <w:bookmarkEnd w:id="52"/>
      <w:r>
        <w:rPr>
          <w:rFonts w:hint="eastAsia" w:ascii="仿宋" w:hAnsi="仿宋" w:eastAsia="仿宋" w:cs="仿宋"/>
          <w:kern w:val="0"/>
          <w:sz w:val="21"/>
          <w:szCs w:val="21"/>
          <w:lang w:val="en-US" w:eastAsia="zh-CN" w:bidi="ar-SA"/>
        </w:rPr>
        <w:t>年8月</w:t>
      </w:r>
    </w:p>
    <w:sectPr>
      <w:footerReference r:id="rId4" w:type="default"/>
      <w:headerReference r:id="rId3" w:type="even"/>
      <w:footerReference r:id="rId5" w:type="even"/>
      <w:pgSz w:w="11906" w:h="16838"/>
      <w:pgMar w:top="850" w:right="1134" w:bottom="850" w:left="1134" w:header="1418" w:footer="1134" w:gutter="0"/>
      <w:pgNumType w:start="1"/>
      <w:cols w:space="720" w:num="1"/>
      <w:formProt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Cambria Math">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Segoe UI Emoji">
    <w:panose1 w:val="020B0502040204020203"/>
    <w:charset w:val="00"/>
    <w:family w:val="auto"/>
    <w:pitch w:val="default"/>
    <w:sig w:usb0="00000001" w:usb1="02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63D482">
    <w:pPr>
      <w:pStyle w:val="24"/>
      <w:rPr>
        <w:rFonts w:ascii="宋体" w:hAnsi="宋体"/>
      </w:rP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1</w:t>
    </w:r>
    <w:r>
      <w:rPr>
        <w:rFonts w:ascii="宋体" w:hAnsi="宋体"/>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C32914">
    <w:pPr>
      <w:pStyle w:val="24"/>
      <w:jc w:val="left"/>
      <w:rPr>
        <w:rFonts w:ascii="宋体" w:hAnsi="宋体"/>
      </w:rP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2</w:t>
    </w:r>
    <w:r>
      <w:rPr>
        <w:rFonts w:ascii="宋体" w:hAnsi="宋体"/>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577314">
    <w:pPr>
      <w:pStyle w:val="91"/>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BF583A"/>
    <w:multiLevelType w:val="multilevel"/>
    <w:tmpl w:val="1DBF583A"/>
    <w:lvl w:ilvl="0" w:tentative="0">
      <w:start w:val="1"/>
      <w:numFmt w:val="decimal"/>
      <w:pStyle w:val="105"/>
      <w:suff w:val="nothing"/>
      <w:lvlText w:val="注%1："/>
      <w:lvlJc w:val="left"/>
      <w:pPr>
        <w:ind w:left="811" w:hanging="448"/>
      </w:pPr>
      <w:rPr>
        <w:rFonts w:hint="eastAsia" w:ascii="黑体" w:eastAsia="黑体"/>
        <w:b w:val="0"/>
        <w:i w:val="0"/>
        <w:sz w:val="18"/>
        <w:szCs w:val="18"/>
        <w:vertAlign w:val="baseline"/>
      </w:rPr>
    </w:lvl>
    <w:lvl w:ilvl="1" w:tentative="0">
      <w:start w:val="1"/>
      <w:numFmt w:val="lowerLetter"/>
      <w:lvlText w:val="%2)"/>
      <w:lvlJc w:val="left"/>
      <w:pPr>
        <w:tabs>
          <w:tab w:val="left" w:pos="180"/>
        </w:tabs>
        <w:ind w:left="1172" w:hanging="629"/>
      </w:pPr>
      <w:rPr>
        <w:rFonts w:hint="eastAsia"/>
        <w:vertAlign w:val="baseline"/>
      </w:rPr>
    </w:lvl>
    <w:lvl w:ilvl="2" w:tentative="0">
      <w:start w:val="1"/>
      <w:numFmt w:val="lowerRoman"/>
      <w:lvlText w:val="%3."/>
      <w:lvlJc w:val="right"/>
      <w:pPr>
        <w:tabs>
          <w:tab w:val="left" w:pos="180"/>
        </w:tabs>
        <w:ind w:left="1172" w:hanging="629"/>
      </w:pPr>
      <w:rPr>
        <w:rFonts w:hint="eastAsia"/>
        <w:vertAlign w:val="baseline"/>
      </w:rPr>
    </w:lvl>
    <w:lvl w:ilvl="3" w:tentative="0">
      <w:start w:val="1"/>
      <w:numFmt w:val="decimal"/>
      <w:lvlText w:val="%4."/>
      <w:lvlJc w:val="left"/>
      <w:pPr>
        <w:tabs>
          <w:tab w:val="left" w:pos="180"/>
        </w:tabs>
        <w:ind w:left="1172" w:hanging="629"/>
      </w:pPr>
      <w:rPr>
        <w:rFonts w:hint="eastAsia"/>
        <w:vertAlign w:val="baseline"/>
      </w:rPr>
    </w:lvl>
    <w:lvl w:ilvl="4" w:tentative="0">
      <w:start w:val="1"/>
      <w:numFmt w:val="lowerLetter"/>
      <w:lvlText w:val="%5)"/>
      <w:lvlJc w:val="left"/>
      <w:pPr>
        <w:tabs>
          <w:tab w:val="left" w:pos="180"/>
        </w:tabs>
        <w:ind w:left="1172" w:hanging="629"/>
      </w:pPr>
      <w:rPr>
        <w:rFonts w:hint="eastAsia"/>
        <w:vertAlign w:val="baseline"/>
      </w:rPr>
    </w:lvl>
    <w:lvl w:ilvl="5" w:tentative="0">
      <w:start w:val="1"/>
      <w:numFmt w:val="lowerRoman"/>
      <w:lvlText w:val="%6."/>
      <w:lvlJc w:val="right"/>
      <w:pPr>
        <w:tabs>
          <w:tab w:val="left" w:pos="180"/>
        </w:tabs>
        <w:ind w:left="1172" w:hanging="629"/>
      </w:pPr>
      <w:rPr>
        <w:rFonts w:hint="eastAsia"/>
        <w:vertAlign w:val="baseline"/>
      </w:rPr>
    </w:lvl>
    <w:lvl w:ilvl="6" w:tentative="0">
      <w:start w:val="1"/>
      <w:numFmt w:val="decimal"/>
      <w:lvlText w:val="%7."/>
      <w:lvlJc w:val="left"/>
      <w:pPr>
        <w:tabs>
          <w:tab w:val="left" w:pos="180"/>
        </w:tabs>
        <w:ind w:left="1172" w:hanging="629"/>
      </w:pPr>
      <w:rPr>
        <w:rFonts w:hint="eastAsia"/>
        <w:vertAlign w:val="baseline"/>
      </w:rPr>
    </w:lvl>
    <w:lvl w:ilvl="7" w:tentative="0">
      <w:start w:val="1"/>
      <w:numFmt w:val="lowerLetter"/>
      <w:lvlText w:val="%8)"/>
      <w:lvlJc w:val="left"/>
      <w:pPr>
        <w:tabs>
          <w:tab w:val="left" w:pos="180"/>
        </w:tabs>
        <w:ind w:left="1172" w:hanging="629"/>
      </w:pPr>
      <w:rPr>
        <w:rFonts w:hint="eastAsia"/>
        <w:vertAlign w:val="baseline"/>
      </w:rPr>
    </w:lvl>
    <w:lvl w:ilvl="8" w:tentative="0">
      <w:start w:val="1"/>
      <w:numFmt w:val="lowerRoman"/>
      <w:lvlText w:val="%9."/>
      <w:lvlJc w:val="right"/>
      <w:pPr>
        <w:tabs>
          <w:tab w:val="left" w:pos="180"/>
        </w:tabs>
        <w:ind w:left="1172" w:hanging="629"/>
      </w:pPr>
      <w:rPr>
        <w:rFonts w:hint="eastAsia"/>
        <w:vertAlign w:val="baseline"/>
      </w:rPr>
    </w:lvl>
  </w:abstractNum>
  <w:abstractNum w:abstractNumId="1">
    <w:nsid w:val="1FC91163"/>
    <w:multiLevelType w:val="multilevel"/>
    <w:tmpl w:val="1FC91163"/>
    <w:lvl w:ilvl="0" w:tentative="0">
      <w:start w:val="1"/>
      <w:numFmt w:val="decimal"/>
      <w:pStyle w:val="143"/>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60"/>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pStyle w:val="59"/>
      <w:suff w:val="nothing"/>
      <w:lvlText w:val="%1.%2.%3　"/>
      <w:lvlJc w:val="left"/>
      <w:pPr>
        <w:ind w:left="0" w:firstLine="0"/>
      </w:pPr>
      <w:rPr>
        <w:rFonts w:hint="eastAsia" w:ascii="黑体" w:hAnsi="Times New Roman" w:eastAsia="黑体"/>
        <w:b w:val="0"/>
        <w:i w:val="0"/>
        <w:sz w:val="21"/>
      </w:rPr>
    </w:lvl>
    <w:lvl w:ilvl="3" w:tentative="0">
      <w:start w:val="1"/>
      <w:numFmt w:val="decimal"/>
      <w:pStyle w:val="62"/>
      <w:suff w:val="nothing"/>
      <w:lvlText w:val="%1.%2.%3.%4　"/>
      <w:lvlJc w:val="left"/>
      <w:pPr>
        <w:ind w:left="283" w:firstLine="0"/>
      </w:pPr>
      <w:rPr>
        <w:rFonts w:hint="eastAsia" w:ascii="黑体" w:hAnsi="Times New Roman" w:eastAsia="黑体"/>
        <w:b w:val="0"/>
        <w:i w:val="0"/>
        <w:sz w:val="21"/>
      </w:rPr>
    </w:lvl>
    <w:lvl w:ilvl="4" w:tentative="0">
      <w:start w:val="1"/>
      <w:numFmt w:val="decimal"/>
      <w:pStyle w:val="95"/>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
    <w:nsid w:val="2A8F7113"/>
    <w:multiLevelType w:val="multilevel"/>
    <w:tmpl w:val="2A8F7113"/>
    <w:lvl w:ilvl="0" w:tentative="0">
      <w:start w:val="1"/>
      <w:numFmt w:val="upperLetter"/>
      <w:pStyle w:val="100"/>
      <w:suff w:val="space"/>
      <w:lvlText w:val="%1"/>
      <w:lvlJc w:val="left"/>
      <w:pPr>
        <w:ind w:left="623" w:hanging="425"/>
      </w:pPr>
      <w:rPr>
        <w:rFonts w:hint="eastAsia"/>
      </w:rPr>
    </w:lvl>
    <w:lvl w:ilvl="1" w:tentative="0">
      <w:start w:val="1"/>
      <w:numFmt w:val="decimal"/>
      <w:pStyle w:val="145"/>
      <w:suff w:val="nothing"/>
      <w:lvlText w:val="图A.%2　"/>
      <w:lvlJc w:val="left"/>
      <w:pPr>
        <w:ind w:left="1190" w:hanging="567"/>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3">
    <w:nsid w:val="2C5917C3"/>
    <w:multiLevelType w:val="multilevel"/>
    <w:tmpl w:val="2C5917C3"/>
    <w:lvl w:ilvl="0" w:tentative="0">
      <w:start w:val="1"/>
      <w:numFmt w:val="none"/>
      <w:pStyle w:val="190"/>
      <w:suff w:val="nothing"/>
      <w:lvlText w:val="%1——"/>
      <w:lvlJc w:val="left"/>
      <w:pPr>
        <w:ind w:left="833" w:hanging="408"/>
      </w:pPr>
      <w:rPr>
        <w:rFonts w:hint="eastAsia"/>
      </w:rPr>
    </w:lvl>
    <w:lvl w:ilvl="1" w:tentative="0">
      <w:start w:val="1"/>
      <w:numFmt w:val="bullet"/>
      <w:pStyle w:val="118"/>
      <w:lvlText w:val=""/>
      <w:lvlJc w:val="left"/>
      <w:pPr>
        <w:tabs>
          <w:tab w:val="left" w:pos="760"/>
        </w:tabs>
        <w:ind w:left="1264" w:hanging="413"/>
      </w:pPr>
      <w:rPr>
        <w:rFonts w:hint="default" w:ascii="Symbol" w:hAnsi="Symbol"/>
        <w:color w:val="auto"/>
      </w:rPr>
    </w:lvl>
    <w:lvl w:ilvl="2" w:tentative="0">
      <w:start w:val="1"/>
      <w:numFmt w:val="bullet"/>
      <w:pStyle w:val="109"/>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4">
    <w:nsid w:val="3D733618"/>
    <w:multiLevelType w:val="multilevel"/>
    <w:tmpl w:val="3D733618"/>
    <w:lvl w:ilvl="0" w:tentative="0">
      <w:start w:val="1"/>
      <w:numFmt w:val="decimal"/>
      <w:pStyle w:val="31"/>
      <w:lvlText w:val="%1)"/>
      <w:lvlJc w:val="left"/>
      <w:pPr>
        <w:tabs>
          <w:tab w:val="left" w:pos="0"/>
        </w:tabs>
        <w:ind w:left="720" w:hanging="357"/>
      </w:pPr>
      <w:rPr>
        <w:rFonts w:hint="eastAsia"/>
      </w:rPr>
    </w:lvl>
    <w:lvl w:ilvl="1" w:tentative="0">
      <w:start w:val="1"/>
      <w:numFmt w:val="lowerLetter"/>
      <w:lvlText w:val="%2)"/>
      <w:lvlJc w:val="left"/>
      <w:pPr>
        <w:tabs>
          <w:tab w:val="left" w:pos="504"/>
        </w:tabs>
        <w:ind w:left="544" w:hanging="544"/>
      </w:pPr>
      <w:rPr>
        <w:rFonts w:hint="eastAsia"/>
      </w:rPr>
    </w:lvl>
    <w:lvl w:ilvl="2" w:tentative="0">
      <w:start w:val="1"/>
      <w:numFmt w:val="lowerRoman"/>
      <w:lvlText w:val="%3."/>
      <w:lvlJc w:val="right"/>
      <w:pPr>
        <w:tabs>
          <w:tab w:val="left" w:pos="532"/>
        </w:tabs>
        <w:ind w:left="544" w:hanging="544"/>
      </w:pPr>
      <w:rPr>
        <w:rFonts w:hint="eastAsia"/>
      </w:rPr>
    </w:lvl>
    <w:lvl w:ilvl="3" w:tentative="0">
      <w:start w:val="1"/>
      <w:numFmt w:val="decimal"/>
      <w:lvlText w:val="%4."/>
      <w:lvlJc w:val="left"/>
      <w:pPr>
        <w:tabs>
          <w:tab w:val="left" w:pos="560"/>
        </w:tabs>
        <w:ind w:left="544" w:hanging="544"/>
      </w:pPr>
      <w:rPr>
        <w:rFonts w:hint="eastAsia"/>
      </w:rPr>
    </w:lvl>
    <w:lvl w:ilvl="4" w:tentative="0">
      <w:start w:val="1"/>
      <w:numFmt w:val="lowerLetter"/>
      <w:lvlText w:val="%5)"/>
      <w:lvlJc w:val="left"/>
      <w:pPr>
        <w:tabs>
          <w:tab w:val="left" w:pos="588"/>
        </w:tabs>
        <w:ind w:left="544" w:hanging="544"/>
      </w:pPr>
      <w:rPr>
        <w:rFonts w:hint="eastAsia"/>
      </w:rPr>
    </w:lvl>
    <w:lvl w:ilvl="5" w:tentative="0">
      <w:start w:val="1"/>
      <w:numFmt w:val="lowerRoman"/>
      <w:lvlText w:val="%6."/>
      <w:lvlJc w:val="right"/>
      <w:pPr>
        <w:tabs>
          <w:tab w:val="left" w:pos="616"/>
        </w:tabs>
        <w:ind w:left="544" w:hanging="544"/>
      </w:pPr>
      <w:rPr>
        <w:rFonts w:hint="eastAsia"/>
      </w:rPr>
    </w:lvl>
    <w:lvl w:ilvl="6" w:tentative="0">
      <w:start w:val="1"/>
      <w:numFmt w:val="decimal"/>
      <w:lvlText w:val="%7."/>
      <w:lvlJc w:val="left"/>
      <w:pPr>
        <w:tabs>
          <w:tab w:val="left" w:pos="644"/>
        </w:tabs>
        <w:ind w:left="544" w:hanging="544"/>
      </w:pPr>
      <w:rPr>
        <w:rFonts w:hint="eastAsia"/>
      </w:rPr>
    </w:lvl>
    <w:lvl w:ilvl="7" w:tentative="0">
      <w:start w:val="1"/>
      <w:numFmt w:val="lowerLetter"/>
      <w:lvlText w:val="%8)"/>
      <w:lvlJc w:val="left"/>
      <w:pPr>
        <w:tabs>
          <w:tab w:val="left" w:pos="672"/>
        </w:tabs>
        <w:ind w:left="544" w:hanging="544"/>
      </w:pPr>
      <w:rPr>
        <w:rFonts w:hint="eastAsia"/>
      </w:rPr>
    </w:lvl>
    <w:lvl w:ilvl="8" w:tentative="0">
      <w:start w:val="1"/>
      <w:numFmt w:val="lowerRoman"/>
      <w:lvlText w:val="%9."/>
      <w:lvlJc w:val="right"/>
      <w:pPr>
        <w:tabs>
          <w:tab w:val="left" w:pos="700"/>
        </w:tabs>
        <w:ind w:left="544" w:hanging="544"/>
      </w:pPr>
      <w:rPr>
        <w:rFonts w:hint="eastAsia"/>
      </w:rPr>
    </w:lvl>
  </w:abstractNum>
  <w:abstractNum w:abstractNumId="5">
    <w:nsid w:val="44C50F90"/>
    <w:multiLevelType w:val="multilevel"/>
    <w:tmpl w:val="44C50F90"/>
    <w:lvl w:ilvl="0" w:tentative="0">
      <w:start w:val="1"/>
      <w:numFmt w:val="lowerLetter"/>
      <w:pStyle w:val="180"/>
      <w:lvlText w:val="%1)"/>
      <w:lvlJc w:val="left"/>
      <w:pPr>
        <w:tabs>
          <w:tab w:val="left" w:pos="840"/>
        </w:tabs>
        <w:ind w:left="839" w:hanging="419"/>
      </w:pPr>
      <w:rPr>
        <w:rFonts w:hint="eastAsia" w:ascii="宋体" w:eastAsia="宋体"/>
        <w:b w:val="0"/>
        <w:i w:val="0"/>
        <w:sz w:val="21"/>
        <w:szCs w:val="21"/>
      </w:rPr>
    </w:lvl>
    <w:lvl w:ilvl="1" w:tentative="0">
      <w:start w:val="1"/>
      <w:numFmt w:val="decimal"/>
      <w:pStyle w:val="116"/>
      <w:lvlText w:val="%2)"/>
      <w:lvlJc w:val="left"/>
      <w:pPr>
        <w:tabs>
          <w:tab w:val="left" w:pos="1260"/>
        </w:tabs>
        <w:ind w:left="1259" w:hanging="419"/>
      </w:pPr>
      <w:rPr>
        <w:rFonts w:hint="eastAsia"/>
      </w:rPr>
    </w:lvl>
    <w:lvl w:ilvl="2" w:tentative="0">
      <w:start w:val="1"/>
      <w:numFmt w:val="decimal"/>
      <w:pStyle w:val="134"/>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6">
    <w:nsid w:val="48802D1C"/>
    <w:multiLevelType w:val="multilevel"/>
    <w:tmpl w:val="48802D1C"/>
    <w:lvl w:ilvl="0" w:tentative="0">
      <w:start w:val="1"/>
      <w:numFmt w:val="upperLetter"/>
      <w:pStyle w:val="183"/>
      <w:lvlText w:val="%1"/>
      <w:lvlJc w:val="left"/>
      <w:pPr>
        <w:ind w:left="420" w:hanging="420"/>
      </w:pPr>
      <w:rPr>
        <w:rFonts w:hint="eastAsia"/>
      </w:rPr>
    </w:lvl>
    <w:lvl w:ilvl="1" w:tentative="0">
      <w:start w:val="1"/>
      <w:numFmt w:val="decimal"/>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7">
    <w:nsid w:val="557C2AF5"/>
    <w:multiLevelType w:val="multilevel"/>
    <w:tmpl w:val="557C2AF5"/>
    <w:lvl w:ilvl="0" w:tentative="0">
      <w:start w:val="1"/>
      <w:numFmt w:val="decimal"/>
      <w:pStyle w:val="174"/>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8">
    <w:nsid w:val="5603797C"/>
    <w:multiLevelType w:val="multilevel"/>
    <w:tmpl w:val="5603797C"/>
    <w:lvl w:ilvl="0" w:tentative="0">
      <w:start w:val="1"/>
      <w:numFmt w:val="upperLetter"/>
      <w:pStyle w:val="184"/>
      <w:suff w:val="space"/>
      <w:lvlText w:val="%1"/>
      <w:lvlJc w:val="left"/>
      <w:pPr>
        <w:ind w:left="425" w:hanging="425"/>
      </w:pPr>
      <w:rPr>
        <w:rFonts w:hint="eastAsia"/>
      </w:rPr>
    </w:lvl>
    <w:lvl w:ilvl="1" w:tentative="0">
      <w:start w:val="1"/>
      <w:numFmt w:val="decimal"/>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9">
    <w:nsid w:val="60B55DC2"/>
    <w:multiLevelType w:val="multilevel"/>
    <w:tmpl w:val="60B55DC2"/>
    <w:lvl w:ilvl="0" w:tentative="0">
      <w:start w:val="1"/>
      <w:numFmt w:val="upperLetter"/>
      <w:pStyle w:val="156"/>
      <w:lvlText w:val="%1"/>
      <w:lvlJc w:val="left"/>
      <w:pPr>
        <w:tabs>
          <w:tab w:val="left" w:pos="0"/>
        </w:tabs>
        <w:ind w:left="0" w:hanging="425"/>
      </w:pPr>
      <w:rPr>
        <w:rFonts w:hint="eastAsia"/>
      </w:rPr>
    </w:lvl>
    <w:lvl w:ilvl="1" w:tentative="0">
      <w:start w:val="1"/>
      <w:numFmt w:val="decimal"/>
      <w:pStyle w:val="101"/>
      <w:suff w:val="nothing"/>
      <w:lvlText w:val="表%2　"/>
      <w:lvlJc w:val="left"/>
      <w:pPr>
        <w:ind w:left="567" w:hanging="567"/>
      </w:pPr>
      <w:rPr>
        <w:rFonts w:hint="eastAsia" w:ascii="黑体" w:hAnsi="黑体" w:eastAsia="黑体"/>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10">
    <w:nsid w:val="646260FA"/>
    <w:multiLevelType w:val="multilevel"/>
    <w:tmpl w:val="646260FA"/>
    <w:lvl w:ilvl="0" w:tentative="0">
      <w:start w:val="1"/>
      <w:numFmt w:val="decimal"/>
      <w:pStyle w:val="176"/>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1">
    <w:nsid w:val="657D3FBC"/>
    <w:multiLevelType w:val="multilevel"/>
    <w:tmpl w:val="657D3FBC"/>
    <w:lvl w:ilvl="0" w:tentative="0">
      <w:start w:val="1"/>
      <w:numFmt w:val="upperLetter"/>
      <w:pStyle w:val="185"/>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86"/>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187"/>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2">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pStyle w:val="173"/>
      <w:suff w:val="nothing"/>
      <w:lvlText w:val="%1%2　"/>
      <w:lvlJc w:val="left"/>
      <w:pPr>
        <w:ind w:left="0" w:firstLine="0"/>
      </w:pPr>
      <w:rPr>
        <w:rFonts w:hint="eastAsia" w:ascii="黑体" w:eastAsia="黑体"/>
        <w:b w:val="0"/>
        <w:i w:val="0"/>
        <w:sz w:val="21"/>
      </w:rPr>
    </w:lvl>
    <w:lvl w:ilvl="2" w:tentative="0">
      <w:start w:val="1"/>
      <w:numFmt w:val="decimal"/>
      <w:pStyle w:val="172"/>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175"/>
      <w:suff w:val="nothing"/>
      <w:lvlText w:val="%1%2.%3.%4　"/>
      <w:lvlJc w:val="left"/>
      <w:pPr>
        <w:ind w:left="0" w:firstLine="0"/>
      </w:pPr>
      <w:rPr>
        <w:rFonts w:hint="eastAsia" w:ascii="黑体" w:eastAsia="黑体"/>
        <w:b w:val="0"/>
        <w:i w:val="0"/>
        <w:sz w:val="21"/>
      </w:rPr>
    </w:lvl>
    <w:lvl w:ilvl="4" w:tentative="0">
      <w:start w:val="1"/>
      <w:numFmt w:val="decimal"/>
      <w:pStyle w:val="178"/>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3">
    <w:nsid w:val="6D6C07CD"/>
    <w:multiLevelType w:val="multilevel"/>
    <w:tmpl w:val="6D6C07CD"/>
    <w:lvl w:ilvl="0" w:tentative="0">
      <w:start w:val="1"/>
      <w:numFmt w:val="lowerLetter"/>
      <w:pStyle w:val="133"/>
      <w:lvlText w:val="%1)"/>
      <w:lvlJc w:val="left"/>
      <w:pPr>
        <w:tabs>
          <w:tab w:val="left" w:pos="839"/>
        </w:tabs>
        <w:ind w:left="839" w:hanging="419"/>
      </w:pPr>
      <w:rPr>
        <w:rFonts w:hint="eastAsia" w:ascii="宋体" w:eastAsia="宋体"/>
        <w:b w:val="0"/>
        <w:i w:val="0"/>
        <w:sz w:val="21"/>
      </w:rPr>
    </w:lvl>
    <w:lvl w:ilvl="1" w:tentative="0">
      <w:start w:val="1"/>
      <w:numFmt w:val="decimal"/>
      <w:pStyle w:val="89"/>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num w:numId="1">
    <w:abstractNumId w:val="4"/>
  </w:num>
  <w:num w:numId="2">
    <w:abstractNumId w:val="1"/>
  </w:num>
  <w:num w:numId="3">
    <w:abstractNumId w:val="11"/>
  </w:num>
  <w:num w:numId="4">
    <w:abstractNumId w:val="13"/>
  </w:num>
  <w:num w:numId="5">
    <w:abstractNumId w:val="2"/>
  </w:num>
  <w:num w:numId="6">
    <w:abstractNumId w:val="9"/>
  </w:num>
  <w:num w:numId="7">
    <w:abstractNumId w:val="0"/>
  </w:num>
  <w:num w:numId="8">
    <w:abstractNumId w:val="3"/>
  </w:num>
  <w:num w:numId="9">
    <w:abstractNumId w:val="5"/>
  </w:num>
  <w:num w:numId="10">
    <w:abstractNumId w:val="12"/>
  </w:num>
  <w:num w:numId="11">
    <w:abstractNumId w:val="7"/>
  </w:num>
  <w:num w:numId="12">
    <w:abstractNumId w:val="10"/>
  </w:num>
  <w:num w:numId="13">
    <w:abstractNumId w:val="6"/>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removePersonalInformation/>
  <w:mirrorMargins w:val="1"/>
  <w:bordersDoNotSurroundHeader w:val="0"/>
  <w:bordersDoNotSurroundFooter w:val="0"/>
  <w:attachedTemplate r:id="rId1"/>
  <w:documentProtection w:edit="forms"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cxMjU0YWRiNjhmNzkyNDkwNmUzZWY0ZjhkYmVlMzgifQ=="/>
  </w:docVars>
  <w:rsids>
    <w:rsidRoot w:val="00650531"/>
    <w:rsid w:val="00000244"/>
    <w:rsid w:val="0000025A"/>
    <w:rsid w:val="0000185F"/>
    <w:rsid w:val="00002107"/>
    <w:rsid w:val="00002850"/>
    <w:rsid w:val="00002B97"/>
    <w:rsid w:val="000052B7"/>
    <w:rsid w:val="0000586F"/>
    <w:rsid w:val="00007D7C"/>
    <w:rsid w:val="00012C3B"/>
    <w:rsid w:val="00013D86"/>
    <w:rsid w:val="00013E02"/>
    <w:rsid w:val="00015AE6"/>
    <w:rsid w:val="00015CA4"/>
    <w:rsid w:val="00015F29"/>
    <w:rsid w:val="000175E9"/>
    <w:rsid w:val="000176B7"/>
    <w:rsid w:val="0001793A"/>
    <w:rsid w:val="00020A3F"/>
    <w:rsid w:val="00020A9D"/>
    <w:rsid w:val="0002143C"/>
    <w:rsid w:val="00025A65"/>
    <w:rsid w:val="00026A04"/>
    <w:rsid w:val="00026C31"/>
    <w:rsid w:val="00027280"/>
    <w:rsid w:val="000279F7"/>
    <w:rsid w:val="000279F8"/>
    <w:rsid w:val="000304E5"/>
    <w:rsid w:val="000320A7"/>
    <w:rsid w:val="0003245E"/>
    <w:rsid w:val="00033866"/>
    <w:rsid w:val="0003552A"/>
    <w:rsid w:val="00035925"/>
    <w:rsid w:val="00035AB8"/>
    <w:rsid w:val="000379F1"/>
    <w:rsid w:val="00037C56"/>
    <w:rsid w:val="00041631"/>
    <w:rsid w:val="00042604"/>
    <w:rsid w:val="00043436"/>
    <w:rsid w:val="000441C8"/>
    <w:rsid w:val="000448A3"/>
    <w:rsid w:val="00045A75"/>
    <w:rsid w:val="00045D3D"/>
    <w:rsid w:val="00050981"/>
    <w:rsid w:val="00052269"/>
    <w:rsid w:val="0005289F"/>
    <w:rsid w:val="00053C4C"/>
    <w:rsid w:val="00060F13"/>
    <w:rsid w:val="00063025"/>
    <w:rsid w:val="000639FB"/>
    <w:rsid w:val="00063D96"/>
    <w:rsid w:val="0006463B"/>
    <w:rsid w:val="0006607A"/>
    <w:rsid w:val="000668CD"/>
    <w:rsid w:val="00067CDF"/>
    <w:rsid w:val="00067EE6"/>
    <w:rsid w:val="00070DC6"/>
    <w:rsid w:val="0007478A"/>
    <w:rsid w:val="00074E8D"/>
    <w:rsid w:val="00074FBE"/>
    <w:rsid w:val="000751BE"/>
    <w:rsid w:val="0007721B"/>
    <w:rsid w:val="00080341"/>
    <w:rsid w:val="00080E20"/>
    <w:rsid w:val="00081147"/>
    <w:rsid w:val="000829D3"/>
    <w:rsid w:val="00083A09"/>
    <w:rsid w:val="0009005E"/>
    <w:rsid w:val="00092279"/>
    <w:rsid w:val="00092857"/>
    <w:rsid w:val="0009356C"/>
    <w:rsid w:val="0009418F"/>
    <w:rsid w:val="00094E9F"/>
    <w:rsid w:val="00095847"/>
    <w:rsid w:val="00095B64"/>
    <w:rsid w:val="000A0D49"/>
    <w:rsid w:val="000A20A9"/>
    <w:rsid w:val="000A2D22"/>
    <w:rsid w:val="000A41C8"/>
    <w:rsid w:val="000A43C5"/>
    <w:rsid w:val="000A48B1"/>
    <w:rsid w:val="000A5F06"/>
    <w:rsid w:val="000A702D"/>
    <w:rsid w:val="000B0B86"/>
    <w:rsid w:val="000B106B"/>
    <w:rsid w:val="000B3143"/>
    <w:rsid w:val="000B549C"/>
    <w:rsid w:val="000B7DEB"/>
    <w:rsid w:val="000C06A4"/>
    <w:rsid w:val="000C1F22"/>
    <w:rsid w:val="000C3B93"/>
    <w:rsid w:val="000C4E74"/>
    <w:rsid w:val="000C5779"/>
    <w:rsid w:val="000C5CA7"/>
    <w:rsid w:val="000C5E20"/>
    <w:rsid w:val="000C6B05"/>
    <w:rsid w:val="000C6DD6"/>
    <w:rsid w:val="000C73D4"/>
    <w:rsid w:val="000C7984"/>
    <w:rsid w:val="000D150A"/>
    <w:rsid w:val="000D246C"/>
    <w:rsid w:val="000D3954"/>
    <w:rsid w:val="000D3B28"/>
    <w:rsid w:val="000D3D4C"/>
    <w:rsid w:val="000D4178"/>
    <w:rsid w:val="000D4B6E"/>
    <w:rsid w:val="000D4F51"/>
    <w:rsid w:val="000D718B"/>
    <w:rsid w:val="000D7B1A"/>
    <w:rsid w:val="000E0C46"/>
    <w:rsid w:val="000E1EBF"/>
    <w:rsid w:val="000E415C"/>
    <w:rsid w:val="000E464D"/>
    <w:rsid w:val="000F006D"/>
    <w:rsid w:val="000F030C"/>
    <w:rsid w:val="000F129C"/>
    <w:rsid w:val="000F17C1"/>
    <w:rsid w:val="000F33DC"/>
    <w:rsid w:val="000F4C84"/>
    <w:rsid w:val="000F507E"/>
    <w:rsid w:val="000F6C87"/>
    <w:rsid w:val="0010304E"/>
    <w:rsid w:val="00103C89"/>
    <w:rsid w:val="00103DF0"/>
    <w:rsid w:val="001043FC"/>
    <w:rsid w:val="001056DE"/>
    <w:rsid w:val="001066DA"/>
    <w:rsid w:val="00106CBC"/>
    <w:rsid w:val="00110AC8"/>
    <w:rsid w:val="00111A09"/>
    <w:rsid w:val="001124C0"/>
    <w:rsid w:val="001145D6"/>
    <w:rsid w:val="001200A5"/>
    <w:rsid w:val="00120EB4"/>
    <w:rsid w:val="00122251"/>
    <w:rsid w:val="00122D03"/>
    <w:rsid w:val="001232AA"/>
    <w:rsid w:val="00125B8A"/>
    <w:rsid w:val="00125BB5"/>
    <w:rsid w:val="0012762D"/>
    <w:rsid w:val="00130143"/>
    <w:rsid w:val="00130BAB"/>
    <w:rsid w:val="00130F07"/>
    <w:rsid w:val="001314DC"/>
    <w:rsid w:val="0013175F"/>
    <w:rsid w:val="001344C6"/>
    <w:rsid w:val="00141AE5"/>
    <w:rsid w:val="00147123"/>
    <w:rsid w:val="001471B4"/>
    <w:rsid w:val="001478CE"/>
    <w:rsid w:val="00150BFB"/>
    <w:rsid w:val="00150F07"/>
    <w:rsid w:val="0015106A"/>
    <w:rsid w:val="001512B4"/>
    <w:rsid w:val="00151693"/>
    <w:rsid w:val="001572E0"/>
    <w:rsid w:val="00160DAF"/>
    <w:rsid w:val="00161A7E"/>
    <w:rsid w:val="001620A5"/>
    <w:rsid w:val="00163C5D"/>
    <w:rsid w:val="0016446D"/>
    <w:rsid w:val="00164E53"/>
    <w:rsid w:val="0016699D"/>
    <w:rsid w:val="00167A1C"/>
    <w:rsid w:val="00171C0C"/>
    <w:rsid w:val="00172A27"/>
    <w:rsid w:val="00172DF4"/>
    <w:rsid w:val="00175159"/>
    <w:rsid w:val="00175719"/>
    <w:rsid w:val="00176208"/>
    <w:rsid w:val="00176C60"/>
    <w:rsid w:val="00180419"/>
    <w:rsid w:val="00181C3A"/>
    <w:rsid w:val="0018211B"/>
    <w:rsid w:val="001821AB"/>
    <w:rsid w:val="00182509"/>
    <w:rsid w:val="001840D3"/>
    <w:rsid w:val="00184F4C"/>
    <w:rsid w:val="00185101"/>
    <w:rsid w:val="0018584D"/>
    <w:rsid w:val="00185CC3"/>
    <w:rsid w:val="0018642C"/>
    <w:rsid w:val="001872EC"/>
    <w:rsid w:val="001900F8"/>
    <w:rsid w:val="00191258"/>
    <w:rsid w:val="00191812"/>
    <w:rsid w:val="00192680"/>
    <w:rsid w:val="00193037"/>
    <w:rsid w:val="00193A2C"/>
    <w:rsid w:val="00196702"/>
    <w:rsid w:val="001974DE"/>
    <w:rsid w:val="001A03CD"/>
    <w:rsid w:val="001A2132"/>
    <w:rsid w:val="001A225D"/>
    <w:rsid w:val="001A288E"/>
    <w:rsid w:val="001A2B90"/>
    <w:rsid w:val="001A2DB3"/>
    <w:rsid w:val="001A2DE1"/>
    <w:rsid w:val="001A3487"/>
    <w:rsid w:val="001A354D"/>
    <w:rsid w:val="001A4823"/>
    <w:rsid w:val="001A5062"/>
    <w:rsid w:val="001B4DE0"/>
    <w:rsid w:val="001B5EB5"/>
    <w:rsid w:val="001B6DC2"/>
    <w:rsid w:val="001C04CF"/>
    <w:rsid w:val="001C11C2"/>
    <w:rsid w:val="001C149C"/>
    <w:rsid w:val="001C1FF6"/>
    <w:rsid w:val="001C21AC"/>
    <w:rsid w:val="001C47BA"/>
    <w:rsid w:val="001C49CC"/>
    <w:rsid w:val="001C59EA"/>
    <w:rsid w:val="001C60E4"/>
    <w:rsid w:val="001C6560"/>
    <w:rsid w:val="001C7733"/>
    <w:rsid w:val="001D11DE"/>
    <w:rsid w:val="001D1E0D"/>
    <w:rsid w:val="001D273A"/>
    <w:rsid w:val="001D406C"/>
    <w:rsid w:val="001D41EE"/>
    <w:rsid w:val="001D4C0A"/>
    <w:rsid w:val="001D6B07"/>
    <w:rsid w:val="001D6E82"/>
    <w:rsid w:val="001E0380"/>
    <w:rsid w:val="001E13B1"/>
    <w:rsid w:val="001E1485"/>
    <w:rsid w:val="001E2EFE"/>
    <w:rsid w:val="001E2F5C"/>
    <w:rsid w:val="001E3DDA"/>
    <w:rsid w:val="001E3F91"/>
    <w:rsid w:val="001E4057"/>
    <w:rsid w:val="001E571C"/>
    <w:rsid w:val="001E5A30"/>
    <w:rsid w:val="001E6979"/>
    <w:rsid w:val="001E7BF0"/>
    <w:rsid w:val="001F2F84"/>
    <w:rsid w:val="001F3A19"/>
    <w:rsid w:val="001F429C"/>
    <w:rsid w:val="001F46AC"/>
    <w:rsid w:val="001F6610"/>
    <w:rsid w:val="001F6B7F"/>
    <w:rsid w:val="0020036A"/>
    <w:rsid w:val="002011BD"/>
    <w:rsid w:val="00203F2B"/>
    <w:rsid w:val="002116E3"/>
    <w:rsid w:val="00212ECA"/>
    <w:rsid w:val="002147FD"/>
    <w:rsid w:val="0021704E"/>
    <w:rsid w:val="00217ADE"/>
    <w:rsid w:val="00217BC8"/>
    <w:rsid w:val="002209B0"/>
    <w:rsid w:val="00220BD0"/>
    <w:rsid w:val="002211F6"/>
    <w:rsid w:val="002219C8"/>
    <w:rsid w:val="00224A0A"/>
    <w:rsid w:val="002273F7"/>
    <w:rsid w:val="0023133F"/>
    <w:rsid w:val="0023165D"/>
    <w:rsid w:val="00231C75"/>
    <w:rsid w:val="0023207A"/>
    <w:rsid w:val="002320AB"/>
    <w:rsid w:val="00233492"/>
    <w:rsid w:val="00234467"/>
    <w:rsid w:val="00234F62"/>
    <w:rsid w:val="00234FAC"/>
    <w:rsid w:val="0023711B"/>
    <w:rsid w:val="00237D8D"/>
    <w:rsid w:val="00240FC0"/>
    <w:rsid w:val="00241D8F"/>
    <w:rsid w:val="00241DA2"/>
    <w:rsid w:val="0024650C"/>
    <w:rsid w:val="00246B91"/>
    <w:rsid w:val="00247B25"/>
    <w:rsid w:val="00247B8A"/>
    <w:rsid w:val="00247FEE"/>
    <w:rsid w:val="00250E7D"/>
    <w:rsid w:val="00251629"/>
    <w:rsid w:val="00252CAF"/>
    <w:rsid w:val="002555F4"/>
    <w:rsid w:val="002565D5"/>
    <w:rsid w:val="002565FA"/>
    <w:rsid w:val="00257054"/>
    <w:rsid w:val="00257E82"/>
    <w:rsid w:val="002608E9"/>
    <w:rsid w:val="002611EE"/>
    <w:rsid w:val="002622C0"/>
    <w:rsid w:val="002638DE"/>
    <w:rsid w:val="0026748A"/>
    <w:rsid w:val="002677DC"/>
    <w:rsid w:val="002678FE"/>
    <w:rsid w:val="00267FE9"/>
    <w:rsid w:val="002707DD"/>
    <w:rsid w:val="00272DEF"/>
    <w:rsid w:val="00273FF4"/>
    <w:rsid w:val="0027482F"/>
    <w:rsid w:val="002771AF"/>
    <w:rsid w:val="00277325"/>
    <w:rsid w:val="002778AE"/>
    <w:rsid w:val="00280980"/>
    <w:rsid w:val="0028269A"/>
    <w:rsid w:val="00282FE5"/>
    <w:rsid w:val="00283590"/>
    <w:rsid w:val="00283F8D"/>
    <w:rsid w:val="00285389"/>
    <w:rsid w:val="00285679"/>
    <w:rsid w:val="00286973"/>
    <w:rsid w:val="00286DE3"/>
    <w:rsid w:val="002870AA"/>
    <w:rsid w:val="0029018A"/>
    <w:rsid w:val="00290950"/>
    <w:rsid w:val="00294E70"/>
    <w:rsid w:val="00295C5E"/>
    <w:rsid w:val="002972F7"/>
    <w:rsid w:val="00297B2C"/>
    <w:rsid w:val="002A147C"/>
    <w:rsid w:val="002A1924"/>
    <w:rsid w:val="002A2FFB"/>
    <w:rsid w:val="002A3218"/>
    <w:rsid w:val="002A3266"/>
    <w:rsid w:val="002A37A1"/>
    <w:rsid w:val="002A48D2"/>
    <w:rsid w:val="002A48F5"/>
    <w:rsid w:val="002A650C"/>
    <w:rsid w:val="002A668C"/>
    <w:rsid w:val="002A692D"/>
    <w:rsid w:val="002A7420"/>
    <w:rsid w:val="002B0DBD"/>
    <w:rsid w:val="002B0F12"/>
    <w:rsid w:val="002B1160"/>
    <w:rsid w:val="002B1308"/>
    <w:rsid w:val="002B1324"/>
    <w:rsid w:val="002B18CF"/>
    <w:rsid w:val="002B1BD9"/>
    <w:rsid w:val="002B4554"/>
    <w:rsid w:val="002B5854"/>
    <w:rsid w:val="002C1421"/>
    <w:rsid w:val="002C2EFC"/>
    <w:rsid w:val="002C30C1"/>
    <w:rsid w:val="002C3242"/>
    <w:rsid w:val="002C3E4D"/>
    <w:rsid w:val="002C4F01"/>
    <w:rsid w:val="002C562D"/>
    <w:rsid w:val="002C72D8"/>
    <w:rsid w:val="002C7B45"/>
    <w:rsid w:val="002C7B7A"/>
    <w:rsid w:val="002C7B87"/>
    <w:rsid w:val="002D01ED"/>
    <w:rsid w:val="002D11FA"/>
    <w:rsid w:val="002D2385"/>
    <w:rsid w:val="002D516F"/>
    <w:rsid w:val="002D67BC"/>
    <w:rsid w:val="002E0DDF"/>
    <w:rsid w:val="002E0EB4"/>
    <w:rsid w:val="002E15B0"/>
    <w:rsid w:val="002E2906"/>
    <w:rsid w:val="002E336B"/>
    <w:rsid w:val="002E5635"/>
    <w:rsid w:val="002E5A29"/>
    <w:rsid w:val="002E5F4E"/>
    <w:rsid w:val="002E64C3"/>
    <w:rsid w:val="002E6A2C"/>
    <w:rsid w:val="002F0216"/>
    <w:rsid w:val="002F1897"/>
    <w:rsid w:val="002F1D8C"/>
    <w:rsid w:val="002F21DA"/>
    <w:rsid w:val="002F6086"/>
    <w:rsid w:val="002F7002"/>
    <w:rsid w:val="002F73E5"/>
    <w:rsid w:val="002F7693"/>
    <w:rsid w:val="002F7889"/>
    <w:rsid w:val="002F7E33"/>
    <w:rsid w:val="003006FC"/>
    <w:rsid w:val="003018DB"/>
    <w:rsid w:val="00301DCC"/>
    <w:rsid w:val="00301F39"/>
    <w:rsid w:val="00303276"/>
    <w:rsid w:val="0030411F"/>
    <w:rsid w:val="003053E1"/>
    <w:rsid w:val="0030542A"/>
    <w:rsid w:val="003067B8"/>
    <w:rsid w:val="003107C1"/>
    <w:rsid w:val="00310BC7"/>
    <w:rsid w:val="003124E9"/>
    <w:rsid w:val="00312C9D"/>
    <w:rsid w:val="00313E64"/>
    <w:rsid w:val="00314B84"/>
    <w:rsid w:val="00316BAD"/>
    <w:rsid w:val="00317009"/>
    <w:rsid w:val="00320AF9"/>
    <w:rsid w:val="00321CF6"/>
    <w:rsid w:val="0032241D"/>
    <w:rsid w:val="0032293F"/>
    <w:rsid w:val="00325135"/>
    <w:rsid w:val="00325926"/>
    <w:rsid w:val="00325952"/>
    <w:rsid w:val="00327A8A"/>
    <w:rsid w:val="00331EA1"/>
    <w:rsid w:val="00332183"/>
    <w:rsid w:val="00333914"/>
    <w:rsid w:val="00334337"/>
    <w:rsid w:val="00335264"/>
    <w:rsid w:val="00336610"/>
    <w:rsid w:val="0033740C"/>
    <w:rsid w:val="003375F9"/>
    <w:rsid w:val="00340599"/>
    <w:rsid w:val="00340C2C"/>
    <w:rsid w:val="003411F3"/>
    <w:rsid w:val="003414DA"/>
    <w:rsid w:val="00343F73"/>
    <w:rsid w:val="00345060"/>
    <w:rsid w:val="00346674"/>
    <w:rsid w:val="003479BF"/>
    <w:rsid w:val="003505EC"/>
    <w:rsid w:val="0035323B"/>
    <w:rsid w:val="003546E5"/>
    <w:rsid w:val="0035624A"/>
    <w:rsid w:val="00356629"/>
    <w:rsid w:val="003609D2"/>
    <w:rsid w:val="003610CC"/>
    <w:rsid w:val="003631DB"/>
    <w:rsid w:val="003631E0"/>
    <w:rsid w:val="00363F22"/>
    <w:rsid w:val="0036424D"/>
    <w:rsid w:val="00364BA1"/>
    <w:rsid w:val="00365C36"/>
    <w:rsid w:val="00367563"/>
    <w:rsid w:val="003676D1"/>
    <w:rsid w:val="00370458"/>
    <w:rsid w:val="003739EF"/>
    <w:rsid w:val="00373B14"/>
    <w:rsid w:val="0037505B"/>
    <w:rsid w:val="00375354"/>
    <w:rsid w:val="00375564"/>
    <w:rsid w:val="00377178"/>
    <w:rsid w:val="00377703"/>
    <w:rsid w:val="00377C75"/>
    <w:rsid w:val="00380F15"/>
    <w:rsid w:val="00380F56"/>
    <w:rsid w:val="00382361"/>
    <w:rsid w:val="00383191"/>
    <w:rsid w:val="00383412"/>
    <w:rsid w:val="00385331"/>
    <w:rsid w:val="00385E94"/>
    <w:rsid w:val="003861D7"/>
    <w:rsid w:val="00386DED"/>
    <w:rsid w:val="0038737D"/>
    <w:rsid w:val="00387848"/>
    <w:rsid w:val="00390EE3"/>
    <w:rsid w:val="003912E7"/>
    <w:rsid w:val="003915FC"/>
    <w:rsid w:val="0039201B"/>
    <w:rsid w:val="00393947"/>
    <w:rsid w:val="00393D09"/>
    <w:rsid w:val="00394E86"/>
    <w:rsid w:val="0039519D"/>
    <w:rsid w:val="003954EB"/>
    <w:rsid w:val="0039600C"/>
    <w:rsid w:val="003960C2"/>
    <w:rsid w:val="00396E95"/>
    <w:rsid w:val="003A0253"/>
    <w:rsid w:val="003A1C86"/>
    <w:rsid w:val="003A2275"/>
    <w:rsid w:val="003A2BEA"/>
    <w:rsid w:val="003A683A"/>
    <w:rsid w:val="003A6A4F"/>
    <w:rsid w:val="003A7088"/>
    <w:rsid w:val="003B00DF"/>
    <w:rsid w:val="003B1275"/>
    <w:rsid w:val="003B1778"/>
    <w:rsid w:val="003B1D1F"/>
    <w:rsid w:val="003B5917"/>
    <w:rsid w:val="003B6377"/>
    <w:rsid w:val="003B665D"/>
    <w:rsid w:val="003B7CEE"/>
    <w:rsid w:val="003B7D6F"/>
    <w:rsid w:val="003C11CB"/>
    <w:rsid w:val="003C1D6A"/>
    <w:rsid w:val="003C23D6"/>
    <w:rsid w:val="003C3114"/>
    <w:rsid w:val="003C5155"/>
    <w:rsid w:val="003C58CD"/>
    <w:rsid w:val="003C5FA6"/>
    <w:rsid w:val="003C6149"/>
    <w:rsid w:val="003C657C"/>
    <w:rsid w:val="003C75F3"/>
    <w:rsid w:val="003C78A3"/>
    <w:rsid w:val="003C7C30"/>
    <w:rsid w:val="003C7E1E"/>
    <w:rsid w:val="003D0A36"/>
    <w:rsid w:val="003D2F52"/>
    <w:rsid w:val="003D4F93"/>
    <w:rsid w:val="003E1234"/>
    <w:rsid w:val="003E1867"/>
    <w:rsid w:val="003E2E53"/>
    <w:rsid w:val="003E3014"/>
    <w:rsid w:val="003E3845"/>
    <w:rsid w:val="003E5729"/>
    <w:rsid w:val="003F0D75"/>
    <w:rsid w:val="003F18F2"/>
    <w:rsid w:val="003F2780"/>
    <w:rsid w:val="003F46E5"/>
    <w:rsid w:val="003F4EE0"/>
    <w:rsid w:val="003F531D"/>
    <w:rsid w:val="003F6955"/>
    <w:rsid w:val="003F7ABD"/>
    <w:rsid w:val="00402153"/>
    <w:rsid w:val="00402418"/>
    <w:rsid w:val="00402F73"/>
    <w:rsid w:val="00402FC1"/>
    <w:rsid w:val="00403C54"/>
    <w:rsid w:val="0040431A"/>
    <w:rsid w:val="0040441B"/>
    <w:rsid w:val="0040513A"/>
    <w:rsid w:val="004106A6"/>
    <w:rsid w:val="00410D96"/>
    <w:rsid w:val="00411DDF"/>
    <w:rsid w:val="00413456"/>
    <w:rsid w:val="0041401B"/>
    <w:rsid w:val="00415591"/>
    <w:rsid w:val="0041736E"/>
    <w:rsid w:val="00420716"/>
    <w:rsid w:val="00425082"/>
    <w:rsid w:val="004263D4"/>
    <w:rsid w:val="00427DCB"/>
    <w:rsid w:val="00430214"/>
    <w:rsid w:val="00430395"/>
    <w:rsid w:val="00431DEB"/>
    <w:rsid w:val="00433DCF"/>
    <w:rsid w:val="0043522F"/>
    <w:rsid w:val="00435D1D"/>
    <w:rsid w:val="00440569"/>
    <w:rsid w:val="00446B29"/>
    <w:rsid w:val="0044747C"/>
    <w:rsid w:val="004504EA"/>
    <w:rsid w:val="00452490"/>
    <w:rsid w:val="00453112"/>
    <w:rsid w:val="0045382F"/>
    <w:rsid w:val="00453F9A"/>
    <w:rsid w:val="00455A8E"/>
    <w:rsid w:val="00456806"/>
    <w:rsid w:val="0045797E"/>
    <w:rsid w:val="00457CF1"/>
    <w:rsid w:val="00460D6D"/>
    <w:rsid w:val="00461F56"/>
    <w:rsid w:val="00462818"/>
    <w:rsid w:val="00463BED"/>
    <w:rsid w:val="00464AFB"/>
    <w:rsid w:val="004655B7"/>
    <w:rsid w:val="004676DD"/>
    <w:rsid w:val="004679DD"/>
    <w:rsid w:val="0047134F"/>
    <w:rsid w:val="00471E91"/>
    <w:rsid w:val="00473D4A"/>
    <w:rsid w:val="00474533"/>
    <w:rsid w:val="00474675"/>
    <w:rsid w:val="0047470C"/>
    <w:rsid w:val="00475C07"/>
    <w:rsid w:val="004763D1"/>
    <w:rsid w:val="00480338"/>
    <w:rsid w:val="00485AAC"/>
    <w:rsid w:val="004860E8"/>
    <w:rsid w:val="004922F9"/>
    <w:rsid w:val="004925B2"/>
    <w:rsid w:val="00493686"/>
    <w:rsid w:val="00494358"/>
    <w:rsid w:val="004962D7"/>
    <w:rsid w:val="0049673E"/>
    <w:rsid w:val="004970ED"/>
    <w:rsid w:val="0049775C"/>
    <w:rsid w:val="00497AE5"/>
    <w:rsid w:val="004A061D"/>
    <w:rsid w:val="004A11F8"/>
    <w:rsid w:val="004A16D1"/>
    <w:rsid w:val="004A1F17"/>
    <w:rsid w:val="004A22D6"/>
    <w:rsid w:val="004A2ED4"/>
    <w:rsid w:val="004A35F9"/>
    <w:rsid w:val="004A4642"/>
    <w:rsid w:val="004A52E0"/>
    <w:rsid w:val="004A5318"/>
    <w:rsid w:val="004A61E7"/>
    <w:rsid w:val="004A6D32"/>
    <w:rsid w:val="004B03A7"/>
    <w:rsid w:val="004B1BA5"/>
    <w:rsid w:val="004B24C1"/>
    <w:rsid w:val="004B4C7B"/>
    <w:rsid w:val="004B5556"/>
    <w:rsid w:val="004B6696"/>
    <w:rsid w:val="004B6781"/>
    <w:rsid w:val="004C0062"/>
    <w:rsid w:val="004C1FA5"/>
    <w:rsid w:val="004C292F"/>
    <w:rsid w:val="004C5D65"/>
    <w:rsid w:val="004C71CB"/>
    <w:rsid w:val="004D124A"/>
    <w:rsid w:val="004D6006"/>
    <w:rsid w:val="004D6FB7"/>
    <w:rsid w:val="004E092D"/>
    <w:rsid w:val="004E1B59"/>
    <w:rsid w:val="004E2580"/>
    <w:rsid w:val="004E27C7"/>
    <w:rsid w:val="004E3B98"/>
    <w:rsid w:val="004E4699"/>
    <w:rsid w:val="004E4DDA"/>
    <w:rsid w:val="004E6843"/>
    <w:rsid w:val="004E6B8B"/>
    <w:rsid w:val="004E7D10"/>
    <w:rsid w:val="004F0A1E"/>
    <w:rsid w:val="004F28FF"/>
    <w:rsid w:val="004F350A"/>
    <w:rsid w:val="004F6E8C"/>
    <w:rsid w:val="004F766A"/>
    <w:rsid w:val="005001F0"/>
    <w:rsid w:val="00500D8B"/>
    <w:rsid w:val="005011B4"/>
    <w:rsid w:val="00503708"/>
    <w:rsid w:val="00503E3A"/>
    <w:rsid w:val="0050612B"/>
    <w:rsid w:val="00506236"/>
    <w:rsid w:val="005064AC"/>
    <w:rsid w:val="00507DF7"/>
    <w:rsid w:val="00510280"/>
    <w:rsid w:val="005128A4"/>
    <w:rsid w:val="005133A5"/>
    <w:rsid w:val="00513D73"/>
    <w:rsid w:val="00514A43"/>
    <w:rsid w:val="0051515E"/>
    <w:rsid w:val="0051529E"/>
    <w:rsid w:val="005172FD"/>
    <w:rsid w:val="005174E5"/>
    <w:rsid w:val="005203E3"/>
    <w:rsid w:val="00522393"/>
    <w:rsid w:val="00522620"/>
    <w:rsid w:val="00522B1E"/>
    <w:rsid w:val="00524877"/>
    <w:rsid w:val="005255AA"/>
    <w:rsid w:val="00525656"/>
    <w:rsid w:val="00527C3A"/>
    <w:rsid w:val="00530968"/>
    <w:rsid w:val="0053191C"/>
    <w:rsid w:val="00532C55"/>
    <w:rsid w:val="00532DC2"/>
    <w:rsid w:val="00534C02"/>
    <w:rsid w:val="005356A8"/>
    <w:rsid w:val="00536542"/>
    <w:rsid w:val="00540CC3"/>
    <w:rsid w:val="005421AF"/>
    <w:rsid w:val="0054253C"/>
    <w:rsid w:val="0054264B"/>
    <w:rsid w:val="005427D4"/>
    <w:rsid w:val="00543786"/>
    <w:rsid w:val="00545238"/>
    <w:rsid w:val="005464A0"/>
    <w:rsid w:val="00551A43"/>
    <w:rsid w:val="00552896"/>
    <w:rsid w:val="00552CAA"/>
    <w:rsid w:val="00552D98"/>
    <w:rsid w:val="005533D7"/>
    <w:rsid w:val="00554845"/>
    <w:rsid w:val="005556A7"/>
    <w:rsid w:val="00555912"/>
    <w:rsid w:val="005575E1"/>
    <w:rsid w:val="00557CAA"/>
    <w:rsid w:val="00560C4C"/>
    <w:rsid w:val="00561802"/>
    <w:rsid w:val="00562505"/>
    <w:rsid w:val="005638DB"/>
    <w:rsid w:val="00564BEC"/>
    <w:rsid w:val="0056716F"/>
    <w:rsid w:val="005703DE"/>
    <w:rsid w:val="005712FF"/>
    <w:rsid w:val="00572C6E"/>
    <w:rsid w:val="00573FA1"/>
    <w:rsid w:val="005754D6"/>
    <w:rsid w:val="00576D53"/>
    <w:rsid w:val="005771D8"/>
    <w:rsid w:val="005774CF"/>
    <w:rsid w:val="00580446"/>
    <w:rsid w:val="00583039"/>
    <w:rsid w:val="0058464E"/>
    <w:rsid w:val="0058611E"/>
    <w:rsid w:val="0058682D"/>
    <w:rsid w:val="005918B4"/>
    <w:rsid w:val="00591B20"/>
    <w:rsid w:val="00591E03"/>
    <w:rsid w:val="00591FA9"/>
    <w:rsid w:val="005933F2"/>
    <w:rsid w:val="00594910"/>
    <w:rsid w:val="00594B80"/>
    <w:rsid w:val="00595BBA"/>
    <w:rsid w:val="00596831"/>
    <w:rsid w:val="00596996"/>
    <w:rsid w:val="005A01CB"/>
    <w:rsid w:val="005A2542"/>
    <w:rsid w:val="005A2898"/>
    <w:rsid w:val="005A343C"/>
    <w:rsid w:val="005A37E1"/>
    <w:rsid w:val="005A40C0"/>
    <w:rsid w:val="005A4A08"/>
    <w:rsid w:val="005A58B8"/>
    <w:rsid w:val="005A58FF"/>
    <w:rsid w:val="005A5EAF"/>
    <w:rsid w:val="005A64C0"/>
    <w:rsid w:val="005A7408"/>
    <w:rsid w:val="005A761A"/>
    <w:rsid w:val="005B22DC"/>
    <w:rsid w:val="005B2998"/>
    <w:rsid w:val="005B3C11"/>
    <w:rsid w:val="005B3C25"/>
    <w:rsid w:val="005B3E04"/>
    <w:rsid w:val="005B4C1C"/>
    <w:rsid w:val="005B5393"/>
    <w:rsid w:val="005B5C1C"/>
    <w:rsid w:val="005B5D5F"/>
    <w:rsid w:val="005B64E6"/>
    <w:rsid w:val="005C04BA"/>
    <w:rsid w:val="005C1106"/>
    <w:rsid w:val="005C1C28"/>
    <w:rsid w:val="005C4C6B"/>
    <w:rsid w:val="005C6DB5"/>
    <w:rsid w:val="005C6DC0"/>
    <w:rsid w:val="005C6E38"/>
    <w:rsid w:val="005D43BD"/>
    <w:rsid w:val="005D4493"/>
    <w:rsid w:val="005D6BB0"/>
    <w:rsid w:val="005D6F4D"/>
    <w:rsid w:val="005D7589"/>
    <w:rsid w:val="005D77E7"/>
    <w:rsid w:val="005E003C"/>
    <w:rsid w:val="005E088D"/>
    <w:rsid w:val="005E11F5"/>
    <w:rsid w:val="005E19B9"/>
    <w:rsid w:val="005E19E7"/>
    <w:rsid w:val="005E1D67"/>
    <w:rsid w:val="005E1DEB"/>
    <w:rsid w:val="005E77CF"/>
    <w:rsid w:val="005F171C"/>
    <w:rsid w:val="005F2BF3"/>
    <w:rsid w:val="005F31C0"/>
    <w:rsid w:val="005F3950"/>
    <w:rsid w:val="005F4D13"/>
    <w:rsid w:val="006010F0"/>
    <w:rsid w:val="00601B16"/>
    <w:rsid w:val="00602232"/>
    <w:rsid w:val="0060236A"/>
    <w:rsid w:val="00602B0F"/>
    <w:rsid w:val="00603AAD"/>
    <w:rsid w:val="00603CDD"/>
    <w:rsid w:val="0060408D"/>
    <w:rsid w:val="006048D3"/>
    <w:rsid w:val="00605229"/>
    <w:rsid w:val="006072F5"/>
    <w:rsid w:val="00614042"/>
    <w:rsid w:val="00614918"/>
    <w:rsid w:val="0061545E"/>
    <w:rsid w:val="0061716C"/>
    <w:rsid w:val="00617380"/>
    <w:rsid w:val="00621138"/>
    <w:rsid w:val="00621392"/>
    <w:rsid w:val="0062238C"/>
    <w:rsid w:val="006225FE"/>
    <w:rsid w:val="00622ADC"/>
    <w:rsid w:val="006243A1"/>
    <w:rsid w:val="006243EE"/>
    <w:rsid w:val="006265D9"/>
    <w:rsid w:val="0063140B"/>
    <w:rsid w:val="0063264E"/>
    <w:rsid w:val="00632E56"/>
    <w:rsid w:val="00633210"/>
    <w:rsid w:val="006334B3"/>
    <w:rsid w:val="00635CBA"/>
    <w:rsid w:val="006400A3"/>
    <w:rsid w:val="00641374"/>
    <w:rsid w:val="00642991"/>
    <w:rsid w:val="006432F2"/>
    <w:rsid w:val="0064338B"/>
    <w:rsid w:val="006433D0"/>
    <w:rsid w:val="006457E1"/>
    <w:rsid w:val="00646542"/>
    <w:rsid w:val="006504F4"/>
    <w:rsid w:val="00650531"/>
    <w:rsid w:val="00651A84"/>
    <w:rsid w:val="00654BC9"/>
    <w:rsid w:val="006552FD"/>
    <w:rsid w:val="0065746A"/>
    <w:rsid w:val="0066121F"/>
    <w:rsid w:val="00661B4A"/>
    <w:rsid w:val="00662173"/>
    <w:rsid w:val="00663AF3"/>
    <w:rsid w:val="00664E31"/>
    <w:rsid w:val="00666B6C"/>
    <w:rsid w:val="00667A98"/>
    <w:rsid w:val="0067124A"/>
    <w:rsid w:val="00672055"/>
    <w:rsid w:val="006721B9"/>
    <w:rsid w:val="00672E55"/>
    <w:rsid w:val="00673ACC"/>
    <w:rsid w:val="00674483"/>
    <w:rsid w:val="00674C6B"/>
    <w:rsid w:val="00674EF6"/>
    <w:rsid w:val="006752E2"/>
    <w:rsid w:val="006761F5"/>
    <w:rsid w:val="006765E4"/>
    <w:rsid w:val="00680A7D"/>
    <w:rsid w:val="0068184B"/>
    <w:rsid w:val="00682682"/>
    <w:rsid w:val="00682702"/>
    <w:rsid w:val="006855A7"/>
    <w:rsid w:val="006858C3"/>
    <w:rsid w:val="00685F70"/>
    <w:rsid w:val="00687143"/>
    <w:rsid w:val="00687F08"/>
    <w:rsid w:val="00692368"/>
    <w:rsid w:val="00693427"/>
    <w:rsid w:val="00694FFA"/>
    <w:rsid w:val="006975EB"/>
    <w:rsid w:val="006A0311"/>
    <w:rsid w:val="006A07AC"/>
    <w:rsid w:val="006A0ABC"/>
    <w:rsid w:val="006A2EBC"/>
    <w:rsid w:val="006A461B"/>
    <w:rsid w:val="006A5EA0"/>
    <w:rsid w:val="006A5FDA"/>
    <w:rsid w:val="006A67C7"/>
    <w:rsid w:val="006A783B"/>
    <w:rsid w:val="006A7B33"/>
    <w:rsid w:val="006B12AD"/>
    <w:rsid w:val="006B32BF"/>
    <w:rsid w:val="006B3DF0"/>
    <w:rsid w:val="006B4E13"/>
    <w:rsid w:val="006B6273"/>
    <w:rsid w:val="006B7483"/>
    <w:rsid w:val="006B75DD"/>
    <w:rsid w:val="006C2DC2"/>
    <w:rsid w:val="006C318F"/>
    <w:rsid w:val="006C46E4"/>
    <w:rsid w:val="006C508D"/>
    <w:rsid w:val="006C67E0"/>
    <w:rsid w:val="006C6F15"/>
    <w:rsid w:val="006C7ABA"/>
    <w:rsid w:val="006D0CC7"/>
    <w:rsid w:val="006D0D60"/>
    <w:rsid w:val="006D1122"/>
    <w:rsid w:val="006D3C00"/>
    <w:rsid w:val="006D4B45"/>
    <w:rsid w:val="006D4FE2"/>
    <w:rsid w:val="006D5946"/>
    <w:rsid w:val="006D6E00"/>
    <w:rsid w:val="006E0766"/>
    <w:rsid w:val="006E22D9"/>
    <w:rsid w:val="006E2F24"/>
    <w:rsid w:val="006E3003"/>
    <w:rsid w:val="006E3675"/>
    <w:rsid w:val="006E3B64"/>
    <w:rsid w:val="006E3C8C"/>
    <w:rsid w:val="006E4A7F"/>
    <w:rsid w:val="006F0B25"/>
    <w:rsid w:val="006F116A"/>
    <w:rsid w:val="006F159A"/>
    <w:rsid w:val="006F2FA8"/>
    <w:rsid w:val="006F2FC0"/>
    <w:rsid w:val="006F3C41"/>
    <w:rsid w:val="006F55D4"/>
    <w:rsid w:val="006F5861"/>
    <w:rsid w:val="006F7810"/>
    <w:rsid w:val="006F7872"/>
    <w:rsid w:val="0070155B"/>
    <w:rsid w:val="00702E8E"/>
    <w:rsid w:val="00703111"/>
    <w:rsid w:val="00703970"/>
    <w:rsid w:val="00704CEA"/>
    <w:rsid w:val="00704DF6"/>
    <w:rsid w:val="00704E1E"/>
    <w:rsid w:val="0070651C"/>
    <w:rsid w:val="00706A0D"/>
    <w:rsid w:val="00711888"/>
    <w:rsid w:val="007118A4"/>
    <w:rsid w:val="007127B6"/>
    <w:rsid w:val="007132A3"/>
    <w:rsid w:val="00714A12"/>
    <w:rsid w:val="00714D75"/>
    <w:rsid w:val="00716421"/>
    <w:rsid w:val="0071652E"/>
    <w:rsid w:val="0071679C"/>
    <w:rsid w:val="00716C76"/>
    <w:rsid w:val="00717771"/>
    <w:rsid w:val="00717AFE"/>
    <w:rsid w:val="0072028A"/>
    <w:rsid w:val="007226D8"/>
    <w:rsid w:val="00722A9D"/>
    <w:rsid w:val="00724EFB"/>
    <w:rsid w:val="00725387"/>
    <w:rsid w:val="00725D63"/>
    <w:rsid w:val="007265C6"/>
    <w:rsid w:val="007325BC"/>
    <w:rsid w:val="00733E6C"/>
    <w:rsid w:val="00736440"/>
    <w:rsid w:val="00736E8A"/>
    <w:rsid w:val="0074065C"/>
    <w:rsid w:val="00741451"/>
    <w:rsid w:val="007419C3"/>
    <w:rsid w:val="00742D30"/>
    <w:rsid w:val="007467A7"/>
    <w:rsid w:val="007469DD"/>
    <w:rsid w:val="00746B84"/>
    <w:rsid w:val="0074741B"/>
    <w:rsid w:val="0074759E"/>
    <w:rsid w:val="007478EA"/>
    <w:rsid w:val="007508AB"/>
    <w:rsid w:val="00750928"/>
    <w:rsid w:val="007525E6"/>
    <w:rsid w:val="0075415C"/>
    <w:rsid w:val="007547E0"/>
    <w:rsid w:val="007561FC"/>
    <w:rsid w:val="0076040E"/>
    <w:rsid w:val="0076109F"/>
    <w:rsid w:val="00763502"/>
    <w:rsid w:val="00764224"/>
    <w:rsid w:val="00765DA3"/>
    <w:rsid w:val="0077165C"/>
    <w:rsid w:val="007733C5"/>
    <w:rsid w:val="00774FA6"/>
    <w:rsid w:val="0077637E"/>
    <w:rsid w:val="00776413"/>
    <w:rsid w:val="007778A7"/>
    <w:rsid w:val="00781812"/>
    <w:rsid w:val="00783DC4"/>
    <w:rsid w:val="0078416F"/>
    <w:rsid w:val="00784A07"/>
    <w:rsid w:val="00784EEF"/>
    <w:rsid w:val="00785387"/>
    <w:rsid w:val="0078752D"/>
    <w:rsid w:val="00790E21"/>
    <w:rsid w:val="007913AB"/>
    <w:rsid w:val="007914F7"/>
    <w:rsid w:val="0079291F"/>
    <w:rsid w:val="00792DBD"/>
    <w:rsid w:val="00794478"/>
    <w:rsid w:val="00797161"/>
    <w:rsid w:val="007979FC"/>
    <w:rsid w:val="00797F38"/>
    <w:rsid w:val="007A54A2"/>
    <w:rsid w:val="007A5F32"/>
    <w:rsid w:val="007A7680"/>
    <w:rsid w:val="007A7B30"/>
    <w:rsid w:val="007A7EC0"/>
    <w:rsid w:val="007B0B83"/>
    <w:rsid w:val="007B108D"/>
    <w:rsid w:val="007B1368"/>
    <w:rsid w:val="007B1625"/>
    <w:rsid w:val="007B2431"/>
    <w:rsid w:val="007B35EB"/>
    <w:rsid w:val="007B3732"/>
    <w:rsid w:val="007B6071"/>
    <w:rsid w:val="007B706E"/>
    <w:rsid w:val="007B71EB"/>
    <w:rsid w:val="007C0018"/>
    <w:rsid w:val="007C0C91"/>
    <w:rsid w:val="007C1414"/>
    <w:rsid w:val="007C1E6D"/>
    <w:rsid w:val="007C6205"/>
    <w:rsid w:val="007C686A"/>
    <w:rsid w:val="007C728E"/>
    <w:rsid w:val="007C79CC"/>
    <w:rsid w:val="007D03AE"/>
    <w:rsid w:val="007D211D"/>
    <w:rsid w:val="007D2C53"/>
    <w:rsid w:val="007D351D"/>
    <w:rsid w:val="007D3D60"/>
    <w:rsid w:val="007D3FF5"/>
    <w:rsid w:val="007D4C25"/>
    <w:rsid w:val="007E0058"/>
    <w:rsid w:val="007E0ABC"/>
    <w:rsid w:val="007E18F2"/>
    <w:rsid w:val="007E1980"/>
    <w:rsid w:val="007E24DE"/>
    <w:rsid w:val="007E28A5"/>
    <w:rsid w:val="007E3785"/>
    <w:rsid w:val="007E4B76"/>
    <w:rsid w:val="007E5BD5"/>
    <w:rsid w:val="007E5EA8"/>
    <w:rsid w:val="007F0CF1"/>
    <w:rsid w:val="007F12A5"/>
    <w:rsid w:val="007F223B"/>
    <w:rsid w:val="007F3368"/>
    <w:rsid w:val="007F4150"/>
    <w:rsid w:val="007F4B0C"/>
    <w:rsid w:val="007F4CF1"/>
    <w:rsid w:val="007F5A69"/>
    <w:rsid w:val="007F758D"/>
    <w:rsid w:val="007F75F9"/>
    <w:rsid w:val="007F7D52"/>
    <w:rsid w:val="0080218E"/>
    <w:rsid w:val="008051FE"/>
    <w:rsid w:val="0080654C"/>
    <w:rsid w:val="008071C6"/>
    <w:rsid w:val="008077FF"/>
    <w:rsid w:val="008079FA"/>
    <w:rsid w:val="0081010C"/>
    <w:rsid w:val="008108B3"/>
    <w:rsid w:val="00812AAA"/>
    <w:rsid w:val="00813137"/>
    <w:rsid w:val="00813C95"/>
    <w:rsid w:val="00813D32"/>
    <w:rsid w:val="00814ED1"/>
    <w:rsid w:val="0081581E"/>
    <w:rsid w:val="0081670D"/>
    <w:rsid w:val="00817A00"/>
    <w:rsid w:val="00821231"/>
    <w:rsid w:val="00821D30"/>
    <w:rsid w:val="00822BD4"/>
    <w:rsid w:val="00823EE0"/>
    <w:rsid w:val="00823F3D"/>
    <w:rsid w:val="00827AC3"/>
    <w:rsid w:val="00827C57"/>
    <w:rsid w:val="008317FE"/>
    <w:rsid w:val="008350F2"/>
    <w:rsid w:val="00835DB3"/>
    <w:rsid w:val="0083617B"/>
    <w:rsid w:val="00836F32"/>
    <w:rsid w:val="008371BD"/>
    <w:rsid w:val="008408CD"/>
    <w:rsid w:val="00841DAE"/>
    <w:rsid w:val="0084326C"/>
    <w:rsid w:val="00843304"/>
    <w:rsid w:val="00844C40"/>
    <w:rsid w:val="0084794F"/>
    <w:rsid w:val="008504A8"/>
    <w:rsid w:val="0085075C"/>
    <w:rsid w:val="00850C3D"/>
    <w:rsid w:val="00851FDE"/>
    <w:rsid w:val="0085282E"/>
    <w:rsid w:val="008539E5"/>
    <w:rsid w:val="00854788"/>
    <w:rsid w:val="00854EF8"/>
    <w:rsid w:val="00857106"/>
    <w:rsid w:val="00861364"/>
    <w:rsid w:val="00861F15"/>
    <w:rsid w:val="00862F57"/>
    <w:rsid w:val="0086391C"/>
    <w:rsid w:val="0086584E"/>
    <w:rsid w:val="0086758E"/>
    <w:rsid w:val="00870534"/>
    <w:rsid w:val="00870581"/>
    <w:rsid w:val="00870A5E"/>
    <w:rsid w:val="00870BED"/>
    <w:rsid w:val="0087198C"/>
    <w:rsid w:val="00872C1F"/>
    <w:rsid w:val="00873138"/>
    <w:rsid w:val="008738DF"/>
    <w:rsid w:val="00873B42"/>
    <w:rsid w:val="00875A19"/>
    <w:rsid w:val="008760C1"/>
    <w:rsid w:val="00877219"/>
    <w:rsid w:val="008808B8"/>
    <w:rsid w:val="0088165A"/>
    <w:rsid w:val="00882C87"/>
    <w:rsid w:val="00883A9A"/>
    <w:rsid w:val="00883F6B"/>
    <w:rsid w:val="008856D8"/>
    <w:rsid w:val="00885B24"/>
    <w:rsid w:val="008863BF"/>
    <w:rsid w:val="008863CA"/>
    <w:rsid w:val="00886660"/>
    <w:rsid w:val="0088772E"/>
    <w:rsid w:val="0089082D"/>
    <w:rsid w:val="00892E82"/>
    <w:rsid w:val="00896A30"/>
    <w:rsid w:val="008970FF"/>
    <w:rsid w:val="008A0665"/>
    <w:rsid w:val="008A3D7D"/>
    <w:rsid w:val="008A4C10"/>
    <w:rsid w:val="008A54F8"/>
    <w:rsid w:val="008A5FC2"/>
    <w:rsid w:val="008A62D6"/>
    <w:rsid w:val="008A6AC0"/>
    <w:rsid w:val="008A6B89"/>
    <w:rsid w:val="008B1844"/>
    <w:rsid w:val="008B29AC"/>
    <w:rsid w:val="008B40DD"/>
    <w:rsid w:val="008B4608"/>
    <w:rsid w:val="008B6B3C"/>
    <w:rsid w:val="008B756B"/>
    <w:rsid w:val="008C1B58"/>
    <w:rsid w:val="008C35C7"/>
    <w:rsid w:val="008C39AE"/>
    <w:rsid w:val="008C488C"/>
    <w:rsid w:val="008C4A5B"/>
    <w:rsid w:val="008C559D"/>
    <w:rsid w:val="008C56FD"/>
    <w:rsid w:val="008C590D"/>
    <w:rsid w:val="008C5C7D"/>
    <w:rsid w:val="008C7242"/>
    <w:rsid w:val="008C7E5A"/>
    <w:rsid w:val="008D489F"/>
    <w:rsid w:val="008D49FE"/>
    <w:rsid w:val="008D715C"/>
    <w:rsid w:val="008E031B"/>
    <w:rsid w:val="008E2385"/>
    <w:rsid w:val="008E23B4"/>
    <w:rsid w:val="008E3A02"/>
    <w:rsid w:val="008E7029"/>
    <w:rsid w:val="008E7EF6"/>
    <w:rsid w:val="008F1F98"/>
    <w:rsid w:val="008F43E4"/>
    <w:rsid w:val="008F6758"/>
    <w:rsid w:val="00903D4E"/>
    <w:rsid w:val="009040DD"/>
    <w:rsid w:val="009054DB"/>
    <w:rsid w:val="00905B47"/>
    <w:rsid w:val="009061B6"/>
    <w:rsid w:val="009067A4"/>
    <w:rsid w:val="0090724B"/>
    <w:rsid w:val="00907DD0"/>
    <w:rsid w:val="0091331C"/>
    <w:rsid w:val="0091372D"/>
    <w:rsid w:val="00914F6E"/>
    <w:rsid w:val="009174B8"/>
    <w:rsid w:val="00920646"/>
    <w:rsid w:val="009207F9"/>
    <w:rsid w:val="00920D4F"/>
    <w:rsid w:val="00922084"/>
    <w:rsid w:val="009253E0"/>
    <w:rsid w:val="009267F3"/>
    <w:rsid w:val="00926D2C"/>
    <w:rsid w:val="0092717C"/>
    <w:rsid w:val="009279DE"/>
    <w:rsid w:val="00930116"/>
    <w:rsid w:val="00931343"/>
    <w:rsid w:val="009329C1"/>
    <w:rsid w:val="0093433D"/>
    <w:rsid w:val="00934AFB"/>
    <w:rsid w:val="009414D2"/>
    <w:rsid w:val="0094212C"/>
    <w:rsid w:val="00942916"/>
    <w:rsid w:val="00942CDD"/>
    <w:rsid w:val="009442B4"/>
    <w:rsid w:val="009447F7"/>
    <w:rsid w:val="00945C58"/>
    <w:rsid w:val="00950227"/>
    <w:rsid w:val="009513F9"/>
    <w:rsid w:val="00951E8A"/>
    <w:rsid w:val="0095252F"/>
    <w:rsid w:val="00953181"/>
    <w:rsid w:val="0095429C"/>
    <w:rsid w:val="00954386"/>
    <w:rsid w:val="00954689"/>
    <w:rsid w:val="009557CF"/>
    <w:rsid w:val="00955BB2"/>
    <w:rsid w:val="009574B2"/>
    <w:rsid w:val="009609A0"/>
    <w:rsid w:val="009617C9"/>
    <w:rsid w:val="00961C93"/>
    <w:rsid w:val="00961FB7"/>
    <w:rsid w:val="0096318F"/>
    <w:rsid w:val="00963C27"/>
    <w:rsid w:val="00965071"/>
    <w:rsid w:val="00965157"/>
    <w:rsid w:val="00965324"/>
    <w:rsid w:val="00966337"/>
    <w:rsid w:val="00967657"/>
    <w:rsid w:val="00967DBB"/>
    <w:rsid w:val="0097091E"/>
    <w:rsid w:val="00970D3B"/>
    <w:rsid w:val="00971337"/>
    <w:rsid w:val="00971A35"/>
    <w:rsid w:val="00973BE4"/>
    <w:rsid w:val="00974BE3"/>
    <w:rsid w:val="00975D85"/>
    <w:rsid w:val="009760D3"/>
    <w:rsid w:val="00976701"/>
    <w:rsid w:val="00976C2B"/>
    <w:rsid w:val="00977132"/>
    <w:rsid w:val="00981A4B"/>
    <w:rsid w:val="00982501"/>
    <w:rsid w:val="009825E1"/>
    <w:rsid w:val="00983B9A"/>
    <w:rsid w:val="00985BDC"/>
    <w:rsid w:val="009860C2"/>
    <w:rsid w:val="009877D3"/>
    <w:rsid w:val="00987C2A"/>
    <w:rsid w:val="00990D71"/>
    <w:rsid w:val="00992197"/>
    <w:rsid w:val="0099290C"/>
    <w:rsid w:val="00993352"/>
    <w:rsid w:val="00994E8F"/>
    <w:rsid w:val="009951DC"/>
    <w:rsid w:val="009954FB"/>
    <w:rsid w:val="009959BB"/>
    <w:rsid w:val="00997158"/>
    <w:rsid w:val="00997F2D"/>
    <w:rsid w:val="009A0BBD"/>
    <w:rsid w:val="009A3A7C"/>
    <w:rsid w:val="009A4784"/>
    <w:rsid w:val="009A5AFA"/>
    <w:rsid w:val="009B1659"/>
    <w:rsid w:val="009B28F1"/>
    <w:rsid w:val="009B2ADB"/>
    <w:rsid w:val="009B428E"/>
    <w:rsid w:val="009B603A"/>
    <w:rsid w:val="009B6424"/>
    <w:rsid w:val="009B6B38"/>
    <w:rsid w:val="009B796A"/>
    <w:rsid w:val="009B7FD7"/>
    <w:rsid w:val="009C000B"/>
    <w:rsid w:val="009C1578"/>
    <w:rsid w:val="009C1B1A"/>
    <w:rsid w:val="009C1FBA"/>
    <w:rsid w:val="009C20D9"/>
    <w:rsid w:val="009C282E"/>
    <w:rsid w:val="009C2D0E"/>
    <w:rsid w:val="009C357C"/>
    <w:rsid w:val="009C3DAC"/>
    <w:rsid w:val="009C403A"/>
    <w:rsid w:val="009C42E0"/>
    <w:rsid w:val="009C6530"/>
    <w:rsid w:val="009C6AAA"/>
    <w:rsid w:val="009C6C3F"/>
    <w:rsid w:val="009C7EFD"/>
    <w:rsid w:val="009D0D7F"/>
    <w:rsid w:val="009D13E2"/>
    <w:rsid w:val="009D24DC"/>
    <w:rsid w:val="009D2AA8"/>
    <w:rsid w:val="009D2C06"/>
    <w:rsid w:val="009D4524"/>
    <w:rsid w:val="009D48CE"/>
    <w:rsid w:val="009D5362"/>
    <w:rsid w:val="009D5E84"/>
    <w:rsid w:val="009D6AC3"/>
    <w:rsid w:val="009E1415"/>
    <w:rsid w:val="009E198A"/>
    <w:rsid w:val="009E2218"/>
    <w:rsid w:val="009E285D"/>
    <w:rsid w:val="009E3638"/>
    <w:rsid w:val="009E3A08"/>
    <w:rsid w:val="009E3B46"/>
    <w:rsid w:val="009E3F63"/>
    <w:rsid w:val="009E4763"/>
    <w:rsid w:val="009E4AF2"/>
    <w:rsid w:val="009E5B25"/>
    <w:rsid w:val="009E5D84"/>
    <w:rsid w:val="009E606A"/>
    <w:rsid w:val="009E6116"/>
    <w:rsid w:val="009E684D"/>
    <w:rsid w:val="009E79DF"/>
    <w:rsid w:val="009F0F69"/>
    <w:rsid w:val="009F2B68"/>
    <w:rsid w:val="009F2EF0"/>
    <w:rsid w:val="009F455D"/>
    <w:rsid w:val="009F5C4D"/>
    <w:rsid w:val="009F600D"/>
    <w:rsid w:val="009F68EC"/>
    <w:rsid w:val="009F7E88"/>
    <w:rsid w:val="00A0140F"/>
    <w:rsid w:val="00A02386"/>
    <w:rsid w:val="00A02E43"/>
    <w:rsid w:val="00A0376C"/>
    <w:rsid w:val="00A046F3"/>
    <w:rsid w:val="00A05BAA"/>
    <w:rsid w:val="00A065F9"/>
    <w:rsid w:val="00A07F34"/>
    <w:rsid w:val="00A1319E"/>
    <w:rsid w:val="00A14F0C"/>
    <w:rsid w:val="00A154B0"/>
    <w:rsid w:val="00A159E8"/>
    <w:rsid w:val="00A21214"/>
    <w:rsid w:val="00A22154"/>
    <w:rsid w:val="00A22EA4"/>
    <w:rsid w:val="00A2300A"/>
    <w:rsid w:val="00A238FD"/>
    <w:rsid w:val="00A240D4"/>
    <w:rsid w:val="00A2497D"/>
    <w:rsid w:val="00A24AB5"/>
    <w:rsid w:val="00A259A6"/>
    <w:rsid w:val="00A25C38"/>
    <w:rsid w:val="00A2666A"/>
    <w:rsid w:val="00A26D64"/>
    <w:rsid w:val="00A27109"/>
    <w:rsid w:val="00A31162"/>
    <w:rsid w:val="00A31E2F"/>
    <w:rsid w:val="00A33247"/>
    <w:rsid w:val="00A33C5B"/>
    <w:rsid w:val="00A33CD4"/>
    <w:rsid w:val="00A33F72"/>
    <w:rsid w:val="00A3420E"/>
    <w:rsid w:val="00A3562E"/>
    <w:rsid w:val="00A36BBE"/>
    <w:rsid w:val="00A37188"/>
    <w:rsid w:val="00A371A5"/>
    <w:rsid w:val="00A40F16"/>
    <w:rsid w:val="00A41E5B"/>
    <w:rsid w:val="00A42763"/>
    <w:rsid w:val="00A4307A"/>
    <w:rsid w:val="00A44A80"/>
    <w:rsid w:val="00A44B93"/>
    <w:rsid w:val="00A4603E"/>
    <w:rsid w:val="00A4671B"/>
    <w:rsid w:val="00A46B1C"/>
    <w:rsid w:val="00A46C0D"/>
    <w:rsid w:val="00A473A3"/>
    <w:rsid w:val="00A479F9"/>
    <w:rsid w:val="00A47EBB"/>
    <w:rsid w:val="00A5199F"/>
    <w:rsid w:val="00A51CDD"/>
    <w:rsid w:val="00A5285E"/>
    <w:rsid w:val="00A539CE"/>
    <w:rsid w:val="00A542A4"/>
    <w:rsid w:val="00A55213"/>
    <w:rsid w:val="00A56450"/>
    <w:rsid w:val="00A57683"/>
    <w:rsid w:val="00A6070D"/>
    <w:rsid w:val="00A60C23"/>
    <w:rsid w:val="00A61B3D"/>
    <w:rsid w:val="00A61FBA"/>
    <w:rsid w:val="00A63A0F"/>
    <w:rsid w:val="00A63D1F"/>
    <w:rsid w:val="00A6506E"/>
    <w:rsid w:val="00A65F04"/>
    <w:rsid w:val="00A6730D"/>
    <w:rsid w:val="00A70609"/>
    <w:rsid w:val="00A71069"/>
    <w:rsid w:val="00A71625"/>
    <w:rsid w:val="00A71B9B"/>
    <w:rsid w:val="00A71F04"/>
    <w:rsid w:val="00A722FA"/>
    <w:rsid w:val="00A72821"/>
    <w:rsid w:val="00A72BC2"/>
    <w:rsid w:val="00A731EE"/>
    <w:rsid w:val="00A73255"/>
    <w:rsid w:val="00A74F0D"/>
    <w:rsid w:val="00A751C7"/>
    <w:rsid w:val="00A75DAA"/>
    <w:rsid w:val="00A76399"/>
    <w:rsid w:val="00A80255"/>
    <w:rsid w:val="00A874AC"/>
    <w:rsid w:val="00A87844"/>
    <w:rsid w:val="00A87F3B"/>
    <w:rsid w:val="00A904D2"/>
    <w:rsid w:val="00A91350"/>
    <w:rsid w:val="00A91712"/>
    <w:rsid w:val="00A91BA4"/>
    <w:rsid w:val="00A93A38"/>
    <w:rsid w:val="00A93BE1"/>
    <w:rsid w:val="00A9514F"/>
    <w:rsid w:val="00A96DAB"/>
    <w:rsid w:val="00A97950"/>
    <w:rsid w:val="00A97A28"/>
    <w:rsid w:val="00AA038C"/>
    <w:rsid w:val="00AA0ECB"/>
    <w:rsid w:val="00AA20F6"/>
    <w:rsid w:val="00AA3D04"/>
    <w:rsid w:val="00AA5071"/>
    <w:rsid w:val="00AA614A"/>
    <w:rsid w:val="00AA64F6"/>
    <w:rsid w:val="00AA6543"/>
    <w:rsid w:val="00AA7A09"/>
    <w:rsid w:val="00AA7DCE"/>
    <w:rsid w:val="00AB15A4"/>
    <w:rsid w:val="00AB259A"/>
    <w:rsid w:val="00AB3190"/>
    <w:rsid w:val="00AB3B50"/>
    <w:rsid w:val="00AB3C54"/>
    <w:rsid w:val="00AB4A2B"/>
    <w:rsid w:val="00AB63BB"/>
    <w:rsid w:val="00AB662C"/>
    <w:rsid w:val="00AB6B20"/>
    <w:rsid w:val="00AC02AC"/>
    <w:rsid w:val="00AC05B1"/>
    <w:rsid w:val="00AC1120"/>
    <w:rsid w:val="00AC4580"/>
    <w:rsid w:val="00AC4A20"/>
    <w:rsid w:val="00AC4E1D"/>
    <w:rsid w:val="00AC5623"/>
    <w:rsid w:val="00AC59EC"/>
    <w:rsid w:val="00AC5E35"/>
    <w:rsid w:val="00AD019C"/>
    <w:rsid w:val="00AD1273"/>
    <w:rsid w:val="00AD23FD"/>
    <w:rsid w:val="00AD356C"/>
    <w:rsid w:val="00AD4693"/>
    <w:rsid w:val="00AD6223"/>
    <w:rsid w:val="00AD72DD"/>
    <w:rsid w:val="00AD7745"/>
    <w:rsid w:val="00AE0550"/>
    <w:rsid w:val="00AE11E4"/>
    <w:rsid w:val="00AE24D6"/>
    <w:rsid w:val="00AE2914"/>
    <w:rsid w:val="00AE2E25"/>
    <w:rsid w:val="00AE44AB"/>
    <w:rsid w:val="00AE57AD"/>
    <w:rsid w:val="00AE6131"/>
    <w:rsid w:val="00AE6D15"/>
    <w:rsid w:val="00AE78EE"/>
    <w:rsid w:val="00AF0596"/>
    <w:rsid w:val="00AF217D"/>
    <w:rsid w:val="00AF4C74"/>
    <w:rsid w:val="00AF5CF3"/>
    <w:rsid w:val="00AF6546"/>
    <w:rsid w:val="00AF71C6"/>
    <w:rsid w:val="00AF7D49"/>
    <w:rsid w:val="00B00B0E"/>
    <w:rsid w:val="00B04182"/>
    <w:rsid w:val="00B04938"/>
    <w:rsid w:val="00B0655F"/>
    <w:rsid w:val="00B07AE3"/>
    <w:rsid w:val="00B10FCA"/>
    <w:rsid w:val="00B11430"/>
    <w:rsid w:val="00B1351A"/>
    <w:rsid w:val="00B1502D"/>
    <w:rsid w:val="00B1527C"/>
    <w:rsid w:val="00B16350"/>
    <w:rsid w:val="00B168DD"/>
    <w:rsid w:val="00B22270"/>
    <w:rsid w:val="00B22D85"/>
    <w:rsid w:val="00B265AE"/>
    <w:rsid w:val="00B27555"/>
    <w:rsid w:val="00B3156D"/>
    <w:rsid w:val="00B32EB3"/>
    <w:rsid w:val="00B33725"/>
    <w:rsid w:val="00B344DD"/>
    <w:rsid w:val="00B353EB"/>
    <w:rsid w:val="00B360A0"/>
    <w:rsid w:val="00B37507"/>
    <w:rsid w:val="00B37DC8"/>
    <w:rsid w:val="00B401DC"/>
    <w:rsid w:val="00B40357"/>
    <w:rsid w:val="00B40790"/>
    <w:rsid w:val="00B41821"/>
    <w:rsid w:val="00B431FF"/>
    <w:rsid w:val="00B439C4"/>
    <w:rsid w:val="00B43A58"/>
    <w:rsid w:val="00B4479C"/>
    <w:rsid w:val="00B4535E"/>
    <w:rsid w:val="00B45C52"/>
    <w:rsid w:val="00B47288"/>
    <w:rsid w:val="00B476E2"/>
    <w:rsid w:val="00B47D83"/>
    <w:rsid w:val="00B47FA4"/>
    <w:rsid w:val="00B51003"/>
    <w:rsid w:val="00B512E8"/>
    <w:rsid w:val="00B52A8C"/>
    <w:rsid w:val="00B53E3D"/>
    <w:rsid w:val="00B560A3"/>
    <w:rsid w:val="00B56194"/>
    <w:rsid w:val="00B60836"/>
    <w:rsid w:val="00B6328E"/>
    <w:rsid w:val="00B636A8"/>
    <w:rsid w:val="00B646E9"/>
    <w:rsid w:val="00B66263"/>
    <w:rsid w:val="00B665C6"/>
    <w:rsid w:val="00B70110"/>
    <w:rsid w:val="00B7117F"/>
    <w:rsid w:val="00B71408"/>
    <w:rsid w:val="00B716EB"/>
    <w:rsid w:val="00B721AF"/>
    <w:rsid w:val="00B739F9"/>
    <w:rsid w:val="00B74273"/>
    <w:rsid w:val="00B76348"/>
    <w:rsid w:val="00B7754C"/>
    <w:rsid w:val="00B77B7F"/>
    <w:rsid w:val="00B802B0"/>
    <w:rsid w:val="00B805AF"/>
    <w:rsid w:val="00B819B3"/>
    <w:rsid w:val="00B81ACB"/>
    <w:rsid w:val="00B82989"/>
    <w:rsid w:val="00B82C27"/>
    <w:rsid w:val="00B82E02"/>
    <w:rsid w:val="00B8401C"/>
    <w:rsid w:val="00B84989"/>
    <w:rsid w:val="00B869EC"/>
    <w:rsid w:val="00B86F18"/>
    <w:rsid w:val="00B87D83"/>
    <w:rsid w:val="00B933D6"/>
    <w:rsid w:val="00B936A7"/>
    <w:rsid w:val="00B9397A"/>
    <w:rsid w:val="00B94DE1"/>
    <w:rsid w:val="00B953B1"/>
    <w:rsid w:val="00B9590E"/>
    <w:rsid w:val="00B9633D"/>
    <w:rsid w:val="00B975B7"/>
    <w:rsid w:val="00BA154D"/>
    <w:rsid w:val="00BA28CB"/>
    <w:rsid w:val="00BA2BE9"/>
    <w:rsid w:val="00BA2EBE"/>
    <w:rsid w:val="00BA35C0"/>
    <w:rsid w:val="00BA4257"/>
    <w:rsid w:val="00BA4C21"/>
    <w:rsid w:val="00BA5C58"/>
    <w:rsid w:val="00BA6EB6"/>
    <w:rsid w:val="00BA7643"/>
    <w:rsid w:val="00BB0F28"/>
    <w:rsid w:val="00BB1F14"/>
    <w:rsid w:val="00BB20FA"/>
    <w:rsid w:val="00BB3E68"/>
    <w:rsid w:val="00BB458A"/>
    <w:rsid w:val="00BB5934"/>
    <w:rsid w:val="00BB7249"/>
    <w:rsid w:val="00BB732C"/>
    <w:rsid w:val="00BC27CD"/>
    <w:rsid w:val="00BC29DE"/>
    <w:rsid w:val="00BC2AF0"/>
    <w:rsid w:val="00BC4C35"/>
    <w:rsid w:val="00BC52A6"/>
    <w:rsid w:val="00BC52D7"/>
    <w:rsid w:val="00BD00D3"/>
    <w:rsid w:val="00BD0EB2"/>
    <w:rsid w:val="00BD150B"/>
    <w:rsid w:val="00BD1659"/>
    <w:rsid w:val="00BD173A"/>
    <w:rsid w:val="00BD1A76"/>
    <w:rsid w:val="00BD3AA9"/>
    <w:rsid w:val="00BD466B"/>
    <w:rsid w:val="00BD4A18"/>
    <w:rsid w:val="00BD66B9"/>
    <w:rsid w:val="00BD6A36"/>
    <w:rsid w:val="00BD6DB2"/>
    <w:rsid w:val="00BE0808"/>
    <w:rsid w:val="00BE0E3B"/>
    <w:rsid w:val="00BE0F89"/>
    <w:rsid w:val="00BE11CF"/>
    <w:rsid w:val="00BE21AB"/>
    <w:rsid w:val="00BE2AB4"/>
    <w:rsid w:val="00BE3A4D"/>
    <w:rsid w:val="00BE3FA2"/>
    <w:rsid w:val="00BE44AE"/>
    <w:rsid w:val="00BE55CB"/>
    <w:rsid w:val="00BF154D"/>
    <w:rsid w:val="00BF2244"/>
    <w:rsid w:val="00BF423F"/>
    <w:rsid w:val="00BF525E"/>
    <w:rsid w:val="00BF617A"/>
    <w:rsid w:val="00BF6D1A"/>
    <w:rsid w:val="00BF7708"/>
    <w:rsid w:val="00C01B80"/>
    <w:rsid w:val="00C0379D"/>
    <w:rsid w:val="00C03931"/>
    <w:rsid w:val="00C05FE3"/>
    <w:rsid w:val="00C0721E"/>
    <w:rsid w:val="00C1154A"/>
    <w:rsid w:val="00C11E4C"/>
    <w:rsid w:val="00C13A1B"/>
    <w:rsid w:val="00C13DBB"/>
    <w:rsid w:val="00C15CCF"/>
    <w:rsid w:val="00C16C9A"/>
    <w:rsid w:val="00C20332"/>
    <w:rsid w:val="00C2136D"/>
    <w:rsid w:val="00C214EE"/>
    <w:rsid w:val="00C215D4"/>
    <w:rsid w:val="00C2225D"/>
    <w:rsid w:val="00C22B51"/>
    <w:rsid w:val="00C22FF4"/>
    <w:rsid w:val="00C2314B"/>
    <w:rsid w:val="00C238F5"/>
    <w:rsid w:val="00C24971"/>
    <w:rsid w:val="00C26BE5"/>
    <w:rsid w:val="00C26E4D"/>
    <w:rsid w:val="00C27909"/>
    <w:rsid w:val="00C27B03"/>
    <w:rsid w:val="00C30B91"/>
    <w:rsid w:val="00C314E1"/>
    <w:rsid w:val="00C33E6D"/>
    <w:rsid w:val="00C34247"/>
    <w:rsid w:val="00C34355"/>
    <w:rsid w:val="00C34397"/>
    <w:rsid w:val="00C34B82"/>
    <w:rsid w:val="00C35B81"/>
    <w:rsid w:val="00C3683D"/>
    <w:rsid w:val="00C37D87"/>
    <w:rsid w:val="00C408E5"/>
    <w:rsid w:val="00C4095D"/>
    <w:rsid w:val="00C42CE3"/>
    <w:rsid w:val="00C4445F"/>
    <w:rsid w:val="00C45566"/>
    <w:rsid w:val="00C51A3A"/>
    <w:rsid w:val="00C52986"/>
    <w:rsid w:val="00C53257"/>
    <w:rsid w:val="00C55BEB"/>
    <w:rsid w:val="00C601D2"/>
    <w:rsid w:val="00C617D4"/>
    <w:rsid w:val="00C6284D"/>
    <w:rsid w:val="00C642F4"/>
    <w:rsid w:val="00C65BCC"/>
    <w:rsid w:val="00C65EB3"/>
    <w:rsid w:val="00C660E4"/>
    <w:rsid w:val="00C66152"/>
    <w:rsid w:val="00C66265"/>
    <w:rsid w:val="00C666B4"/>
    <w:rsid w:val="00C66970"/>
    <w:rsid w:val="00C7032D"/>
    <w:rsid w:val="00C70BC1"/>
    <w:rsid w:val="00C72098"/>
    <w:rsid w:val="00C72A00"/>
    <w:rsid w:val="00C72C4B"/>
    <w:rsid w:val="00C72FC7"/>
    <w:rsid w:val="00C763FC"/>
    <w:rsid w:val="00C77D22"/>
    <w:rsid w:val="00C77DA4"/>
    <w:rsid w:val="00C80EC8"/>
    <w:rsid w:val="00C8222F"/>
    <w:rsid w:val="00C83AD4"/>
    <w:rsid w:val="00C856CB"/>
    <w:rsid w:val="00C8691C"/>
    <w:rsid w:val="00C87C3E"/>
    <w:rsid w:val="00C9124F"/>
    <w:rsid w:val="00C91C06"/>
    <w:rsid w:val="00C94ADB"/>
    <w:rsid w:val="00C94D04"/>
    <w:rsid w:val="00C954A0"/>
    <w:rsid w:val="00C963EB"/>
    <w:rsid w:val="00C96FE2"/>
    <w:rsid w:val="00CA168A"/>
    <w:rsid w:val="00CA1775"/>
    <w:rsid w:val="00CA351D"/>
    <w:rsid w:val="00CA357E"/>
    <w:rsid w:val="00CA44F9"/>
    <w:rsid w:val="00CA4A69"/>
    <w:rsid w:val="00CA54BF"/>
    <w:rsid w:val="00CA562B"/>
    <w:rsid w:val="00CA6DEB"/>
    <w:rsid w:val="00CA77FB"/>
    <w:rsid w:val="00CA7ED2"/>
    <w:rsid w:val="00CB175E"/>
    <w:rsid w:val="00CB2D67"/>
    <w:rsid w:val="00CB35F3"/>
    <w:rsid w:val="00CB47BF"/>
    <w:rsid w:val="00CB553C"/>
    <w:rsid w:val="00CC1430"/>
    <w:rsid w:val="00CC1F6F"/>
    <w:rsid w:val="00CC2270"/>
    <w:rsid w:val="00CC282B"/>
    <w:rsid w:val="00CC3018"/>
    <w:rsid w:val="00CC3E0C"/>
    <w:rsid w:val="00CC49AA"/>
    <w:rsid w:val="00CC58D3"/>
    <w:rsid w:val="00CC6F64"/>
    <w:rsid w:val="00CC784D"/>
    <w:rsid w:val="00CD3434"/>
    <w:rsid w:val="00CD3464"/>
    <w:rsid w:val="00CD4292"/>
    <w:rsid w:val="00CD4795"/>
    <w:rsid w:val="00CD4B63"/>
    <w:rsid w:val="00CD4C61"/>
    <w:rsid w:val="00CD5AE3"/>
    <w:rsid w:val="00CD67F0"/>
    <w:rsid w:val="00CD6E24"/>
    <w:rsid w:val="00CD79E4"/>
    <w:rsid w:val="00CD7ACD"/>
    <w:rsid w:val="00CE0A65"/>
    <w:rsid w:val="00CE157A"/>
    <w:rsid w:val="00CE2CD5"/>
    <w:rsid w:val="00CE30B8"/>
    <w:rsid w:val="00CE5F2D"/>
    <w:rsid w:val="00CE600A"/>
    <w:rsid w:val="00CE72FF"/>
    <w:rsid w:val="00CE7321"/>
    <w:rsid w:val="00CE7F70"/>
    <w:rsid w:val="00CF0DB8"/>
    <w:rsid w:val="00CF4C4F"/>
    <w:rsid w:val="00CF67EE"/>
    <w:rsid w:val="00D01B3B"/>
    <w:rsid w:val="00D01D69"/>
    <w:rsid w:val="00D0337B"/>
    <w:rsid w:val="00D03DB2"/>
    <w:rsid w:val="00D05CD8"/>
    <w:rsid w:val="00D06C36"/>
    <w:rsid w:val="00D079B2"/>
    <w:rsid w:val="00D10F2A"/>
    <w:rsid w:val="00D114E9"/>
    <w:rsid w:val="00D1242E"/>
    <w:rsid w:val="00D14847"/>
    <w:rsid w:val="00D150AD"/>
    <w:rsid w:val="00D15BDA"/>
    <w:rsid w:val="00D16BBF"/>
    <w:rsid w:val="00D17B87"/>
    <w:rsid w:val="00D213B8"/>
    <w:rsid w:val="00D217EB"/>
    <w:rsid w:val="00D22806"/>
    <w:rsid w:val="00D22FC0"/>
    <w:rsid w:val="00D22FEC"/>
    <w:rsid w:val="00D237F0"/>
    <w:rsid w:val="00D25482"/>
    <w:rsid w:val="00D30C59"/>
    <w:rsid w:val="00D31C09"/>
    <w:rsid w:val="00D3210D"/>
    <w:rsid w:val="00D33197"/>
    <w:rsid w:val="00D34059"/>
    <w:rsid w:val="00D34A4A"/>
    <w:rsid w:val="00D35434"/>
    <w:rsid w:val="00D35540"/>
    <w:rsid w:val="00D36C98"/>
    <w:rsid w:val="00D4034E"/>
    <w:rsid w:val="00D40DF2"/>
    <w:rsid w:val="00D41BBF"/>
    <w:rsid w:val="00D429C6"/>
    <w:rsid w:val="00D46C21"/>
    <w:rsid w:val="00D47748"/>
    <w:rsid w:val="00D508EB"/>
    <w:rsid w:val="00D51F9A"/>
    <w:rsid w:val="00D52BB8"/>
    <w:rsid w:val="00D54CC3"/>
    <w:rsid w:val="00D56F93"/>
    <w:rsid w:val="00D6041A"/>
    <w:rsid w:val="00D610B0"/>
    <w:rsid w:val="00D612C9"/>
    <w:rsid w:val="00D6152F"/>
    <w:rsid w:val="00D61E80"/>
    <w:rsid w:val="00D633EB"/>
    <w:rsid w:val="00D64854"/>
    <w:rsid w:val="00D6751E"/>
    <w:rsid w:val="00D6793D"/>
    <w:rsid w:val="00D67DBB"/>
    <w:rsid w:val="00D71E89"/>
    <w:rsid w:val="00D72783"/>
    <w:rsid w:val="00D72D02"/>
    <w:rsid w:val="00D7372B"/>
    <w:rsid w:val="00D73DD9"/>
    <w:rsid w:val="00D7424E"/>
    <w:rsid w:val="00D74B4D"/>
    <w:rsid w:val="00D75124"/>
    <w:rsid w:val="00D75814"/>
    <w:rsid w:val="00D75E9E"/>
    <w:rsid w:val="00D7669F"/>
    <w:rsid w:val="00D8055E"/>
    <w:rsid w:val="00D80770"/>
    <w:rsid w:val="00D80816"/>
    <w:rsid w:val="00D82FF7"/>
    <w:rsid w:val="00D83E81"/>
    <w:rsid w:val="00D847FE"/>
    <w:rsid w:val="00D8678A"/>
    <w:rsid w:val="00D868BF"/>
    <w:rsid w:val="00D900D1"/>
    <w:rsid w:val="00D938DB"/>
    <w:rsid w:val="00D93F6A"/>
    <w:rsid w:val="00D964EA"/>
    <w:rsid w:val="00D966D0"/>
    <w:rsid w:val="00DA0C59"/>
    <w:rsid w:val="00DA30B3"/>
    <w:rsid w:val="00DA3991"/>
    <w:rsid w:val="00DA493D"/>
    <w:rsid w:val="00DA52CC"/>
    <w:rsid w:val="00DA569C"/>
    <w:rsid w:val="00DA5879"/>
    <w:rsid w:val="00DA6010"/>
    <w:rsid w:val="00DA7045"/>
    <w:rsid w:val="00DB20BF"/>
    <w:rsid w:val="00DB2412"/>
    <w:rsid w:val="00DB3551"/>
    <w:rsid w:val="00DB49DB"/>
    <w:rsid w:val="00DB4C32"/>
    <w:rsid w:val="00DB54C2"/>
    <w:rsid w:val="00DB667F"/>
    <w:rsid w:val="00DB75EA"/>
    <w:rsid w:val="00DB7E6C"/>
    <w:rsid w:val="00DC0130"/>
    <w:rsid w:val="00DC02C4"/>
    <w:rsid w:val="00DC0607"/>
    <w:rsid w:val="00DC0A86"/>
    <w:rsid w:val="00DC5284"/>
    <w:rsid w:val="00DC5E71"/>
    <w:rsid w:val="00DC7A1E"/>
    <w:rsid w:val="00DD0CDD"/>
    <w:rsid w:val="00DD11B0"/>
    <w:rsid w:val="00DD1A13"/>
    <w:rsid w:val="00DD2316"/>
    <w:rsid w:val="00DD5A29"/>
    <w:rsid w:val="00DD5D9D"/>
    <w:rsid w:val="00DD7E5D"/>
    <w:rsid w:val="00DE134F"/>
    <w:rsid w:val="00DE1442"/>
    <w:rsid w:val="00DE2B31"/>
    <w:rsid w:val="00DE3340"/>
    <w:rsid w:val="00DE3598"/>
    <w:rsid w:val="00DE35CB"/>
    <w:rsid w:val="00DE5044"/>
    <w:rsid w:val="00DE5D83"/>
    <w:rsid w:val="00DE666B"/>
    <w:rsid w:val="00DE7661"/>
    <w:rsid w:val="00DE7F9D"/>
    <w:rsid w:val="00DF100E"/>
    <w:rsid w:val="00DF122D"/>
    <w:rsid w:val="00DF21E9"/>
    <w:rsid w:val="00DF2DB8"/>
    <w:rsid w:val="00DF3902"/>
    <w:rsid w:val="00DF3F19"/>
    <w:rsid w:val="00DF40DA"/>
    <w:rsid w:val="00DF42AF"/>
    <w:rsid w:val="00DF5F48"/>
    <w:rsid w:val="00DF6DF9"/>
    <w:rsid w:val="00DF7765"/>
    <w:rsid w:val="00E007DC"/>
    <w:rsid w:val="00E00F14"/>
    <w:rsid w:val="00E0396C"/>
    <w:rsid w:val="00E04DFC"/>
    <w:rsid w:val="00E06386"/>
    <w:rsid w:val="00E06870"/>
    <w:rsid w:val="00E118AC"/>
    <w:rsid w:val="00E11A79"/>
    <w:rsid w:val="00E14C6C"/>
    <w:rsid w:val="00E14D3E"/>
    <w:rsid w:val="00E1546F"/>
    <w:rsid w:val="00E1778F"/>
    <w:rsid w:val="00E21382"/>
    <w:rsid w:val="00E22208"/>
    <w:rsid w:val="00E24EB4"/>
    <w:rsid w:val="00E27E55"/>
    <w:rsid w:val="00E320ED"/>
    <w:rsid w:val="00E33917"/>
    <w:rsid w:val="00E33AFB"/>
    <w:rsid w:val="00E34218"/>
    <w:rsid w:val="00E344B1"/>
    <w:rsid w:val="00E36EE0"/>
    <w:rsid w:val="00E377CE"/>
    <w:rsid w:val="00E42D32"/>
    <w:rsid w:val="00E45FEB"/>
    <w:rsid w:val="00E46282"/>
    <w:rsid w:val="00E46C24"/>
    <w:rsid w:val="00E46EC2"/>
    <w:rsid w:val="00E5216E"/>
    <w:rsid w:val="00E52476"/>
    <w:rsid w:val="00E5457F"/>
    <w:rsid w:val="00E55A85"/>
    <w:rsid w:val="00E56750"/>
    <w:rsid w:val="00E57912"/>
    <w:rsid w:val="00E60914"/>
    <w:rsid w:val="00E6432B"/>
    <w:rsid w:val="00E67513"/>
    <w:rsid w:val="00E67AA6"/>
    <w:rsid w:val="00E73798"/>
    <w:rsid w:val="00E7442F"/>
    <w:rsid w:val="00E74826"/>
    <w:rsid w:val="00E75A35"/>
    <w:rsid w:val="00E80040"/>
    <w:rsid w:val="00E813E7"/>
    <w:rsid w:val="00E82344"/>
    <w:rsid w:val="00E82F47"/>
    <w:rsid w:val="00E83EE1"/>
    <w:rsid w:val="00E84C82"/>
    <w:rsid w:val="00E84D64"/>
    <w:rsid w:val="00E852E0"/>
    <w:rsid w:val="00E85339"/>
    <w:rsid w:val="00E8547E"/>
    <w:rsid w:val="00E8571A"/>
    <w:rsid w:val="00E87408"/>
    <w:rsid w:val="00E87BD9"/>
    <w:rsid w:val="00E914C4"/>
    <w:rsid w:val="00E92334"/>
    <w:rsid w:val="00E934F5"/>
    <w:rsid w:val="00E95413"/>
    <w:rsid w:val="00E96961"/>
    <w:rsid w:val="00E97145"/>
    <w:rsid w:val="00E97F16"/>
    <w:rsid w:val="00EA03A5"/>
    <w:rsid w:val="00EA0DCA"/>
    <w:rsid w:val="00EA195E"/>
    <w:rsid w:val="00EA3AEE"/>
    <w:rsid w:val="00EA579D"/>
    <w:rsid w:val="00EA6284"/>
    <w:rsid w:val="00EA64DC"/>
    <w:rsid w:val="00EA70D6"/>
    <w:rsid w:val="00EA72EC"/>
    <w:rsid w:val="00EA7B2C"/>
    <w:rsid w:val="00EB1045"/>
    <w:rsid w:val="00EB11CB"/>
    <w:rsid w:val="00EB275A"/>
    <w:rsid w:val="00EB2AD8"/>
    <w:rsid w:val="00EB4324"/>
    <w:rsid w:val="00EB5A8D"/>
    <w:rsid w:val="00EB6D01"/>
    <w:rsid w:val="00EB786A"/>
    <w:rsid w:val="00EC0871"/>
    <w:rsid w:val="00EC1578"/>
    <w:rsid w:val="00EC1A45"/>
    <w:rsid w:val="00EC1C72"/>
    <w:rsid w:val="00EC2E7D"/>
    <w:rsid w:val="00EC3CC9"/>
    <w:rsid w:val="00EC3DFA"/>
    <w:rsid w:val="00EC680A"/>
    <w:rsid w:val="00EC77F8"/>
    <w:rsid w:val="00EC78F4"/>
    <w:rsid w:val="00ED1190"/>
    <w:rsid w:val="00ED22F5"/>
    <w:rsid w:val="00ED3884"/>
    <w:rsid w:val="00ED4825"/>
    <w:rsid w:val="00ED4FAE"/>
    <w:rsid w:val="00ED6CCA"/>
    <w:rsid w:val="00EE1299"/>
    <w:rsid w:val="00EE1FFB"/>
    <w:rsid w:val="00EE2311"/>
    <w:rsid w:val="00EE23AA"/>
    <w:rsid w:val="00EE2639"/>
    <w:rsid w:val="00EE2BED"/>
    <w:rsid w:val="00EE31E6"/>
    <w:rsid w:val="00EE374B"/>
    <w:rsid w:val="00EE4DBA"/>
    <w:rsid w:val="00EE6D3F"/>
    <w:rsid w:val="00EE6F67"/>
    <w:rsid w:val="00EE78BF"/>
    <w:rsid w:val="00EF1612"/>
    <w:rsid w:val="00EF2187"/>
    <w:rsid w:val="00EF61FF"/>
    <w:rsid w:val="00EF7220"/>
    <w:rsid w:val="00EF78FF"/>
    <w:rsid w:val="00EF7E89"/>
    <w:rsid w:val="00F039FB"/>
    <w:rsid w:val="00F04C09"/>
    <w:rsid w:val="00F05D25"/>
    <w:rsid w:val="00F05F7D"/>
    <w:rsid w:val="00F0640A"/>
    <w:rsid w:val="00F06BCF"/>
    <w:rsid w:val="00F075D1"/>
    <w:rsid w:val="00F11139"/>
    <w:rsid w:val="00F11296"/>
    <w:rsid w:val="00F11BB5"/>
    <w:rsid w:val="00F122E2"/>
    <w:rsid w:val="00F12353"/>
    <w:rsid w:val="00F13830"/>
    <w:rsid w:val="00F1417B"/>
    <w:rsid w:val="00F14911"/>
    <w:rsid w:val="00F14963"/>
    <w:rsid w:val="00F15DA5"/>
    <w:rsid w:val="00F17F07"/>
    <w:rsid w:val="00F2047A"/>
    <w:rsid w:val="00F205C4"/>
    <w:rsid w:val="00F217FF"/>
    <w:rsid w:val="00F2255B"/>
    <w:rsid w:val="00F22F83"/>
    <w:rsid w:val="00F236C3"/>
    <w:rsid w:val="00F23812"/>
    <w:rsid w:val="00F26639"/>
    <w:rsid w:val="00F300BE"/>
    <w:rsid w:val="00F311D6"/>
    <w:rsid w:val="00F31697"/>
    <w:rsid w:val="00F31E06"/>
    <w:rsid w:val="00F32989"/>
    <w:rsid w:val="00F32DA5"/>
    <w:rsid w:val="00F34959"/>
    <w:rsid w:val="00F34B99"/>
    <w:rsid w:val="00F3641B"/>
    <w:rsid w:val="00F40008"/>
    <w:rsid w:val="00F43594"/>
    <w:rsid w:val="00F4425B"/>
    <w:rsid w:val="00F470A3"/>
    <w:rsid w:val="00F47C6D"/>
    <w:rsid w:val="00F50075"/>
    <w:rsid w:val="00F51E47"/>
    <w:rsid w:val="00F52602"/>
    <w:rsid w:val="00F52DAB"/>
    <w:rsid w:val="00F52FF5"/>
    <w:rsid w:val="00F53072"/>
    <w:rsid w:val="00F543F0"/>
    <w:rsid w:val="00F6175A"/>
    <w:rsid w:val="00F71A6A"/>
    <w:rsid w:val="00F72220"/>
    <w:rsid w:val="00F72534"/>
    <w:rsid w:val="00F7341C"/>
    <w:rsid w:val="00F77877"/>
    <w:rsid w:val="00F80367"/>
    <w:rsid w:val="00F8106B"/>
    <w:rsid w:val="00F81D29"/>
    <w:rsid w:val="00F827E2"/>
    <w:rsid w:val="00F83ED5"/>
    <w:rsid w:val="00F85B1F"/>
    <w:rsid w:val="00F8664B"/>
    <w:rsid w:val="00F86ABA"/>
    <w:rsid w:val="00F87117"/>
    <w:rsid w:val="00F87F7D"/>
    <w:rsid w:val="00F91C4D"/>
    <w:rsid w:val="00F92771"/>
    <w:rsid w:val="00F92FD9"/>
    <w:rsid w:val="00F94BFD"/>
    <w:rsid w:val="00F9525C"/>
    <w:rsid w:val="00F973FD"/>
    <w:rsid w:val="00FA44D0"/>
    <w:rsid w:val="00FA5385"/>
    <w:rsid w:val="00FA603B"/>
    <w:rsid w:val="00FA6684"/>
    <w:rsid w:val="00FA731E"/>
    <w:rsid w:val="00FB05C3"/>
    <w:rsid w:val="00FB2B38"/>
    <w:rsid w:val="00FB2ED2"/>
    <w:rsid w:val="00FB3BF3"/>
    <w:rsid w:val="00FB6656"/>
    <w:rsid w:val="00FC0BD9"/>
    <w:rsid w:val="00FC1CCE"/>
    <w:rsid w:val="00FC23E1"/>
    <w:rsid w:val="00FC3AC5"/>
    <w:rsid w:val="00FC41B8"/>
    <w:rsid w:val="00FC4BCF"/>
    <w:rsid w:val="00FC5983"/>
    <w:rsid w:val="00FC60AC"/>
    <w:rsid w:val="00FC6358"/>
    <w:rsid w:val="00FC68B7"/>
    <w:rsid w:val="00FC7F52"/>
    <w:rsid w:val="00FD0123"/>
    <w:rsid w:val="00FD320D"/>
    <w:rsid w:val="00FD356E"/>
    <w:rsid w:val="00FD36EE"/>
    <w:rsid w:val="00FD3C97"/>
    <w:rsid w:val="00FD4D67"/>
    <w:rsid w:val="00FD548C"/>
    <w:rsid w:val="00FD76BE"/>
    <w:rsid w:val="00FD7A2E"/>
    <w:rsid w:val="00FE0151"/>
    <w:rsid w:val="00FE1900"/>
    <w:rsid w:val="00FE2331"/>
    <w:rsid w:val="00FE23DE"/>
    <w:rsid w:val="00FE2F68"/>
    <w:rsid w:val="00FE3797"/>
    <w:rsid w:val="00FE3A08"/>
    <w:rsid w:val="00FE517E"/>
    <w:rsid w:val="00FF0CE1"/>
    <w:rsid w:val="00FF0CE2"/>
    <w:rsid w:val="00FF15CC"/>
    <w:rsid w:val="00FF166D"/>
    <w:rsid w:val="00FF1CBB"/>
    <w:rsid w:val="00FF1F9C"/>
    <w:rsid w:val="00FF49A5"/>
    <w:rsid w:val="00FF6868"/>
    <w:rsid w:val="01927D66"/>
    <w:rsid w:val="01AC3A93"/>
    <w:rsid w:val="02057360"/>
    <w:rsid w:val="02626557"/>
    <w:rsid w:val="026E651E"/>
    <w:rsid w:val="02DA1673"/>
    <w:rsid w:val="03EB77C0"/>
    <w:rsid w:val="03F9277D"/>
    <w:rsid w:val="042E630D"/>
    <w:rsid w:val="047459CF"/>
    <w:rsid w:val="0537491E"/>
    <w:rsid w:val="057B5C57"/>
    <w:rsid w:val="060774EA"/>
    <w:rsid w:val="066162C0"/>
    <w:rsid w:val="06EB3D51"/>
    <w:rsid w:val="07634114"/>
    <w:rsid w:val="07D4164E"/>
    <w:rsid w:val="083D0E5B"/>
    <w:rsid w:val="08966B4A"/>
    <w:rsid w:val="08F63AE4"/>
    <w:rsid w:val="090917CB"/>
    <w:rsid w:val="094B2BCC"/>
    <w:rsid w:val="095E6352"/>
    <w:rsid w:val="09D01CF6"/>
    <w:rsid w:val="0AA14B1F"/>
    <w:rsid w:val="0AE4604C"/>
    <w:rsid w:val="0B026DDC"/>
    <w:rsid w:val="0B2B3C7B"/>
    <w:rsid w:val="0C122745"/>
    <w:rsid w:val="0C8D427D"/>
    <w:rsid w:val="0CC7751C"/>
    <w:rsid w:val="0CD342B6"/>
    <w:rsid w:val="0D6A7E17"/>
    <w:rsid w:val="0DA9093F"/>
    <w:rsid w:val="0E290DBD"/>
    <w:rsid w:val="0E4D4CDF"/>
    <w:rsid w:val="0E9B6AB7"/>
    <w:rsid w:val="0EB75EDE"/>
    <w:rsid w:val="0FB926D7"/>
    <w:rsid w:val="100E1475"/>
    <w:rsid w:val="10F07A96"/>
    <w:rsid w:val="1132553A"/>
    <w:rsid w:val="119500A0"/>
    <w:rsid w:val="11E37C04"/>
    <w:rsid w:val="11EF2883"/>
    <w:rsid w:val="12512550"/>
    <w:rsid w:val="125A6BF4"/>
    <w:rsid w:val="12C86253"/>
    <w:rsid w:val="12CF6372"/>
    <w:rsid w:val="13042DDB"/>
    <w:rsid w:val="139B5716"/>
    <w:rsid w:val="1436325E"/>
    <w:rsid w:val="148D41AD"/>
    <w:rsid w:val="14CF174C"/>
    <w:rsid w:val="153C0D7C"/>
    <w:rsid w:val="15483208"/>
    <w:rsid w:val="15505DDD"/>
    <w:rsid w:val="158D7AE3"/>
    <w:rsid w:val="159B1B8F"/>
    <w:rsid w:val="16F84A8E"/>
    <w:rsid w:val="173B6C95"/>
    <w:rsid w:val="178D48F7"/>
    <w:rsid w:val="180715CC"/>
    <w:rsid w:val="196E7664"/>
    <w:rsid w:val="19D4303C"/>
    <w:rsid w:val="1A6A4539"/>
    <w:rsid w:val="1B063DBD"/>
    <w:rsid w:val="1B740D26"/>
    <w:rsid w:val="1C8A13E1"/>
    <w:rsid w:val="1C994529"/>
    <w:rsid w:val="1D297145"/>
    <w:rsid w:val="1DE859FC"/>
    <w:rsid w:val="1E3C2C0B"/>
    <w:rsid w:val="1E3F091B"/>
    <w:rsid w:val="1E434ACA"/>
    <w:rsid w:val="1EB81FDE"/>
    <w:rsid w:val="1EF32FF2"/>
    <w:rsid w:val="1F3A7C37"/>
    <w:rsid w:val="20022AF0"/>
    <w:rsid w:val="202A7BF8"/>
    <w:rsid w:val="2087234D"/>
    <w:rsid w:val="20C242E2"/>
    <w:rsid w:val="20DF41FE"/>
    <w:rsid w:val="212E7BC9"/>
    <w:rsid w:val="2144119B"/>
    <w:rsid w:val="217D7697"/>
    <w:rsid w:val="22061A13"/>
    <w:rsid w:val="222800C3"/>
    <w:rsid w:val="224F7F58"/>
    <w:rsid w:val="228026A7"/>
    <w:rsid w:val="237D604C"/>
    <w:rsid w:val="238B1303"/>
    <w:rsid w:val="23FE39BD"/>
    <w:rsid w:val="245F4818"/>
    <w:rsid w:val="24786C81"/>
    <w:rsid w:val="255D282B"/>
    <w:rsid w:val="256A59C8"/>
    <w:rsid w:val="267E4497"/>
    <w:rsid w:val="268E3C87"/>
    <w:rsid w:val="27AD772F"/>
    <w:rsid w:val="27B564C5"/>
    <w:rsid w:val="27D551EF"/>
    <w:rsid w:val="2802590C"/>
    <w:rsid w:val="28A16ED3"/>
    <w:rsid w:val="29236BB2"/>
    <w:rsid w:val="29287901"/>
    <w:rsid w:val="2935321D"/>
    <w:rsid w:val="2A677F6B"/>
    <w:rsid w:val="2BBA5A9A"/>
    <w:rsid w:val="2C386CC9"/>
    <w:rsid w:val="2C5030EA"/>
    <w:rsid w:val="2CD45AC9"/>
    <w:rsid w:val="2CE00993"/>
    <w:rsid w:val="2D830B39"/>
    <w:rsid w:val="2E257B1B"/>
    <w:rsid w:val="2E677AE4"/>
    <w:rsid w:val="2F4635EA"/>
    <w:rsid w:val="2FD87AD3"/>
    <w:rsid w:val="30BF083E"/>
    <w:rsid w:val="30CA5BDB"/>
    <w:rsid w:val="30E86825"/>
    <w:rsid w:val="311961A0"/>
    <w:rsid w:val="3135465C"/>
    <w:rsid w:val="326655EE"/>
    <w:rsid w:val="327B69E7"/>
    <w:rsid w:val="33C34EFC"/>
    <w:rsid w:val="34366F6E"/>
    <w:rsid w:val="344F3C87"/>
    <w:rsid w:val="3510699D"/>
    <w:rsid w:val="35AB7232"/>
    <w:rsid w:val="35D61655"/>
    <w:rsid w:val="361A2073"/>
    <w:rsid w:val="362A1092"/>
    <w:rsid w:val="36461B5D"/>
    <w:rsid w:val="3690287C"/>
    <w:rsid w:val="36AD56C5"/>
    <w:rsid w:val="36DC5408"/>
    <w:rsid w:val="37905325"/>
    <w:rsid w:val="37BA0B09"/>
    <w:rsid w:val="386364AA"/>
    <w:rsid w:val="38822CFA"/>
    <w:rsid w:val="388554EB"/>
    <w:rsid w:val="38C83DE7"/>
    <w:rsid w:val="3923202B"/>
    <w:rsid w:val="393B7239"/>
    <w:rsid w:val="39A246ED"/>
    <w:rsid w:val="39DA644F"/>
    <w:rsid w:val="3A744447"/>
    <w:rsid w:val="3AAF1923"/>
    <w:rsid w:val="3AC950C9"/>
    <w:rsid w:val="3B0C28D2"/>
    <w:rsid w:val="3B3011F7"/>
    <w:rsid w:val="3B963D3A"/>
    <w:rsid w:val="3D8739B6"/>
    <w:rsid w:val="3F0E0FB1"/>
    <w:rsid w:val="3F575F4A"/>
    <w:rsid w:val="405A40DF"/>
    <w:rsid w:val="40624A0E"/>
    <w:rsid w:val="40657ACF"/>
    <w:rsid w:val="41BF5866"/>
    <w:rsid w:val="41D4737F"/>
    <w:rsid w:val="41EE70DB"/>
    <w:rsid w:val="41F16D17"/>
    <w:rsid w:val="42397461"/>
    <w:rsid w:val="42943327"/>
    <w:rsid w:val="431F3CCE"/>
    <w:rsid w:val="4476626D"/>
    <w:rsid w:val="44A361F7"/>
    <w:rsid w:val="45126EB0"/>
    <w:rsid w:val="4539127E"/>
    <w:rsid w:val="4571647E"/>
    <w:rsid w:val="465D414E"/>
    <w:rsid w:val="46641814"/>
    <w:rsid w:val="47303087"/>
    <w:rsid w:val="4770243A"/>
    <w:rsid w:val="47A27D2C"/>
    <w:rsid w:val="48120A86"/>
    <w:rsid w:val="48895562"/>
    <w:rsid w:val="48A028AB"/>
    <w:rsid w:val="49187E48"/>
    <w:rsid w:val="49D514FA"/>
    <w:rsid w:val="49F66C27"/>
    <w:rsid w:val="4A742353"/>
    <w:rsid w:val="4A9F67FA"/>
    <w:rsid w:val="4AB8769B"/>
    <w:rsid w:val="4ADD58CC"/>
    <w:rsid w:val="4AFA44F5"/>
    <w:rsid w:val="4BDA60D4"/>
    <w:rsid w:val="4BE6053A"/>
    <w:rsid w:val="4C362B3D"/>
    <w:rsid w:val="4CA47D11"/>
    <w:rsid w:val="4CE600FB"/>
    <w:rsid w:val="4CED47CD"/>
    <w:rsid w:val="4CF219AF"/>
    <w:rsid w:val="4D065771"/>
    <w:rsid w:val="4D190D53"/>
    <w:rsid w:val="4D4C78BC"/>
    <w:rsid w:val="4D752558"/>
    <w:rsid w:val="4DD3727F"/>
    <w:rsid w:val="4DE052E3"/>
    <w:rsid w:val="4DE337D5"/>
    <w:rsid w:val="4E700F79"/>
    <w:rsid w:val="4EC217CD"/>
    <w:rsid w:val="4EE07EA5"/>
    <w:rsid w:val="4F1D47D7"/>
    <w:rsid w:val="4F2F0767"/>
    <w:rsid w:val="4F6221DE"/>
    <w:rsid w:val="4F93291E"/>
    <w:rsid w:val="4FAE1D52"/>
    <w:rsid w:val="4FC0715B"/>
    <w:rsid w:val="50DD469C"/>
    <w:rsid w:val="51A67184"/>
    <w:rsid w:val="527C727C"/>
    <w:rsid w:val="52C17D91"/>
    <w:rsid w:val="53B37335"/>
    <w:rsid w:val="53EC3BAC"/>
    <w:rsid w:val="545E3D46"/>
    <w:rsid w:val="549A6186"/>
    <w:rsid w:val="55281DAF"/>
    <w:rsid w:val="55FD7055"/>
    <w:rsid w:val="56014794"/>
    <w:rsid w:val="568B0C91"/>
    <w:rsid w:val="56C500AD"/>
    <w:rsid w:val="56DC7EC7"/>
    <w:rsid w:val="570975B4"/>
    <w:rsid w:val="576222A2"/>
    <w:rsid w:val="578F7888"/>
    <w:rsid w:val="57EE097D"/>
    <w:rsid w:val="583166A5"/>
    <w:rsid w:val="58B60ACC"/>
    <w:rsid w:val="58D05DE7"/>
    <w:rsid w:val="592316E9"/>
    <w:rsid w:val="59E0617E"/>
    <w:rsid w:val="59FE7432"/>
    <w:rsid w:val="5A790E13"/>
    <w:rsid w:val="5A9329EF"/>
    <w:rsid w:val="5B076365"/>
    <w:rsid w:val="5BD72D72"/>
    <w:rsid w:val="5C10118B"/>
    <w:rsid w:val="5C2A169D"/>
    <w:rsid w:val="5CA05EB7"/>
    <w:rsid w:val="5E381B59"/>
    <w:rsid w:val="5E6C7D00"/>
    <w:rsid w:val="5EBE1A6C"/>
    <w:rsid w:val="5EE9470D"/>
    <w:rsid w:val="5F8D65FE"/>
    <w:rsid w:val="5FC36A67"/>
    <w:rsid w:val="5FF64B64"/>
    <w:rsid w:val="615A7643"/>
    <w:rsid w:val="61846885"/>
    <w:rsid w:val="61F4714D"/>
    <w:rsid w:val="6298186E"/>
    <w:rsid w:val="62D559AF"/>
    <w:rsid w:val="63136946"/>
    <w:rsid w:val="634E0BFD"/>
    <w:rsid w:val="639C78BD"/>
    <w:rsid w:val="645D37AF"/>
    <w:rsid w:val="64BE00A4"/>
    <w:rsid w:val="64CE3BD1"/>
    <w:rsid w:val="65144950"/>
    <w:rsid w:val="65422D4F"/>
    <w:rsid w:val="656C6332"/>
    <w:rsid w:val="65B86EE6"/>
    <w:rsid w:val="66C85109"/>
    <w:rsid w:val="66E11A66"/>
    <w:rsid w:val="67AE2497"/>
    <w:rsid w:val="67C41CBB"/>
    <w:rsid w:val="681A56C2"/>
    <w:rsid w:val="684318AA"/>
    <w:rsid w:val="69951B60"/>
    <w:rsid w:val="6A516F28"/>
    <w:rsid w:val="6A802926"/>
    <w:rsid w:val="6A88563D"/>
    <w:rsid w:val="6AB9187F"/>
    <w:rsid w:val="6AF13796"/>
    <w:rsid w:val="6B965E5B"/>
    <w:rsid w:val="6BE24E05"/>
    <w:rsid w:val="6C33740F"/>
    <w:rsid w:val="6C6677E4"/>
    <w:rsid w:val="6C9A5295"/>
    <w:rsid w:val="6CDE34BF"/>
    <w:rsid w:val="6D572222"/>
    <w:rsid w:val="6D6A6E60"/>
    <w:rsid w:val="6D8A711B"/>
    <w:rsid w:val="6EB54BA2"/>
    <w:rsid w:val="6EBB4295"/>
    <w:rsid w:val="6F375468"/>
    <w:rsid w:val="6F765F90"/>
    <w:rsid w:val="6F7915DC"/>
    <w:rsid w:val="6FBE05E9"/>
    <w:rsid w:val="70112588"/>
    <w:rsid w:val="70131A31"/>
    <w:rsid w:val="7045716D"/>
    <w:rsid w:val="704B617C"/>
    <w:rsid w:val="704C5591"/>
    <w:rsid w:val="705966B7"/>
    <w:rsid w:val="706E1D17"/>
    <w:rsid w:val="70702484"/>
    <w:rsid w:val="70B10931"/>
    <w:rsid w:val="718E48CE"/>
    <w:rsid w:val="72576487"/>
    <w:rsid w:val="72F17C4C"/>
    <w:rsid w:val="73272C99"/>
    <w:rsid w:val="732857F3"/>
    <w:rsid w:val="73547F49"/>
    <w:rsid w:val="73A62BBC"/>
    <w:rsid w:val="73D47B1B"/>
    <w:rsid w:val="743D4B16"/>
    <w:rsid w:val="7524023C"/>
    <w:rsid w:val="75605DEF"/>
    <w:rsid w:val="75F705EE"/>
    <w:rsid w:val="7610099A"/>
    <w:rsid w:val="76276979"/>
    <w:rsid w:val="767173B7"/>
    <w:rsid w:val="76A74C81"/>
    <w:rsid w:val="76AC5DF9"/>
    <w:rsid w:val="77F17B85"/>
    <w:rsid w:val="78202F3D"/>
    <w:rsid w:val="784813C5"/>
    <w:rsid w:val="786C45B6"/>
    <w:rsid w:val="78A07E1A"/>
    <w:rsid w:val="78AB3FAF"/>
    <w:rsid w:val="790F4618"/>
    <w:rsid w:val="795456E5"/>
    <w:rsid w:val="79C25BC5"/>
    <w:rsid w:val="79DF5F38"/>
    <w:rsid w:val="7A86111E"/>
    <w:rsid w:val="7AA240DD"/>
    <w:rsid w:val="7B223D6B"/>
    <w:rsid w:val="7C260CFC"/>
    <w:rsid w:val="7C413482"/>
    <w:rsid w:val="7C6605B8"/>
    <w:rsid w:val="7CD90CCA"/>
    <w:rsid w:val="7D453845"/>
    <w:rsid w:val="7D634890"/>
    <w:rsid w:val="7D754A9C"/>
    <w:rsid w:val="7DE44C08"/>
    <w:rsid w:val="7E082795"/>
    <w:rsid w:val="7F413E4E"/>
    <w:rsid w:val="7F637BB3"/>
    <w:rsid w:val="7F8A52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qFormat="1" w:unhideWhenUsed="0" w:uiPriority="0" w:name="annotation reference"/>
    <w:lsdException w:unhideWhenUsed="0" w:uiPriority="0" w:semiHidden="0" w:name="line number"/>
    <w:lsdException w:qFormat="1" w:unhideWhenUsed="0" w:uiPriority="0" w:semiHidden="0" w:name="page number"/>
    <w:lsdException w:qFormat="1" w:unhideWhenUsed="0" w:uiPriority="0" w:name="endnote reference"/>
    <w:lsdException w:qFormat="1" w:unhideWhenUsed="0" w:uiPriority="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6">
    <w:name w:val="heading 5"/>
    <w:basedOn w:val="1"/>
    <w:next w:val="1"/>
    <w:semiHidden/>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paragraph" w:styleId="7">
    <w:name w:val="heading 6"/>
    <w:basedOn w:val="1"/>
    <w:next w:val="1"/>
    <w:link w:val="165"/>
    <w:autoRedefine/>
    <w:semiHidden/>
    <w:unhideWhenUsed/>
    <w:qFormat/>
    <w:uiPriority w:val="0"/>
    <w:pPr>
      <w:keepNext/>
      <w:keepLines/>
      <w:spacing w:before="240" w:after="64" w:line="320" w:lineRule="auto"/>
      <w:outlineLvl w:val="5"/>
    </w:pPr>
    <w:rPr>
      <w:rFonts w:ascii="等线 Light" w:hAnsi="等线 Light" w:eastAsia="等线 Light"/>
      <w:b/>
      <w:bCs/>
      <w:sz w:val="24"/>
    </w:rPr>
  </w:style>
  <w:style w:type="character" w:default="1" w:styleId="43">
    <w:name w:val="Default Paragraph Font"/>
    <w:autoRedefine/>
    <w:semiHidden/>
    <w:unhideWhenUsed/>
    <w:qFormat/>
    <w:uiPriority w:val="1"/>
  </w:style>
  <w:style w:type="table" w:default="1" w:styleId="41">
    <w:name w:val="Normal Table"/>
    <w:autoRedefine/>
    <w:semiHidden/>
    <w:unhideWhenUsed/>
    <w:qFormat/>
    <w:uiPriority w:val="99"/>
    <w:tblPr>
      <w:tblCellMar>
        <w:top w:w="0" w:type="dxa"/>
        <w:left w:w="108" w:type="dxa"/>
        <w:bottom w:w="0" w:type="dxa"/>
        <w:right w:w="108" w:type="dxa"/>
      </w:tblCellMar>
    </w:tblPr>
  </w:style>
  <w:style w:type="paragraph" w:styleId="8">
    <w:name w:val="toc 7"/>
    <w:basedOn w:val="1"/>
    <w:next w:val="1"/>
    <w:autoRedefine/>
    <w:semiHidden/>
    <w:qFormat/>
    <w:uiPriority w:val="0"/>
    <w:pPr>
      <w:tabs>
        <w:tab w:val="right" w:leader="dot" w:pos="9242"/>
      </w:tabs>
      <w:ind w:firstLine="6259" w:firstLineChars="500"/>
      <w:jc w:val="left"/>
    </w:pPr>
    <w:rPr>
      <w:rFonts w:ascii="宋体"/>
      <w:szCs w:val="21"/>
    </w:rPr>
  </w:style>
  <w:style w:type="paragraph" w:styleId="9">
    <w:name w:val="index 8"/>
    <w:basedOn w:val="1"/>
    <w:next w:val="1"/>
    <w:autoRedefine/>
    <w:qFormat/>
    <w:uiPriority w:val="0"/>
    <w:pPr>
      <w:ind w:left="1680" w:hanging="210"/>
      <w:jc w:val="left"/>
    </w:pPr>
    <w:rPr>
      <w:rFonts w:ascii="Calibri" w:hAnsi="Calibri"/>
      <w:sz w:val="20"/>
      <w:szCs w:val="20"/>
    </w:rPr>
  </w:style>
  <w:style w:type="paragraph" w:styleId="10">
    <w:name w:val="caption"/>
    <w:basedOn w:val="1"/>
    <w:next w:val="1"/>
    <w:autoRedefine/>
    <w:qFormat/>
    <w:uiPriority w:val="0"/>
    <w:pPr>
      <w:spacing w:before="152" w:after="160"/>
    </w:pPr>
    <w:rPr>
      <w:rFonts w:ascii="Arial" w:hAnsi="Arial" w:eastAsia="黑体" w:cs="Arial"/>
      <w:sz w:val="20"/>
      <w:szCs w:val="20"/>
    </w:rPr>
  </w:style>
  <w:style w:type="paragraph" w:styleId="11">
    <w:name w:val="index 5"/>
    <w:basedOn w:val="1"/>
    <w:next w:val="1"/>
    <w:autoRedefine/>
    <w:qFormat/>
    <w:uiPriority w:val="0"/>
    <w:pPr>
      <w:ind w:left="1050" w:hanging="210"/>
      <w:jc w:val="left"/>
    </w:pPr>
    <w:rPr>
      <w:rFonts w:ascii="Calibri" w:hAnsi="Calibri"/>
      <w:sz w:val="20"/>
      <w:szCs w:val="20"/>
    </w:rPr>
  </w:style>
  <w:style w:type="paragraph" w:styleId="12">
    <w:name w:val="Document Map"/>
    <w:basedOn w:val="1"/>
    <w:autoRedefine/>
    <w:semiHidden/>
    <w:qFormat/>
    <w:uiPriority w:val="0"/>
    <w:pPr>
      <w:shd w:val="clear" w:color="auto" w:fill="000080"/>
    </w:pPr>
  </w:style>
  <w:style w:type="paragraph" w:styleId="13">
    <w:name w:val="annotation text"/>
    <w:basedOn w:val="1"/>
    <w:autoRedefine/>
    <w:qFormat/>
    <w:uiPriority w:val="0"/>
    <w:pPr>
      <w:jc w:val="left"/>
    </w:pPr>
  </w:style>
  <w:style w:type="paragraph" w:styleId="14">
    <w:name w:val="index 6"/>
    <w:basedOn w:val="1"/>
    <w:next w:val="1"/>
    <w:autoRedefine/>
    <w:qFormat/>
    <w:uiPriority w:val="0"/>
    <w:pPr>
      <w:ind w:left="1260" w:hanging="210"/>
      <w:jc w:val="left"/>
    </w:pPr>
    <w:rPr>
      <w:rFonts w:ascii="Calibri" w:hAnsi="Calibri"/>
      <w:sz w:val="20"/>
      <w:szCs w:val="20"/>
    </w:rPr>
  </w:style>
  <w:style w:type="paragraph" w:styleId="15">
    <w:name w:val="Body Text"/>
    <w:basedOn w:val="1"/>
    <w:autoRedefine/>
    <w:semiHidden/>
    <w:unhideWhenUsed/>
    <w:qFormat/>
    <w:uiPriority w:val="99"/>
    <w:pPr>
      <w:spacing w:after="120"/>
    </w:pPr>
  </w:style>
  <w:style w:type="paragraph" w:styleId="16">
    <w:name w:val="index 4"/>
    <w:basedOn w:val="1"/>
    <w:next w:val="1"/>
    <w:autoRedefine/>
    <w:qFormat/>
    <w:uiPriority w:val="0"/>
    <w:pPr>
      <w:ind w:left="840" w:hanging="210"/>
      <w:jc w:val="left"/>
    </w:pPr>
    <w:rPr>
      <w:rFonts w:ascii="Calibri" w:hAnsi="Calibri"/>
      <w:sz w:val="20"/>
      <w:szCs w:val="20"/>
    </w:rPr>
  </w:style>
  <w:style w:type="paragraph" w:styleId="17">
    <w:name w:val="toc 5"/>
    <w:basedOn w:val="1"/>
    <w:next w:val="1"/>
    <w:autoRedefine/>
    <w:semiHidden/>
    <w:qFormat/>
    <w:uiPriority w:val="0"/>
    <w:pPr>
      <w:tabs>
        <w:tab w:val="right" w:leader="dot" w:pos="9242"/>
      </w:tabs>
      <w:ind w:firstLine="3755" w:firstLineChars="300"/>
      <w:jc w:val="left"/>
    </w:pPr>
    <w:rPr>
      <w:rFonts w:ascii="宋体"/>
      <w:szCs w:val="21"/>
    </w:rPr>
  </w:style>
  <w:style w:type="paragraph" w:styleId="18">
    <w:name w:val="toc 3"/>
    <w:basedOn w:val="1"/>
    <w:next w:val="1"/>
    <w:autoRedefine/>
    <w:qFormat/>
    <w:uiPriority w:val="39"/>
    <w:pPr>
      <w:tabs>
        <w:tab w:val="right" w:leader="dot" w:pos="9242"/>
      </w:tabs>
      <w:ind w:firstLine="1252" w:firstLineChars="100"/>
      <w:jc w:val="left"/>
    </w:pPr>
    <w:rPr>
      <w:rFonts w:ascii="宋体"/>
      <w:szCs w:val="21"/>
    </w:rPr>
  </w:style>
  <w:style w:type="paragraph" w:styleId="19">
    <w:name w:val="toc 8"/>
    <w:basedOn w:val="1"/>
    <w:next w:val="1"/>
    <w:autoRedefine/>
    <w:semiHidden/>
    <w:qFormat/>
    <w:uiPriority w:val="0"/>
    <w:pPr>
      <w:tabs>
        <w:tab w:val="right" w:leader="dot" w:pos="9242"/>
      </w:tabs>
      <w:ind w:firstLine="7511" w:firstLineChars="600"/>
      <w:jc w:val="left"/>
    </w:pPr>
    <w:rPr>
      <w:rFonts w:ascii="宋体"/>
      <w:szCs w:val="21"/>
    </w:rPr>
  </w:style>
  <w:style w:type="paragraph" w:styleId="20">
    <w:name w:val="index 3"/>
    <w:basedOn w:val="1"/>
    <w:next w:val="1"/>
    <w:autoRedefine/>
    <w:qFormat/>
    <w:uiPriority w:val="0"/>
    <w:pPr>
      <w:ind w:left="630" w:hanging="210"/>
      <w:jc w:val="left"/>
    </w:pPr>
    <w:rPr>
      <w:rFonts w:ascii="Calibri" w:hAnsi="Calibri"/>
      <w:sz w:val="20"/>
      <w:szCs w:val="20"/>
    </w:rPr>
  </w:style>
  <w:style w:type="paragraph" w:styleId="21">
    <w:name w:val="Body Text Indent 2"/>
    <w:basedOn w:val="1"/>
    <w:link w:val="168"/>
    <w:autoRedefine/>
    <w:unhideWhenUsed/>
    <w:qFormat/>
    <w:uiPriority w:val="99"/>
    <w:pPr>
      <w:spacing w:after="120" w:line="480" w:lineRule="auto"/>
      <w:ind w:left="420" w:leftChars="200"/>
      <w:jc w:val="left"/>
    </w:pPr>
    <w:rPr>
      <w:rFonts w:eastAsia="PMingLiU"/>
      <w:sz w:val="24"/>
      <w:lang w:eastAsia="zh-TW"/>
    </w:rPr>
  </w:style>
  <w:style w:type="paragraph" w:styleId="22">
    <w:name w:val="endnote text"/>
    <w:basedOn w:val="1"/>
    <w:autoRedefine/>
    <w:semiHidden/>
    <w:qFormat/>
    <w:uiPriority w:val="0"/>
    <w:pPr>
      <w:snapToGrid w:val="0"/>
      <w:jc w:val="left"/>
    </w:pPr>
  </w:style>
  <w:style w:type="paragraph" w:styleId="23">
    <w:name w:val="Balloon Text"/>
    <w:basedOn w:val="1"/>
    <w:autoRedefine/>
    <w:semiHidden/>
    <w:qFormat/>
    <w:uiPriority w:val="0"/>
    <w:rPr>
      <w:sz w:val="18"/>
      <w:szCs w:val="18"/>
    </w:rPr>
  </w:style>
  <w:style w:type="paragraph" w:styleId="24">
    <w:name w:val="footer"/>
    <w:basedOn w:val="1"/>
    <w:link w:val="166"/>
    <w:autoRedefine/>
    <w:qFormat/>
    <w:uiPriority w:val="99"/>
    <w:pPr>
      <w:snapToGrid w:val="0"/>
      <w:ind w:right="210" w:rightChars="100"/>
      <w:jc w:val="right"/>
    </w:pPr>
    <w:rPr>
      <w:sz w:val="18"/>
      <w:szCs w:val="18"/>
    </w:rPr>
  </w:style>
  <w:style w:type="paragraph" w:styleId="25">
    <w:name w:val="header"/>
    <w:basedOn w:val="1"/>
    <w:link w:val="63"/>
    <w:autoRedefine/>
    <w:qFormat/>
    <w:uiPriority w:val="99"/>
    <w:pPr>
      <w:snapToGrid w:val="0"/>
      <w:jc w:val="left"/>
    </w:pPr>
    <w:rPr>
      <w:sz w:val="18"/>
      <w:szCs w:val="18"/>
    </w:rPr>
  </w:style>
  <w:style w:type="paragraph" w:styleId="26">
    <w:name w:val="toc 1"/>
    <w:basedOn w:val="1"/>
    <w:next w:val="1"/>
    <w:autoRedefine/>
    <w:qFormat/>
    <w:uiPriority w:val="39"/>
    <w:pPr>
      <w:tabs>
        <w:tab w:val="right" w:leader="dot" w:pos="9242"/>
      </w:tabs>
      <w:spacing w:beforeLines="25" w:afterLines="25"/>
      <w:jc w:val="left"/>
    </w:pPr>
    <w:rPr>
      <w:rFonts w:ascii="宋体"/>
      <w:szCs w:val="21"/>
    </w:rPr>
  </w:style>
  <w:style w:type="paragraph" w:styleId="27">
    <w:name w:val="toc 4"/>
    <w:basedOn w:val="1"/>
    <w:next w:val="1"/>
    <w:autoRedefine/>
    <w:semiHidden/>
    <w:qFormat/>
    <w:uiPriority w:val="0"/>
    <w:pPr>
      <w:tabs>
        <w:tab w:val="right" w:leader="dot" w:pos="9242"/>
      </w:tabs>
      <w:ind w:firstLine="2504" w:firstLineChars="200"/>
      <w:jc w:val="left"/>
    </w:pPr>
    <w:rPr>
      <w:rFonts w:ascii="宋体"/>
      <w:szCs w:val="21"/>
    </w:rPr>
  </w:style>
  <w:style w:type="paragraph" w:styleId="28">
    <w:name w:val="index heading"/>
    <w:basedOn w:val="1"/>
    <w:next w:val="29"/>
    <w:autoRedefine/>
    <w:qFormat/>
    <w:uiPriority w:val="0"/>
    <w:pPr>
      <w:spacing w:before="120" w:after="120"/>
      <w:jc w:val="center"/>
    </w:pPr>
    <w:rPr>
      <w:rFonts w:ascii="Calibri" w:hAnsi="Calibri"/>
      <w:b/>
      <w:bCs/>
      <w:iCs/>
      <w:szCs w:val="20"/>
    </w:rPr>
  </w:style>
  <w:style w:type="paragraph" w:styleId="29">
    <w:name w:val="index 1"/>
    <w:basedOn w:val="1"/>
    <w:next w:val="30"/>
    <w:autoRedefine/>
    <w:qFormat/>
    <w:uiPriority w:val="0"/>
    <w:pPr>
      <w:tabs>
        <w:tab w:val="right" w:leader="dot" w:pos="9299"/>
      </w:tabs>
      <w:jc w:val="left"/>
    </w:pPr>
    <w:rPr>
      <w:rFonts w:ascii="宋体"/>
      <w:szCs w:val="21"/>
    </w:rPr>
  </w:style>
  <w:style w:type="paragraph" w:customStyle="1" w:styleId="30">
    <w:name w:val="段"/>
    <w:link w:val="68"/>
    <w:autoRedefine/>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styleId="31">
    <w:name w:val="footnote text"/>
    <w:basedOn w:val="1"/>
    <w:autoRedefine/>
    <w:qFormat/>
    <w:uiPriority w:val="0"/>
    <w:pPr>
      <w:numPr>
        <w:ilvl w:val="0"/>
        <w:numId w:val="1"/>
      </w:numPr>
      <w:snapToGrid w:val="0"/>
      <w:jc w:val="left"/>
    </w:pPr>
    <w:rPr>
      <w:rFonts w:ascii="宋体"/>
      <w:sz w:val="18"/>
      <w:szCs w:val="18"/>
    </w:rPr>
  </w:style>
  <w:style w:type="paragraph" w:styleId="32">
    <w:name w:val="toc 6"/>
    <w:basedOn w:val="1"/>
    <w:next w:val="1"/>
    <w:autoRedefine/>
    <w:semiHidden/>
    <w:qFormat/>
    <w:uiPriority w:val="0"/>
    <w:pPr>
      <w:tabs>
        <w:tab w:val="right" w:leader="dot" w:pos="9242"/>
      </w:tabs>
      <w:ind w:firstLine="5007" w:firstLineChars="400"/>
      <w:jc w:val="left"/>
    </w:pPr>
    <w:rPr>
      <w:rFonts w:ascii="宋体"/>
      <w:szCs w:val="21"/>
    </w:rPr>
  </w:style>
  <w:style w:type="paragraph" w:styleId="33">
    <w:name w:val="index 7"/>
    <w:basedOn w:val="1"/>
    <w:next w:val="1"/>
    <w:autoRedefine/>
    <w:qFormat/>
    <w:uiPriority w:val="0"/>
    <w:pPr>
      <w:ind w:left="1470" w:hanging="210"/>
      <w:jc w:val="left"/>
    </w:pPr>
    <w:rPr>
      <w:rFonts w:ascii="Calibri" w:hAnsi="Calibri"/>
      <w:sz w:val="20"/>
      <w:szCs w:val="20"/>
    </w:rPr>
  </w:style>
  <w:style w:type="paragraph" w:styleId="34">
    <w:name w:val="index 9"/>
    <w:basedOn w:val="1"/>
    <w:next w:val="1"/>
    <w:autoRedefine/>
    <w:qFormat/>
    <w:uiPriority w:val="0"/>
    <w:pPr>
      <w:ind w:left="1890" w:hanging="210"/>
      <w:jc w:val="left"/>
    </w:pPr>
    <w:rPr>
      <w:rFonts w:ascii="Calibri" w:hAnsi="Calibri"/>
      <w:sz w:val="20"/>
      <w:szCs w:val="20"/>
    </w:rPr>
  </w:style>
  <w:style w:type="paragraph" w:styleId="35">
    <w:name w:val="toc 2"/>
    <w:basedOn w:val="1"/>
    <w:next w:val="1"/>
    <w:autoRedefine/>
    <w:qFormat/>
    <w:uiPriority w:val="39"/>
    <w:pPr>
      <w:tabs>
        <w:tab w:val="right" w:leader="dot" w:pos="9242"/>
      </w:tabs>
    </w:pPr>
    <w:rPr>
      <w:rFonts w:ascii="宋体"/>
      <w:szCs w:val="21"/>
    </w:rPr>
  </w:style>
  <w:style w:type="paragraph" w:styleId="36">
    <w:name w:val="toc 9"/>
    <w:basedOn w:val="1"/>
    <w:next w:val="1"/>
    <w:autoRedefine/>
    <w:semiHidden/>
    <w:qFormat/>
    <w:uiPriority w:val="0"/>
    <w:pPr>
      <w:ind w:left="1470"/>
      <w:jc w:val="left"/>
    </w:pPr>
    <w:rPr>
      <w:sz w:val="20"/>
      <w:szCs w:val="20"/>
    </w:rPr>
  </w:style>
  <w:style w:type="paragraph" w:styleId="37">
    <w:name w:val="Normal (Web)"/>
    <w:basedOn w:val="1"/>
    <w:autoRedefine/>
    <w:qFormat/>
    <w:uiPriority w:val="0"/>
    <w:pPr>
      <w:spacing w:beforeAutospacing="1" w:afterAutospacing="1"/>
      <w:jc w:val="left"/>
    </w:pPr>
    <w:rPr>
      <w:kern w:val="0"/>
      <w:sz w:val="24"/>
    </w:rPr>
  </w:style>
  <w:style w:type="paragraph" w:styleId="38">
    <w:name w:val="index 2"/>
    <w:basedOn w:val="1"/>
    <w:next w:val="1"/>
    <w:autoRedefine/>
    <w:qFormat/>
    <w:uiPriority w:val="0"/>
    <w:pPr>
      <w:ind w:left="420" w:hanging="210"/>
      <w:jc w:val="left"/>
    </w:pPr>
    <w:rPr>
      <w:rFonts w:ascii="Calibri" w:hAnsi="Calibri"/>
      <w:sz w:val="20"/>
      <w:szCs w:val="20"/>
    </w:rPr>
  </w:style>
  <w:style w:type="paragraph" w:styleId="39">
    <w:name w:val="annotation subject"/>
    <w:basedOn w:val="13"/>
    <w:next w:val="13"/>
    <w:autoRedefine/>
    <w:semiHidden/>
    <w:qFormat/>
    <w:uiPriority w:val="0"/>
    <w:rPr>
      <w:b/>
      <w:bCs/>
    </w:rPr>
  </w:style>
  <w:style w:type="paragraph" w:styleId="40">
    <w:name w:val="Body Text First Indent"/>
    <w:basedOn w:val="15"/>
    <w:autoRedefine/>
    <w:qFormat/>
    <w:uiPriority w:val="0"/>
    <w:pPr>
      <w:ind w:firstLine="420" w:firstLineChars="100"/>
    </w:pPr>
  </w:style>
  <w:style w:type="table" w:styleId="42">
    <w:name w:val="Table Grid"/>
    <w:basedOn w:val="41"/>
    <w:autoRedefine/>
    <w:qFormat/>
    <w:uiPriority w:val="0"/>
    <w:rPr>
      <w:rFonts w:asci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44">
    <w:name w:val="Strong"/>
    <w:basedOn w:val="43"/>
    <w:autoRedefine/>
    <w:qFormat/>
    <w:uiPriority w:val="0"/>
    <w:rPr>
      <w:b/>
    </w:rPr>
  </w:style>
  <w:style w:type="character" w:styleId="45">
    <w:name w:val="endnote reference"/>
    <w:autoRedefine/>
    <w:semiHidden/>
    <w:qFormat/>
    <w:uiPriority w:val="0"/>
    <w:rPr>
      <w:vertAlign w:val="superscript"/>
    </w:rPr>
  </w:style>
  <w:style w:type="character" w:styleId="46">
    <w:name w:val="page number"/>
    <w:autoRedefine/>
    <w:qFormat/>
    <w:uiPriority w:val="0"/>
    <w:rPr>
      <w:rFonts w:ascii="Times New Roman" w:hAnsi="Times New Roman" w:eastAsia="宋体"/>
      <w:sz w:val="18"/>
    </w:rPr>
  </w:style>
  <w:style w:type="character" w:styleId="47">
    <w:name w:val="FollowedHyperlink"/>
    <w:autoRedefine/>
    <w:qFormat/>
    <w:uiPriority w:val="0"/>
    <w:rPr>
      <w:color w:val="800080"/>
      <w:u w:val="single"/>
    </w:rPr>
  </w:style>
  <w:style w:type="character" w:styleId="48">
    <w:name w:val="Emphasis"/>
    <w:autoRedefine/>
    <w:qFormat/>
    <w:uiPriority w:val="20"/>
    <w:rPr>
      <w:i/>
      <w:iCs/>
    </w:rPr>
  </w:style>
  <w:style w:type="character" w:styleId="49">
    <w:name w:val="Hyperlink"/>
    <w:autoRedefine/>
    <w:qFormat/>
    <w:uiPriority w:val="99"/>
    <w:rPr>
      <w:color w:val="0000FF"/>
      <w:spacing w:val="0"/>
      <w:w w:val="100"/>
      <w:szCs w:val="21"/>
      <w:u w:val="single"/>
    </w:rPr>
  </w:style>
  <w:style w:type="character" w:styleId="50">
    <w:name w:val="annotation reference"/>
    <w:autoRedefine/>
    <w:semiHidden/>
    <w:qFormat/>
    <w:uiPriority w:val="0"/>
    <w:rPr>
      <w:sz w:val="21"/>
      <w:szCs w:val="21"/>
    </w:rPr>
  </w:style>
  <w:style w:type="character" w:styleId="51">
    <w:name w:val="footnote reference"/>
    <w:autoRedefine/>
    <w:semiHidden/>
    <w:qFormat/>
    <w:uiPriority w:val="0"/>
    <w:rPr>
      <w:vertAlign w:val="superscript"/>
    </w:rPr>
  </w:style>
  <w:style w:type="paragraph" w:styleId="52">
    <w:name w:val="List Paragraph"/>
    <w:basedOn w:val="1"/>
    <w:autoRedefine/>
    <w:qFormat/>
    <w:uiPriority w:val="34"/>
    <w:pPr>
      <w:ind w:firstLine="420" w:firstLineChars="200"/>
    </w:pPr>
  </w:style>
  <w:style w:type="character" w:styleId="53">
    <w:name w:val="Placeholder Text"/>
    <w:autoRedefine/>
    <w:semiHidden/>
    <w:qFormat/>
    <w:uiPriority w:val="99"/>
    <w:rPr>
      <w:color w:val="808080"/>
    </w:rPr>
  </w:style>
  <w:style w:type="character" w:customStyle="1" w:styleId="54">
    <w:name w:val="font531"/>
    <w:autoRedefine/>
    <w:qFormat/>
    <w:uiPriority w:val="0"/>
    <w:rPr>
      <w:rFonts w:hint="default" w:ascii="Arial" w:hAnsi="Arial" w:cs="Arial"/>
      <w:color w:val="000000"/>
      <w:sz w:val="24"/>
      <w:szCs w:val="24"/>
      <w:u w:val="none"/>
    </w:rPr>
  </w:style>
  <w:style w:type="character" w:customStyle="1" w:styleId="55">
    <w:name w:val="首示例 Char"/>
    <w:link w:val="56"/>
    <w:autoRedefine/>
    <w:qFormat/>
    <w:uiPriority w:val="0"/>
    <w:rPr>
      <w:rFonts w:ascii="宋体" w:hAnsi="宋体"/>
      <w:kern w:val="2"/>
      <w:sz w:val="18"/>
      <w:szCs w:val="18"/>
      <w:lang w:val="en-US" w:eastAsia="zh-CN" w:bidi="ar-SA"/>
    </w:rPr>
  </w:style>
  <w:style w:type="paragraph" w:customStyle="1" w:styleId="56">
    <w:name w:val="首示例"/>
    <w:next w:val="30"/>
    <w:link w:val="55"/>
    <w:autoRedefine/>
    <w:qFormat/>
    <w:uiPriority w:val="0"/>
    <w:pPr>
      <w:tabs>
        <w:tab w:val="left" w:pos="360"/>
      </w:tabs>
    </w:pPr>
    <w:rPr>
      <w:rFonts w:ascii="宋体" w:hAnsi="宋体" w:eastAsia="宋体" w:cs="Times New Roman"/>
      <w:kern w:val="2"/>
      <w:sz w:val="18"/>
      <w:szCs w:val="18"/>
      <w:lang w:val="en-US" w:eastAsia="zh-CN" w:bidi="ar-SA"/>
    </w:rPr>
  </w:style>
  <w:style w:type="character" w:customStyle="1" w:styleId="57">
    <w:name w:val="font451"/>
    <w:autoRedefine/>
    <w:qFormat/>
    <w:uiPriority w:val="0"/>
    <w:rPr>
      <w:rFonts w:hint="eastAsia" w:ascii="等线" w:hAnsi="等线" w:eastAsia="等线"/>
      <w:color w:val="000000"/>
      <w:sz w:val="22"/>
      <w:szCs w:val="22"/>
      <w:u w:val="none"/>
    </w:rPr>
  </w:style>
  <w:style w:type="character" w:customStyle="1" w:styleId="58">
    <w:name w:val="二级条标题 Char"/>
    <w:link w:val="59"/>
    <w:autoRedefine/>
    <w:qFormat/>
    <w:locked/>
    <w:uiPriority w:val="0"/>
    <w:rPr>
      <w:rFonts w:ascii="黑体" w:eastAsia="黑体"/>
      <w:sz w:val="21"/>
      <w:szCs w:val="21"/>
    </w:rPr>
  </w:style>
  <w:style w:type="paragraph" w:customStyle="1" w:styleId="59">
    <w:name w:val="二级条标题"/>
    <w:basedOn w:val="60"/>
    <w:next w:val="30"/>
    <w:link w:val="58"/>
    <w:autoRedefine/>
    <w:qFormat/>
    <w:uiPriority w:val="0"/>
    <w:pPr>
      <w:numPr>
        <w:ilvl w:val="2"/>
      </w:numPr>
      <w:spacing w:before="50" w:after="50"/>
      <w:ind w:left="1843"/>
      <w:outlineLvl w:val="3"/>
    </w:pPr>
  </w:style>
  <w:style w:type="paragraph" w:customStyle="1" w:styleId="60">
    <w:name w:val="一级条标题"/>
    <w:next w:val="30"/>
    <w:autoRedefine/>
    <w:qFormat/>
    <w:uiPriority w:val="0"/>
    <w:pPr>
      <w:numPr>
        <w:ilvl w:val="1"/>
        <w:numId w:val="2"/>
      </w:numPr>
      <w:spacing w:beforeLines="50" w:afterLines="50"/>
      <w:outlineLvl w:val="2"/>
    </w:pPr>
    <w:rPr>
      <w:rFonts w:ascii="黑体" w:hAnsi="Times New Roman" w:eastAsia="黑体" w:cs="Times New Roman"/>
      <w:sz w:val="21"/>
      <w:szCs w:val="21"/>
      <w:lang w:val="en-US" w:eastAsia="zh-CN" w:bidi="ar-SA"/>
    </w:rPr>
  </w:style>
  <w:style w:type="character" w:customStyle="1" w:styleId="61">
    <w:name w:val="三级条标题 Char"/>
    <w:link w:val="62"/>
    <w:autoRedefine/>
    <w:qFormat/>
    <w:uiPriority w:val="0"/>
    <w:rPr>
      <w:rFonts w:ascii="黑体" w:eastAsia="黑体"/>
      <w:sz w:val="21"/>
      <w:szCs w:val="21"/>
    </w:rPr>
  </w:style>
  <w:style w:type="paragraph" w:customStyle="1" w:styleId="62">
    <w:name w:val="三级条标题"/>
    <w:basedOn w:val="59"/>
    <w:next w:val="30"/>
    <w:link w:val="61"/>
    <w:autoRedefine/>
    <w:qFormat/>
    <w:uiPriority w:val="0"/>
    <w:pPr>
      <w:numPr>
        <w:ilvl w:val="3"/>
      </w:numPr>
      <w:outlineLvl w:val="4"/>
    </w:pPr>
  </w:style>
  <w:style w:type="character" w:customStyle="1" w:styleId="63">
    <w:name w:val="页眉 字符"/>
    <w:link w:val="25"/>
    <w:autoRedefine/>
    <w:qFormat/>
    <w:uiPriority w:val="99"/>
    <w:rPr>
      <w:kern w:val="2"/>
      <w:sz w:val="18"/>
      <w:szCs w:val="18"/>
    </w:rPr>
  </w:style>
  <w:style w:type="character" w:customStyle="1" w:styleId="64">
    <w:name w:val="样式1 字符"/>
    <w:link w:val="65"/>
    <w:autoRedefine/>
    <w:qFormat/>
    <w:uiPriority w:val="0"/>
    <w:rPr>
      <w:rFonts w:ascii="Cambria Math" w:hAnsi="Cambria Math"/>
      <w:i/>
      <w:sz w:val="28"/>
      <w:szCs w:val="28"/>
      <w:lang w:val="en-US" w:eastAsia="zh-CN" w:bidi="ar-SA"/>
    </w:rPr>
  </w:style>
  <w:style w:type="paragraph" w:customStyle="1" w:styleId="65">
    <w:name w:val="样式1"/>
    <w:basedOn w:val="66"/>
    <w:link w:val="64"/>
    <w:autoRedefine/>
    <w:qFormat/>
    <w:uiPriority w:val="0"/>
    <w:pPr>
      <w:tabs>
        <w:tab w:val="center" w:pos="4201"/>
        <w:tab w:val="right" w:leader="dot" w:pos="9298"/>
      </w:tabs>
      <w:spacing w:beforeLines="50" w:afterLines="50"/>
      <w:ind w:firstLine="200"/>
    </w:pPr>
    <w:rPr>
      <w:rFonts w:ascii="Cambria Math" w:hAnsi="Cambria Math"/>
      <w:i/>
      <w:sz w:val="28"/>
      <w:szCs w:val="28"/>
    </w:rPr>
  </w:style>
  <w:style w:type="paragraph" w:customStyle="1" w:styleId="66">
    <w:name w:val="附录公式"/>
    <w:basedOn w:val="30"/>
    <w:next w:val="30"/>
    <w:link w:val="67"/>
    <w:autoRedefine/>
    <w:qFormat/>
    <w:uiPriority w:val="0"/>
  </w:style>
  <w:style w:type="character" w:customStyle="1" w:styleId="67">
    <w:name w:val="附录公式 Char"/>
    <w:link w:val="66"/>
    <w:autoRedefine/>
    <w:qFormat/>
    <w:uiPriority w:val="0"/>
    <w:rPr>
      <w:rFonts w:ascii="宋体"/>
      <w:sz w:val="21"/>
      <w:lang w:val="en-US" w:eastAsia="zh-CN" w:bidi="ar-SA"/>
    </w:rPr>
  </w:style>
  <w:style w:type="character" w:customStyle="1" w:styleId="68">
    <w:name w:val="段 Char"/>
    <w:link w:val="30"/>
    <w:autoRedefine/>
    <w:qFormat/>
    <w:uiPriority w:val="0"/>
    <w:rPr>
      <w:rFonts w:ascii="宋体"/>
      <w:sz w:val="21"/>
      <w:lang w:val="en-US" w:eastAsia="zh-CN" w:bidi="ar-SA"/>
    </w:rPr>
  </w:style>
  <w:style w:type="character" w:customStyle="1" w:styleId="69">
    <w:name w:val="font441"/>
    <w:autoRedefine/>
    <w:qFormat/>
    <w:uiPriority w:val="0"/>
    <w:rPr>
      <w:rFonts w:hint="eastAsia" w:ascii="等线" w:hAnsi="等线" w:eastAsia="等线"/>
      <w:color w:val="000000"/>
      <w:sz w:val="24"/>
      <w:szCs w:val="24"/>
      <w:u w:val="none"/>
    </w:rPr>
  </w:style>
  <w:style w:type="character" w:customStyle="1" w:styleId="70">
    <w:name w:val="font541"/>
    <w:autoRedefine/>
    <w:qFormat/>
    <w:uiPriority w:val="0"/>
    <w:rPr>
      <w:rFonts w:hint="default" w:ascii="Arial" w:hAnsi="Arial" w:cs="Arial"/>
      <w:color w:val="000000"/>
      <w:sz w:val="22"/>
      <w:szCs w:val="22"/>
      <w:u w:val="none"/>
    </w:rPr>
  </w:style>
  <w:style w:type="character" w:customStyle="1" w:styleId="71">
    <w:name w:val="发布"/>
    <w:autoRedefine/>
    <w:qFormat/>
    <w:uiPriority w:val="0"/>
    <w:rPr>
      <w:rFonts w:ascii="黑体" w:eastAsia="黑体"/>
      <w:spacing w:val="85"/>
      <w:w w:val="100"/>
      <w:position w:val="3"/>
      <w:sz w:val="28"/>
      <w:szCs w:val="28"/>
    </w:rPr>
  </w:style>
  <w:style w:type="character" w:customStyle="1" w:styleId="72">
    <w:name w:val="apple-style-span"/>
    <w:autoRedefine/>
    <w:qFormat/>
    <w:uiPriority w:val="0"/>
  </w:style>
  <w:style w:type="paragraph" w:customStyle="1" w:styleId="73">
    <w:name w:val="注×："/>
    <w:autoRedefine/>
    <w:qFormat/>
    <w:uiPriority w:val="0"/>
    <w:pPr>
      <w:widowControl w:val="0"/>
      <w:autoSpaceDE w:val="0"/>
      <w:autoSpaceDN w:val="0"/>
      <w:ind w:left="811" w:hanging="448"/>
      <w:jc w:val="both"/>
    </w:pPr>
    <w:rPr>
      <w:rFonts w:ascii="宋体" w:hAnsi="Times New Roman" w:eastAsia="宋体" w:cs="Times New Roman"/>
      <w:sz w:val="18"/>
      <w:szCs w:val="18"/>
      <w:lang w:val="en-US" w:eastAsia="zh-CN" w:bidi="ar-SA"/>
    </w:rPr>
  </w:style>
  <w:style w:type="paragraph" w:customStyle="1" w:styleId="74">
    <w:name w:val="参考文献"/>
    <w:basedOn w:val="1"/>
    <w:next w:val="30"/>
    <w:autoRedefine/>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75">
    <w:name w:val="附录五级无"/>
    <w:basedOn w:val="76"/>
    <w:autoRedefine/>
    <w:qFormat/>
    <w:uiPriority w:val="0"/>
    <w:pPr>
      <w:spacing w:beforeLines="0" w:afterLines="0"/>
    </w:pPr>
    <w:rPr>
      <w:rFonts w:ascii="宋体" w:eastAsia="宋体"/>
      <w:szCs w:val="21"/>
    </w:rPr>
  </w:style>
  <w:style w:type="paragraph" w:customStyle="1" w:styleId="76">
    <w:name w:val="附录五级条标题"/>
    <w:basedOn w:val="77"/>
    <w:next w:val="30"/>
    <w:autoRedefine/>
    <w:qFormat/>
    <w:uiPriority w:val="0"/>
    <w:pPr>
      <w:outlineLvl w:val="6"/>
    </w:pPr>
  </w:style>
  <w:style w:type="paragraph" w:customStyle="1" w:styleId="77">
    <w:name w:val="附录四级条标题"/>
    <w:basedOn w:val="78"/>
    <w:next w:val="30"/>
    <w:autoRedefine/>
    <w:qFormat/>
    <w:uiPriority w:val="0"/>
    <w:pPr>
      <w:outlineLvl w:val="5"/>
    </w:pPr>
  </w:style>
  <w:style w:type="paragraph" w:customStyle="1" w:styleId="78">
    <w:name w:val="附录三级条标题"/>
    <w:basedOn w:val="79"/>
    <w:next w:val="30"/>
    <w:autoRedefine/>
    <w:qFormat/>
    <w:uiPriority w:val="0"/>
    <w:pPr>
      <w:outlineLvl w:val="4"/>
    </w:pPr>
  </w:style>
  <w:style w:type="paragraph" w:customStyle="1" w:styleId="79">
    <w:name w:val="附录二级条标题"/>
    <w:basedOn w:val="1"/>
    <w:next w:val="30"/>
    <w:autoRedefine/>
    <w:qFormat/>
    <w:uiPriority w:val="0"/>
    <w:pPr>
      <w:widowControl/>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80">
    <w:name w:val="附录标题"/>
    <w:basedOn w:val="30"/>
    <w:next w:val="30"/>
    <w:autoRedefine/>
    <w:qFormat/>
    <w:uiPriority w:val="0"/>
    <w:pPr>
      <w:ind w:firstLine="0" w:firstLineChars="0"/>
      <w:jc w:val="center"/>
    </w:pPr>
    <w:rPr>
      <w:rFonts w:ascii="黑体" w:eastAsia="黑体"/>
    </w:rPr>
  </w:style>
  <w:style w:type="paragraph" w:customStyle="1" w:styleId="81">
    <w:name w:val="注：（正文）"/>
    <w:basedOn w:val="82"/>
    <w:next w:val="30"/>
    <w:autoRedefine/>
    <w:qFormat/>
    <w:uiPriority w:val="0"/>
  </w:style>
  <w:style w:type="paragraph" w:customStyle="1" w:styleId="82">
    <w:name w:val="注："/>
    <w:next w:val="30"/>
    <w:autoRedefine/>
    <w:qFormat/>
    <w:uiPriority w:val="0"/>
    <w:pPr>
      <w:widowControl w:val="0"/>
      <w:autoSpaceDE w:val="0"/>
      <w:autoSpaceDN w:val="0"/>
      <w:ind w:left="726" w:hanging="363"/>
      <w:jc w:val="both"/>
    </w:pPr>
    <w:rPr>
      <w:rFonts w:ascii="宋体" w:hAnsi="Times New Roman" w:eastAsia="宋体" w:cs="Times New Roman"/>
      <w:sz w:val="18"/>
      <w:szCs w:val="18"/>
      <w:lang w:val="en-US" w:eastAsia="zh-CN" w:bidi="ar-SA"/>
    </w:rPr>
  </w:style>
  <w:style w:type="paragraph" w:customStyle="1" w:styleId="83">
    <w:name w:val="封面标准名称"/>
    <w:autoRedefine/>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84">
    <w:name w:val="附录一级无"/>
    <w:basedOn w:val="85"/>
    <w:autoRedefine/>
    <w:qFormat/>
    <w:uiPriority w:val="0"/>
    <w:pPr>
      <w:spacing w:beforeLines="0" w:afterLines="0"/>
    </w:pPr>
    <w:rPr>
      <w:rFonts w:ascii="宋体" w:eastAsia="宋体"/>
      <w:szCs w:val="21"/>
    </w:rPr>
  </w:style>
  <w:style w:type="paragraph" w:customStyle="1" w:styleId="85">
    <w:name w:val="附录一级条标题"/>
    <w:basedOn w:val="86"/>
    <w:next w:val="30"/>
    <w:autoRedefine/>
    <w:qFormat/>
    <w:uiPriority w:val="0"/>
    <w:pPr>
      <w:numPr>
        <w:ilvl w:val="0"/>
        <w:numId w:val="0"/>
      </w:numPr>
      <w:autoSpaceDN w:val="0"/>
      <w:spacing w:beforeLines="50" w:afterLines="50"/>
      <w:outlineLvl w:val="2"/>
    </w:pPr>
  </w:style>
  <w:style w:type="paragraph" w:customStyle="1" w:styleId="86">
    <w:name w:val="附录章标题"/>
    <w:next w:val="30"/>
    <w:autoRedefine/>
    <w:qFormat/>
    <w:uiPriority w:val="0"/>
    <w:pPr>
      <w:numPr>
        <w:ilvl w:val="1"/>
        <w:numId w:val="3"/>
      </w:numPr>
      <w:wordWrap w:val="0"/>
      <w:overflowPunct w:val="0"/>
      <w:autoSpaceDE w:val="0"/>
      <w:spacing w:beforeLines="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87">
    <w:name w:val="附录三级无"/>
    <w:basedOn w:val="78"/>
    <w:autoRedefine/>
    <w:qFormat/>
    <w:uiPriority w:val="0"/>
    <w:pPr>
      <w:spacing w:beforeLines="0" w:afterLines="0"/>
    </w:pPr>
    <w:rPr>
      <w:rFonts w:ascii="宋体" w:eastAsia="宋体"/>
      <w:szCs w:val="21"/>
    </w:rPr>
  </w:style>
  <w:style w:type="paragraph" w:customStyle="1" w:styleId="88">
    <w:name w:val="文献分类号"/>
    <w:autoRedefine/>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89">
    <w:name w:val="附录数字编号列项（二级）"/>
    <w:autoRedefine/>
    <w:qFormat/>
    <w:uiPriority w:val="0"/>
    <w:pPr>
      <w:numPr>
        <w:ilvl w:val="1"/>
        <w:numId w:val="4"/>
      </w:numPr>
    </w:pPr>
    <w:rPr>
      <w:rFonts w:ascii="宋体" w:hAnsi="Times New Roman" w:eastAsia="宋体" w:cs="Times New Roman"/>
      <w:sz w:val="21"/>
      <w:lang w:val="en-US" w:eastAsia="zh-CN" w:bidi="ar-SA"/>
    </w:rPr>
  </w:style>
  <w:style w:type="paragraph" w:customStyle="1" w:styleId="90">
    <w:name w:val="标准书眉_偶数页"/>
    <w:basedOn w:val="91"/>
    <w:next w:val="1"/>
    <w:autoRedefine/>
    <w:qFormat/>
    <w:uiPriority w:val="0"/>
    <w:pPr>
      <w:tabs>
        <w:tab w:val="center" w:pos="4154"/>
        <w:tab w:val="right" w:pos="8306"/>
      </w:tabs>
      <w:jc w:val="left"/>
    </w:pPr>
  </w:style>
  <w:style w:type="paragraph" w:customStyle="1" w:styleId="91">
    <w:name w:val="标准书眉_奇数页"/>
    <w:next w:val="1"/>
    <w:autoRedefine/>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92">
    <w:name w:val="发布部门"/>
    <w:next w:val="30"/>
    <w:autoRedefine/>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93">
    <w:name w:val="五级无"/>
    <w:basedOn w:val="94"/>
    <w:autoRedefine/>
    <w:qFormat/>
    <w:uiPriority w:val="0"/>
    <w:pPr>
      <w:spacing w:beforeLines="0" w:afterLines="0"/>
    </w:pPr>
    <w:rPr>
      <w:rFonts w:ascii="宋体" w:eastAsia="宋体"/>
    </w:rPr>
  </w:style>
  <w:style w:type="paragraph" w:customStyle="1" w:styleId="94">
    <w:name w:val="五级条标题"/>
    <w:basedOn w:val="95"/>
    <w:next w:val="30"/>
    <w:autoRedefine/>
    <w:qFormat/>
    <w:uiPriority w:val="0"/>
    <w:pPr>
      <w:numPr>
        <w:ilvl w:val="0"/>
        <w:numId w:val="0"/>
      </w:numPr>
      <w:outlineLvl w:val="6"/>
    </w:pPr>
  </w:style>
  <w:style w:type="paragraph" w:customStyle="1" w:styleId="95">
    <w:name w:val="四级条标题"/>
    <w:basedOn w:val="62"/>
    <w:next w:val="30"/>
    <w:autoRedefine/>
    <w:qFormat/>
    <w:uiPriority w:val="0"/>
    <w:pPr>
      <w:numPr>
        <w:ilvl w:val="4"/>
      </w:numPr>
      <w:outlineLvl w:val="5"/>
    </w:pPr>
  </w:style>
  <w:style w:type="paragraph" w:customStyle="1" w:styleId="96">
    <w:name w:val="封面一致性程度标识"/>
    <w:basedOn w:val="97"/>
    <w:autoRedefine/>
    <w:qFormat/>
    <w:uiPriority w:val="0"/>
    <w:pPr>
      <w:framePr w:wrap="around"/>
      <w:spacing w:before="440"/>
    </w:pPr>
    <w:rPr>
      <w:rFonts w:ascii="宋体" w:eastAsia="宋体"/>
    </w:rPr>
  </w:style>
  <w:style w:type="paragraph" w:customStyle="1" w:styleId="97">
    <w:name w:val="封面标准英文名称"/>
    <w:basedOn w:val="83"/>
    <w:autoRedefine/>
    <w:qFormat/>
    <w:uiPriority w:val="0"/>
    <w:pPr>
      <w:framePr w:wrap="around"/>
      <w:spacing w:before="370" w:line="400" w:lineRule="exact"/>
    </w:pPr>
    <w:rPr>
      <w:rFonts w:ascii="Times New Roman"/>
      <w:sz w:val="28"/>
      <w:szCs w:val="28"/>
    </w:rPr>
  </w:style>
  <w:style w:type="paragraph" w:customStyle="1" w:styleId="98">
    <w:name w:val="其他发布部门"/>
    <w:basedOn w:val="92"/>
    <w:autoRedefine/>
    <w:qFormat/>
    <w:uiPriority w:val="0"/>
    <w:pPr>
      <w:framePr w:wrap="around" w:y="15310"/>
      <w:spacing w:line="0" w:lineRule="atLeast"/>
    </w:pPr>
    <w:rPr>
      <w:rFonts w:ascii="黑体" w:eastAsia="黑体"/>
      <w:b w:val="0"/>
    </w:rPr>
  </w:style>
  <w:style w:type="paragraph" w:customStyle="1" w:styleId="99">
    <w:name w:val="目次、标准名称标题"/>
    <w:basedOn w:val="1"/>
    <w:next w:val="30"/>
    <w:autoRedefine/>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100">
    <w:name w:val="附录图标号"/>
    <w:basedOn w:val="1"/>
    <w:autoRedefine/>
    <w:qFormat/>
    <w:uiPriority w:val="0"/>
    <w:pPr>
      <w:keepNext/>
      <w:pageBreakBefore/>
      <w:widowControl/>
      <w:numPr>
        <w:ilvl w:val="0"/>
        <w:numId w:val="5"/>
      </w:numPr>
      <w:spacing w:line="14" w:lineRule="exact"/>
      <w:jc w:val="center"/>
      <w:outlineLvl w:val="0"/>
    </w:pPr>
    <w:rPr>
      <w:color w:val="FFFFFF"/>
    </w:rPr>
  </w:style>
  <w:style w:type="paragraph" w:customStyle="1" w:styleId="101">
    <w:name w:val="附录表标题"/>
    <w:basedOn w:val="1"/>
    <w:next w:val="30"/>
    <w:autoRedefine/>
    <w:qFormat/>
    <w:uiPriority w:val="0"/>
    <w:pPr>
      <w:numPr>
        <w:ilvl w:val="1"/>
        <w:numId w:val="6"/>
      </w:numPr>
      <w:spacing w:beforeLines="50" w:afterLines="50"/>
      <w:jc w:val="center"/>
    </w:pPr>
    <w:rPr>
      <w:rFonts w:ascii="黑体" w:eastAsia="黑体"/>
      <w:szCs w:val="21"/>
    </w:rPr>
  </w:style>
  <w:style w:type="paragraph" w:customStyle="1" w:styleId="102">
    <w:name w:val="附录公式编号制表符"/>
    <w:basedOn w:val="1"/>
    <w:next w:val="30"/>
    <w:autoRedefine/>
    <w:qFormat/>
    <w:uiPriority w:val="0"/>
    <w:pPr>
      <w:widowControl/>
      <w:tabs>
        <w:tab w:val="center" w:pos="4201"/>
        <w:tab w:val="right" w:leader="dot" w:pos="9298"/>
      </w:tabs>
      <w:autoSpaceDE w:val="0"/>
      <w:autoSpaceDN w:val="0"/>
    </w:pPr>
    <w:rPr>
      <w:rFonts w:ascii="宋体"/>
      <w:kern w:val="0"/>
      <w:szCs w:val="20"/>
    </w:rPr>
  </w:style>
  <w:style w:type="paragraph" w:customStyle="1" w:styleId="103">
    <w:name w:val="标准书脚_奇数页"/>
    <w:autoRedefine/>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104">
    <w:name w:val="附录标识"/>
    <w:basedOn w:val="1"/>
    <w:next w:val="30"/>
    <w:autoRedefine/>
    <w:qFormat/>
    <w:uiPriority w:val="0"/>
    <w:pPr>
      <w:keepNext/>
      <w:widowControl/>
      <w:numPr>
        <w:ilvl w:val="0"/>
        <w:numId w:val="3"/>
      </w:numPr>
      <w:shd w:val="clear" w:color="FFFFFF" w:fill="FFFFFF"/>
      <w:tabs>
        <w:tab w:val="left" w:pos="6405"/>
      </w:tabs>
      <w:spacing w:before="640" w:after="280"/>
      <w:jc w:val="center"/>
      <w:outlineLvl w:val="0"/>
    </w:pPr>
    <w:rPr>
      <w:rFonts w:ascii="黑体" w:eastAsia="黑体"/>
      <w:kern w:val="0"/>
      <w:szCs w:val="20"/>
    </w:rPr>
  </w:style>
  <w:style w:type="paragraph" w:customStyle="1" w:styleId="105">
    <w:name w:val="注×：（正文）"/>
    <w:autoRedefine/>
    <w:qFormat/>
    <w:uiPriority w:val="0"/>
    <w:pPr>
      <w:numPr>
        <w:ilvl w:val="0"/>
        <w:numId w:val="7"/>
      </w:numPr>
      <w:jc w:val="both"/>
    </w:pPr>
    <w:rPr>
      <w:rFonts w:ascii="宋体" w:hAnsi="Times New Roman" w:eastAsia="宋体" w:cs="Times New Roman"/>
      <w:sz w:val="18"/>
      <w:szCs w:val="18"/>
      <w:lang w:val="en-US" w:eastAsia="zh-CN" w:bidi="ar-SA"/>
    </w:rPr>
  </w:style>
  <w:style w:type="paragraph" w:customStyle="1" w:styleId="106">
    <w:name w:val="封面标准文稿编辑信息"/>
    <w:basedOn w:val="107"/>
    <w:autoRedefine/>
    <w:qFormat/>
    <w:uiPriority w:val="0"/>
    <w:pPr>
      <w:framePr w:wrap="around"/>
      <w:spacing w:before="180" w:line="180" w:lineRule="exact"/>
    </w:pPr>
    <w:rPr>
      <w:sz w:val="21"/>
    </w:rPr>
  </w:style>
  <w:style w:type="paragraph" w:customStyle="1" w:styleId="107">
    <w:name w:val="封面标准文稿类别"/>
    <w:basedOn w:val="96"/>
    <w:autoRedefine/>
    <w:qFormat/>
    <w:uiPriority w:val="0"/>
    <w:pPr>
      <w:framePr w:wrap="around"/>
      <w:spacing w:after="160" w:line="240" w:lineRule="auto"/>
    </w:pPr>
    <w:rPr>
      <w:sz w:val="24"/>
    </w:rPr>
  </w:style>
  <w:style w:type="paragraph" w:customStyle="1" w:styleId="108">
    <w:name w:val="目次、索引正文"/>
    <w:autoRedefine/>
    <w:qFormat/>
    <w:uiPriority w:val="0"/>
    <w:pPr>
      <w:spacing w:line="320" w:lineRule="exact"/>
      <w:jc w:val="both"/>
    </w:pPr>
    <w:rPr>
      <w:rFonts w:ascii="宋体" w:hAnsi="Times New Roman" w:eastAsia="宋体" w:cs="Times New Roman"/>
      <w:sz w:val="21"/>
      <w:lang w:val="en-US" w:eastAsia="zh-CN" w:bidi="ar-SA"/>
    </w:rPr>
  </w:style>
  <w:style w:type="paragraph" w:customStyle="1" w:styleId="109">
    <w:name w:val="列项◆（三级）"/>
    <w:basedOn w:val="1"/>
    <w:autoRedefine/>
    <w:qFormat/>
    <w:uiPriority w:val="0"/>
    <w:pPr>
      <w:numPr>
        <w:ilvl w:val="2"/>
        <w:numId w:val="8"/>
      </w:numPr>
    </w:pPr>
    <w:rPr>
      <w:rFonts w:ascii="宋体"/>
      <w:szCs w:val="21"/>
    </w:rPr>
  </w:style>
  <w:style w:type="paragraph" w:customStyle="1" w:styleId="110">
    <w:name w:val="其他标准称谓"/>
    <w:next w:val="1"/>
    <w:autoRedefine/>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111">
    <w:name w:val="附录二级无"/>
    <w:basedOn w:val="79"/>
    <w:autoRedefine/>
    <w:qFormat/>
    <w:uiPriority w:val="0"/>
    <w:pPr>
      <w:spacing w:beforeLines="0" w:afterLines="0"/>
    </w:pPr>
    <w:rPr>
      <w:rFonts w:ascii="宋体" w:eastAsia="宋体"/>
      <w:szCs w:val="21"/>
    </w:rPr>
  </w:style>
  <w:style w:type="paragraph" w:customStyle="1" w:styleId="112">
    <w:name w:val="实施日期"/>
    <w:basedOn w:val="113"/>
    <w:autoRedefine/>
    <w:qFormat/>
    <w:uiPriority w:val="0"/>
    <w:pPr>
      <w:framePr w:wrap="around" w:vAnchor="page" w:hAnchor="text"/>
      <w:jc w:val="right"/>
    </w:pPr>
  </w:style>
  <w:style w:type="paragraph" w:customStyle="1" w:styleId="113">
    <w:name w:val="发布日期"/>
    <w:autoRedefine/>
    <w:qFormat/>
    <w:uiPriority w:val="0"/>
    <w:pPr>
      <w:framePr w:w="3997" w:h="471" w:hRule="exact" w:vSpace="181" w:wrap="around" w:vAnchor="margin" w:hAnchor="page" w:x="7089" w:y="14097" w:anchorLock="1"/>
    </w:pPr>
    <w:rPr>
      <w:rFonts w:ascii="Times New Roman" w:hAnsi="Times New Roman" w:eastAsia="黑体" w:cs="Times New Roman"/>
      <w:sz w:val="28"/>
      <w:lang w:val="en-US" w:eastAsia="zh-CN" w:bidi="ar-SA"/>
    </w:rPr>
  </w:style>
  <w:style w:type="paragraph" w:customStyle="1" w:styleId="114">
    <w:name w:val="列项说明"/>
    <w:basedOn w:val="1"/>
    <w:autoRedefine/>
    <w:qFormat/>
    <w:uiPriority w:val="0"/>
    <w:pPr>
      <w:adjustRightInd w:val="0"/>
      <w:spacing w:line="320" w:lineRule="exact"/>
      <w:ind w:left="400" w:leftChars="200" w:hanging="200" w:hangingChars="200"/>
      <w:jc w:val="left"/>
      <w:textAlignment w:val="baseline"/>
    </w:pPr>
    <w:rPr>
      <w:rFonts w:ascii="宋体"/>
      <w:kern w:val="0"/>
      <w:szCs w:val="20"/>
    </w:rPr>
  </w:style>
  <w:style w:type="paragraph" w:customStyle="1" w:styleId="115">
    <w:name w:val="字母编号列项（一级）"/>
    <w:autoRedefine/>
    <w:qFormat/>
    <w:uiPriority w:val="0"/>
    <w:pPr>
      <w:numPr>
        <w:ilvl w:val="0"/>
        <w:numId w:val="9"/>
      </w:numPr>
      <w:jc w:val="both"/>
    </w:pPr>
    <w:rPr>
      <w:rFonts w:ascii="宋体" w:hAnsi="Times New Roman" w:eastAsia="宋体" w:cs="Times New Roman"/>
      <w:sz w:val="21"/>
      <w:lang w:val="en-US" w:eastAsia="zh-CN" w:bidi="ar-SA"/>
    </w:rPr>
  </w:style>
  <w:style w:type="paragraph" w:customStyle="1" w:styleId="116">
    <w:name w:val="数字编号列项（二级）"/>
    <w:autoRedefine/>
    <w:qFormat/>
    <w:uiPriority w:val="0"/>
    <w:pPr>
      <w:numPr>
        <w:ilvl w:val="1"/>
        <w:numId w:val="9"/>
      </w:numPr>
      <w:jc w:val="both"/>
    </w:pPr>
    <w:rPr>
      <w:rFonts w:ascii="宋体" w:hAnsi="Times New Roman" w:eastAsia="宋体" w:cs="Times New Roman"/>
      <w:sz w:val="21"/>
      <w:lang w:val="en-US" w:eastAsia="zh-CN" w:bidi="ar-SA"/>
    </w:rPr>
  </w:style>
  <w:style w:type="paragraph" w:customStyle="1" w:styleId="117">
    <w:name w:val="图表脚注说明"/>
    <w:basedOn w:val="1"/>
    <w:autoRedefine/>
    <w:qFormat/>
    <w:uiPriority w:val="0"/>
    <w:pPr>
      <w:ind w:left="544" w:hanging="181"/>
    </w:pPr>
    <w:rPr>
      <w:rFonts w:ascii="宋体"/>
      <w:sz w:val="18"/>
      <w:szCs w:val="18"/>
    </w:rPr>
  </w:style>
  <w:style w:type="paragraph" w:customStyle="1" w:styleId="118">
    <w:name w:val="列项●（二级）"/>
    <w:autoRedefine/>
    <w:qFormat/>
    <w:uiPriority w:val="0"/>
    <w:pPr>
      <w:numPr>
        <w:ilvl w:val="1"/>
        <w:numId w:val="8"/>
      </w:numPr>
      <w:tabs>
        <w:tab w:val="left" w:pos="840"/>
      </w:tabs>
      <w:jc w:val="both"/>
    </w:pPr>
    <w:rPr>
      <w:rFonts w:ascii="宋体" w:hAnsi="Times New Roman" w:eastAsia="宋体" w:cs="Times New Roman"/>
      <w:sz w:val="21"/>
      <w:lang w:val="en-US" w:eastAsia="zh-CN" w:bidi="ar-SA"/>
    </w:rPr>
  </w:style>
  <w:style w:type="paragraph" w:customStyle="1" w:styleId="119">
    <w:name w:val="示例"/>
    <w:next w:val="120"/>
    <w:autoRedefine/>
    <w:qFormat/>
    <w:uiPriority w:val="0"/>
    <w:pPr>
      <w:widowControl w:val="0"/>
      <w:ind w:firstLine="363"/>
      <w:jc w:val="both"/>
    </w:pPr>
    <w:rPr>
      <w:rFonts w:ascii="宋体" w:hAnsi="Times New Roman" w:eastAsia="宋体" w:cs="Times New Roman"/>
      <w:sz w:val="18"/>
      <w:szCs w:val="18"/>
      <w:lang w:val="en-US" w:eastAsia="zh-CN" w:bidi="ar-SA"/>
    </w:rPr>
  </w:style>
  <w:style w:type="paragraph" w:customStyle="1" w:styleId="120">
    <w:name w:val="示例内容"/>
    <w:autoRedefine/>
    <w:qFormat/>
    <w:uiPriority w:val="0"/>
    <w:pPr>
      <w:ind w:firstLine="200" w:firstLineChars="200"/>
    </w:pPr>
    <w:rPr>
      <w:rFonts w:ascii="宋体" w:hAnsi="Times New Roman" w:eastAsia="宋体" w:cs="Times New Roman"/>
      <w:sz w:val="18"/>
      <w:szCs w:val="18"/>
      <w:lang w:val="en-US" w:eastAsia="zh-CN" w:bidi="ar-SA"/>
    </w:rPr>
  </w:style>
  <w:style w:type="paragraph" w:customStyle="1" w:styleId="121">
    <w:name w:val="Char Char"/>
    <w:basedOn w:val="1"/>
    <w:autoRedefine/>
    <w:qFormat/>
    <w:uiPriority w:val="0"/>
    <w:rPr>
      <w:rFonts w:ascii="黑体" w:eastAsia="黑体"/>
      <w:sz w:val="36"/>
      <w:szCs w:val="36"/>
    </w:rPr>
  </w:style>
  <w:style w:type="paragraph" w:customStyle="1" w:styleId="122">
    <w:name w:val="Char Char1"/>
    <w:basedOn w:val="1"/>
    <w:autoRedefine/>
    <w:qFormat/>
    <w:uiPriority w:val="0"/>
    <w:rPr>
      <w:rFonts w:ascii="黑体" w:eastAsia="黑体"/>
      <w:sz w:val="36"/>
      <w:szCs w:val="36"/>
    </w:rPr>
  </w:style>
  <w:style w:type="paragraph" w:customStyle="1" w:styleId="123">
    <w:name w:val="参考文献、索引标题"/>
    <w:basedOn w:val="1"/>
    <w:next w:val="30"/>
    <w:autoRedefine/>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124">
    <w:name w:val="正文表标题"/>
    <w:next w:val="30"/>
    <w:autoRedefine/>
    <w:qFormat/>
    <w:uiPriority w:val="0"/>
    <w:p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125">
    <w:name w:val="二级无"/>
    <w:basedOn w:val="59"/>
    <w:autoRedefine/>
    <w:qFormat/>
    <w:uiPriority w:val="0"/>
    <w:pPr>
      <w:spacing w:beforeLines="0" w:afterLines="0"/>
      <w:ind w:left="0"/>
    </w:pPr>
    <w:rPr>
      <w:rFonts w:ascii="宋体" w:eastAsia="宋体"/>
    </w:rPr>
  </w:style>
  <w:style w:type="paragraph" w:customStyle="1" w:styleId="126">
    <w:name w:val="图标脚注说明"/>
    <w:basedOn w:val="30"/>
    <w:autoRedefine/>
    <w:qFormat/>
    <w:uiPriority w:val="0"/>
    <w:pPr>
      <w:ind w:left="840" w:hanging="420" w:firstLineChars="0"/>
    </w:pPr>
    <w:rPr>
      <w:sz w:val="18"/>
      <w:szCs w:val="18"/>
    </w:rPr>
  </w:style>
  <w:style w:type="paragraph" w:customStyle="1" w:styleId="127">
    <w:name w:val="其他标准标志"/>
    <w:basedOn w:val="128"/>
    <w:autoRedefine/>
    <w:qFormat/>
    <w:uiPriority w:val="0"/>
    <w:pPr>
      <w:framePr w:w="6101" w:wrap="around" w:vAnchor="page" w:hAnchor="page" w:x="4673" w:y="942"/>
    </w:pPr>
    <w:rPr>
      <w:w w:val="130"/>
    </w:rPr>
  </w:style>
  <w:style w:type="paragraph" w:customStyle="1" w:styleId="128">
    <w:name w:val="标准标志"/>
    <w:next w:val="1"/>
    <w:autoRedefine/>
    <w:qFormat/>
    <w:uiPriority w:val="0"/>
    <w:pPr>
      <w:framePr w:w="2546" w:h="1389" w:hRule="exact" w:hSpace="181" w:vSpace="181" w:wrap="around" w:vAnchor="margin" w:hAnchor="margin" w:x="6522" w:y="398" w:anchorLock="1"/>
      <w:shd w:val="solid" w:color="FFFFFF" w:fill="FFFFFF"/>
      <w:spacing w:line="0" w:lineRule="atLeast"/>
      <w:jc w:val="right"/>
    </w:pPr>
    <w:rPr>
      <w:rFonts w:ascii="Times New Roman" w:hAnsi="Times New Roman" w:eastAsia="宋体" w:cs="Times New Roman"/>
      <w:b/>
      <w:w w:val="170"/>
      <w:sz w:val="96"/>
      <w:szCs w:val="96"/>
      <w:lang w:val="en-US" w:eastAsia="zh-CN" w:bidi="ar-SA"/>
    </w:rPr>
  </w:style>
  <w:style w:type="paragraph" w:customStyle="1" w:styleId="129">
    <w:name w:val="封面一致性程度标识2"/>
    <w:basedOn w:val="96"/>
    <w:autoRedefine/>
    <w:qFormat/>
    <w:uiPriority w:val="0"/>
    <w:pPr>
      <w:framePr w:wrap="around" w:y="4469"/>
    </w:pPr>
  </w:style>
  <w:style w:type="paragraph" w:customStyle="1" w:styleId="130">
    <w:name w:val="标准书眉一"/>
    <w:autoRedefine/>
    <w:qFormat/>
    <w:uiPriority w:val="0"/>
    <w:pPr>
      <w:jc w:val="both"/>
    </w:pPr>
    <w:rPr>
      <w:rFonts w:ascii="Times New Roman" w:hAnsi="Times New Roman" w:eastAsia="宋体" w:cs="Times New Roman"/>
      <w:lang w:val="en-US" w:eastAsia="zh-CN" w:bidi="ar-SA"/>
    </w:rPr>
  </w:style>
  <w:style w:type="paragraph" w:customStyle="1" w:styleId="131">
    <w:name w:val="封面正文"/>
    <w:autoRedefine/>
    <w:qFormat/>
    <w:uiPriority w:val="0"/>
    <w:pPr>
      <w:jc w:val="both"/>
    </w:pPr>
    <w:rPr>
      <w:rFonts w:ascii="Times New Roman" w:hAnsi="Times New Roman" w:eastAsia="宋体" w:cs="Times New Roman"/>
      <w:lang w:val="en-US" w:eastAsia="zh-CN" w:bidi="ar-SA"/>
    </w:rPr>
  </w:style>
  <w:style w:type="paragraph" w:customStyle="1" w:styleId="132">
    <w:name w:val="样式 标题 1 + 非加粗"/>
    <w:basedOn w:val="2"/>
    <w:autoRedefine/>
    <w:qFormat/>
    <w:uiPriority w:val="0"/>
    <w:pPr>
      <w:spacing w:beforeLines="100" w:afterLines="100" w:line="240" w:lineRule="auto"/>
    </w:pPr>
    <w:rPr>
      <w:rFonts w:eastAsia="黑体"/>
      <w:b w:val="0"/>
      <w:bCs w:val="0"/>
      <w:sz w:val="21"/>
    </w:rPr>
  </w:style>
  <w:style w:type="paragraph" w:customStyle="1" w:styleId="133">
    <w:name w:val="附录字母编号列项（一级）"/>
    <w:autoRedefine/>
    <w:qFormat/>
    <w:uiPriority w:val="0"/>
    <w:pPr>
      <w:numPr>
        <w:ilvl w:val="0"/>
        <w:numId w:val="4"/>
      </w:numPr>
    </w:pPr>
    <w:rPr>
      <w:rFonts w:ascii="宋体" w:hAnsi="Times New Roman" w:eastAsia="宋体" w:cs="Times New Roman"/>
      <w:sz w:val="21"/>
      <w:lang w:val="en-US" w:eastAsia="zh-CN" w:bidi="ar-SA"/>
    </w:rPr>
  </w:style>
  <w:style w:type="paragraph" w:customStyle="1" w:styleId="134">
    <w:name w:val="编号列项（三级）"/>
    <w:autoRedefine/>
    <w:qFormat/>
    <w:uiPriority w:val="0"/>
    <w:pPr>
      <w:numPr>
        <w:ilvl w:val="2"/>
        <w:numId w:val="9"/>
      </w:numPr>
    </w:pPr>
    <w:rPr>
      <w:rFonts w:ascii="宋体" w:hAnsi="Times New Roman" w:eastAsia="宋体" w:cs="Times New Roman"/>
      <w:sz w:val="21"/>
      <w:lang w:val="en-US" w:eastAsia="zh-CN" w:bidi="ar-SA"/>
    </w:rPr>
  </w:style>
  <w:style w:type="paragraph" w:customStyle="1" w:styleId="135">
    <w:name w:val="正文公式编号制表符"/>
    <w:basedOn w:val="30"/>
    <w:next w:val="30"/>
    <w:autoRedefine/>
    <w:qFormat/>
    <w:uiPriority w:val="0"/>
    <w:pPr>
      <w:ind w:firstLine="0" w:firstLineChars="0"/>
    </w:pPr>
  </w:style>
  <w:style w:type="paragraph" w:customStyle="1" w:styleId="136">
    <w:name w:val="列项——（一级）"/>
    <w:autoRedefine/>
    <w:qFormat/>
    <w:uiPriority w:val="0"/>
    <w:pPr>
      <w:widowControl w:val="0"/>
      <w:numPr>
        <w:ilvl w:val="0"/>
        <w:numId w:val="8"/>
      </w:numPr>
      <w:jc w:val="both"/>
    </w:pPr>
    <w:rPr>
      <w:rFonts w:ascii="宋体" w:hAnsi="Times New Roman" w:eastAsia="宋体" w:cs="Times New Roman"/>
      <w:sz w:val="21"/>
      <w:lang w:val="en-US" w:eastAsia="zh-CN" w:bidi="ar-SA"/>
    </w:rPr>
  </w:style>
  <w:style w:type="paragraph" w:customStyle="1" w:styleId="137">
    <w:name w:val="四级无"/>
    <w:basedOn w:val="95"/>
    <w:autoRedefine/>
    <w:qFormat/>
    <w:uiPriority w:val="0"/>
    <w:pPr>
      <w:spacing w:beforeLines="0" w:afterLines="0"/>
    </w:pPr>
    <w:rPr>
      <w:rFonts w:ascii="宋体" w:eastAsia="宋体"/>
    </w:rPr>
  </w:style>
  <w:style w:type="paragraph" w:customStyle="1" w:styleId="138">
    <w:name w:val="封面标准号2"/>
    <w:autoRedefine/>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paragraph" w:customStyle="1" w:styleId="139">
    <w:name w:val="附录四级无"/>
    <w:basedOn w:val="77"/>
    <w:autoRedefine/>
    <w:qFormat/>
    <w:uiPriority w:val="0"/>
    <w:pPr>
      <w:spacing w:beforeLines="0" w:afterLines="0"/>
    </w:pPr>
    <w:rPr>
      <w:rFonts w:ascii="宋体" w:eastAsia="宋体"/>
      <w:szCs w:val="21"/>
    </w:rPr>
  </w:style>
  <w:style w:type="paragraph" w:customStyle="1" w:styleId="140">
    <w:name w:val="封面标准英文名称2"/>
    <w:basedOn w:val="97"/>
    <w:autoRedefine/>
    <w:qFormat/>
    <w:uiPriority w:val="0"/>
    <w:pPr>
      <w:framePr w:wrap="around" w:y="4469"/>
    </w:pPr>
  </w:style>
  <w:style w:type="paragraph" w:customStyle="1" w:styleId="141">
    <w:name w:val="封面标准文稿类别2"/>
    <w:basedOn w:val="107"/>
    <w:autoRedefine/>
    <w:qFormat/>
    <w:uiPriority w:val="0"/>
    <w:pPr>
      <w:framePr w:wrap="around" w:y="4469"/>
    </w:pPr>
  </w:style>
  <w:style w:type="paragraph" w:customStyle="1" w:styleId="142">
    <w:name w:val="示例×："/>
    <w:basedOn w:val="143"/>
    <w:autoRedefine/>
    <w:qFormat/>
    <w:uiPriority w:val="0"/>
    <w:pPr>
      <w:numPr>
        <w:numId w:val="0"/>
      </w:numPr>
      <w:spacing w:beforeLines="0" w:afterLines="0"/>
      <w:ind w:firstLine="363"/>
      <w:outlineLvl w:val="9"/>
    </w:pPr>
    <w:rPr>
      <w:rFonts w:ascii="宋体" w:eastAsia="宋体"/>
      <w:sz w:val="18"/>
      <w:szCs w:val="18"/>
    </w:rPr>
  </w:style>
  <w:style w:type="paragraph" w:customStyle="1" w:styleId="143">
    <w:name w:val="章标题"/>
    <w:next w:val="30"/>
    <w:autoRedefine/>
    <w:qFormat/>
    <w:uiPriority w:val="0"/>
    <w:pPr>
      <w:numPr>
        <w:ilvl w:val="0"/>
        <w:numId w:val="2"/>
      </w:numPr>
      <w:spacing w:beforeLines="100" w:afterLines="100"/>
      <w:jc w:val="both"/>
      <w:outlineLvl w:val="1"/>
    </w:pPr>
    <w:rPr>
      <w:rFonts w:ascii="黑体" w:hAnsi="Times New Roman" w:eastAsia="黑体" w:cs="Times New Roman"/>
      <w:sz w:val="21"/>
      <w:lang w:val="en-US" w:eastAsia="zh-CN" w:bidi="ar-SA"/>
    </w:rPr>
  </w:style>
  <w:style w:type="paragraph" w:customStyle="1" w:styleId="144">
    <w:name w:val="封面标准号1"/>
    <w:autoRedefine/>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145">
    <w:name w:val="附录图标题"/>
    <w:basedOn w:val="1"/>
    <w:next w:val="30"/>
    <w:autoRedefine/>
    <w:qFormat/>
    <w:uiPriority w:val="0"/>
    <w:pPr>
      <w:numPr>
        <w:ilvl w:val="1"/>
        <w:numId w:val="5"/>
      </w:numPr>
      <w:spacing w:beforeLines="50" w:afterLines="50"/>
      <w:jc w:val="center"/>
    </w:pPr>
    <w:rPr>
      <w:rFonts w:ascii="黑体" w:eastAsia="黑体"/>
      <w:szCs w:val="21"/>
    </w:rPr>
  </w:style>
  <w:style w:type="paragraph" w:customStyle="1" w:styleId="146">
    <w:name w:val="其他实施日期"/>
    <w:basedOn w:val="112"/>
    <w:autoRedefine/>
    <w:qFormat/>
    <w:uiPriority w:val="0"/>
    <w:pPr>
      <w:framePr w:wrap="around" w:vAnchor="margin" w:hAnchor="page"/>
    </w:pPr>
  </w:style>
  <w:style w:type="paragraph" w:customStyle="1" w:styleId="147">
    <w:name w:val="三级无"/>
    <w:basedOn w:val="62"/>
    <w:autoRedefine/>
    <w:qFormat/>
    <w:uiPriority w:val="0"/>
    <w:pPr>
      <w:spacing w:beforeLines="0" w:afterLines="0"/>
    </w:pPr>
    <w:rPr>
      <w:rFonts w:ascii="宋体" w:eastAsia="宋体"/>
    </w:rPr>
  </w:style>
  <w:style w:type="paragraph" w:customStyle="1" w:styleId="148">
    <w:name w:val="封面标准名称2"/>
    <w:basedOn w:val="83"/>
    <w:autoRedefine/>
    <w:qFormat/>
    <w:uiPriority w:val="0"/>
    <w:pPr>
      <w:framePr w:wrap="around" w:y="4469"/>
      <w:spacing w:beforeLines="630"/>
    </w:pPr>
  </w:style>
  <w:style w:type="paragraph" w:customStyle="1" w:styleId="149">
    <w:name w:val="正文图标题"/>
    <w:next w:val="30"/>
    <w:autoRedefine/>
    <w:qFormat/>
    <w:uiPriority w:val="0"/>
    <w:p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150">
    <w:name w:val="示例后文字"/>
    <w:basedOn w:val="30"/>
    <w:next w:val="30"/>
    <w:autoRedefine/>
    <w:qFormat/>
    <w:uiPriority w:val="0"/>
    <w:pPr>
      <w:ind w:firstLine="360"/>
    </w:pPr>
    <w:rPr>
      <w:sz w:val="18"/>
    </w:rPr>
  </w:style>
  <w:style w:type="paragraph" w:customStyle="1" w:styleId="151">
    <w:name w:val="其他发布日期"/>
    <w:basedOn w:val="113"/>
    <w:autoRedefine/>
    <w:qFormat/>
    <w:uiPriority w:val="0"/>
    <w:pPr>
      <w:framePr w:wrap="around" w:vAnchor="page" w:hAnchor="text" w:x="1419"/>
    </w:pPr>
  </w:style>
  <w:style w:type="paragraph" w:customStyle="1" w:styleId="152">
    <w:name w:val="封面标准文稿编辑信息2"/>
    <w:basedOn w:val="106"/>
    <w:autoRedefine/>
    <w:qFormat/>
    <w:uiPriority w:val="0"/>
    <w:pPr>
      <w:framePr w:wrap="around" w:y="4469"/>
    </w:pPr>
  </w:style>
  <w:style w:type="paragraph" w:customStyle="1" w:styleId="153">
    <w:name w:val="一级无"/>
    <w:basedOn w:val="60"/>
    <w:autoRedefine/>
    <w:qFormat/>
    <w:uiPriority w:val="0"/>
    <w:pPr>
      <w:spacing w:before="156" w:after="156"/>
    </w:pPr>
    <w:rPr>
      <w:rFonts w:ascii="Times New Roman" w:eastAsia="宋体"/>
      <w:color w:val="000000"/>
    </w:rPr>
  </w:style>
  <w:style w:type="paragraph" w:customStyle="1" w:styleId="154">
    <w:name w:val="TOC 标题1"/>
    <w:basedOn w:val="2"/>
    <w:next w:val="1"/>
    <w:autoRedefine/>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155">
    <w:name w:val="封面标准代替信息"/>
    <w:autoRedefine/>
    <w:qFormat/>
    <w:uiPriority w:val="0"/>
    <w:pPr>
      <w:framePr w:w="9140" w:h="1242" w:hRule="exact" w:hSpace="284" w:wrap="around" w:vAnchor="page" w:hAnchor="page" w:x="1645" w:y="2910" w:anchorLock="1"/>
      <w:spacing w:before="57" w:line="280" w:lineRule="exact"/>
      <w:jc w:val="right"/>
    </w:pPr>
    <w:rPr>
      <w:rFonts w:ascii="宋体" w:hAnsi="Times New Roman" w:eastAsia="宋体" w:cs="Times New Roman"/>
      <w:sz w:val="21"/>
      <w:szCs w:val="21"/>
      <w:lang w:val="en-US" w:eastAsia="zh-CN" w:bidi="ar-SA"/>
    </w:rPr>
  </w:style>
  <w:style w:type="paragraph" w:customStyle="1" w:styleId="156">
    <w:name w:val="附录表标号"/>
    <w:basedOn w:val="1"/>
    <w:next w:val="30"/>
    <w:autoRedefine/>
    <w:qFormat/>
    <w:uiPriority w:val="0"/>
    <w:pPr>
      <w:numPr>
        <w:ilvl w:val="0"/>
        <w:numId w:val="6"/>
      </w:numPr>
      <w:spacing w:line="14" w:lineRule="exact"/>
      <w:jc w:val="center"/>
      <w:outlineLvl w:val="0"/>
    </w:pPr>
    <w:rPr>
      <w:color w:val="FFFFFF"/>
    </w:rPr>
  </w:style>
  <w:style w:type="paragraph" w:customStyle="1" w:styleId="157">
    <w:name w:val="标准称谓"/>
    <w:next w:val="1"/>
    <w:autoRedefine/>
    <w:qFormat/>
    <w:uiPriority w:val="0"/>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48"/>
      <w:lang w:val="en-US" w:eastAsia="zh-CN" w:bidi="ar-SA"/>
    </w:rPr>
  </w:style>
  <w:style w:type="paragraph" w:customStyle="1" w:styleId="158">
    <w:name w:val="标准书脚_偶数页"/>
    <w:autoRedefine/>
    <w:qFormat/>
    <w:uiPriority w:val="0"/>
    <w:pPr>
      <w:spacing w:before="120"/>
      <w:ind w:left="221"/>
    </w:pPr>
    <w:rPr>
      <w:rFonts w:ascii="宋体" w:hAnsi="Times New Roman" w:eastAsia="宋体" w:cs="Times New Roman"/>
      <w:sz w:val="18"/>
      <w:szCs w:val="18"/>
      <w:lang w:val="en-US" w:eastAsia="zh-CN" w:bidi="ar-SA"/>
    </w:rPr>
  </w:style>
  <w:style w:type="paragraph" w:customStyle="1" w:styleId="159">
    <w:name w:val="条文脚注"/>
    <w:basedOn w:val="31"/>
    <w:autoRedefine/>
    <w:qFormat/>
    <w:uiPriority w:val="0"/>
    <w:pPr>
      <w:numPr>
        <w:numId w:val="0"/>
      </w:numPr>
      <w:jc w:val="both"/>
    </w:pPr>
  </w:style>
  <w:style w:type="paragraph" w:customStyle="1" w:styleId="160">
    <w:name w:val="列项说明数字编号"/>
    <w:autoRedefine/>
    <w:qFormat/>
    <w:uiPriority w:val="0"/>
    <w:pPr>
      <w:ind w:left="600" w:leftChars="400" w:hanging="200" w:hangingChars="200"/>
    </w:pPr>
    <w:rPr>
      <w:rFonts w:ascii="宋体" w:hAnsi="Times New Roman" w:eastAsia="宋体" w:cs="Times New Roman"/>
      <w:sz w:val="21"/>
      <w:lang w:val="en-US" w:eastAsia="zh-CN" w:bidi="ar-SA"/>
    </w:rPr>
  </w:style>
  <w:style w:type="paragraph" w:customStyle="1" w:styleId="161">
    <w:name w:val="终结线"/>
    <w:basedOn w:val="1"/>
    <w:autoRedefine/>
    <w:qFormat/>
    <w:uiPriority w:val="0"/>
    <w:pPr>
      <w:framePr w:hSpace="181" w:vSpace="181" w:wrap="around" w:vAnchor="text" w:hAnchor="margin" w:xAlign="center" w:y="285"/>
    </w:pPr>
  </w:style>
  <w:style w:type="paragraph" w:customStyle="1" w:styleId="162">
    <w:name w:val="前言、引言标题"/>
    <w:next w:val="30"/>
    <w:autoRedefine/>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163">
    <w:name w:val="图的脚注"/>
    <w:next w:val="30"/>
    <w:autoRedefine/>
    <w:qFormat/>
    <w:uiPriority w:val="0"/>
    <w:pPr>
      <w:widowControl w:val="0"/>
      <w:ind w:left="840" w:leftChars="200" w:hanging="420" w:hangingChars="200"/>
      <w:jc w:val="both"/>
    </w:pPr>
    <w:rPr>
      <w:rFonts w:ascii="宋体" w:hAnsi="Times New Roman" w:eastAsia="宋体" w:cs="Times New Roman"/>
      <w:sz w:val="18"/>
      <w:lang w:val="en-US" w:eastAsia="zh-CN" w:bidi="ar-SA"/>
    </w:rPr>
  </w:style>
  <w:style w:type="paragraph" w:customStyle="1" w:styleId="164">
    <w:name w:val="Default"/>
    <w:autoRedefine/>
    <w:unhideWhenUsed/>
    <w:qFormat/>
    <w:uiPriority w:val="99"/>
    <w:pPr>
      <w:widowControl w:val="0"/>
      <w:autoSpaceDE w:val="0"/>
      <w:autoSpaceDN w:val="0"/>
      <w:adjustRightInd w:val="0"/>
    </w:pPr>
    <w:rPr>
      <w:rFonts w:ascii="仿宋" w:hAnsi="仿宋" w:eastAsia="仿宋" w:cs="Times New Roman"/>
      <w:color w:val="000000"/>
      <w:sz w:val="24"/>
      <w:lang w:val="en-US" w:eastAsia="zh-CN" w:bidi="ar-SA"/>
    </w:rPr>
  </w:style>
  <w:style w:type="character" w:customStyle="1" w:styleId="165">
    <w:name w:val="标题 6 字符"/>
    <w:link w:val="7"/>
    <w:autoRedefine/>
    <w:semiHidden/>
    <w:qFormat/>
    <w:uiPriority w:val="0"/>
    <w:rPr>
      <w:rFonts w:ascii="等线 Light" w:hAnsi="等线 Light" w:eastAsia="等线 Light" w:cs="Times New Roman"/>
      <w:b/>
      <w:bCs/>
      <w:kern w:val="2"/>
      <w:sz w:val="24"/>
      <w:szCs w:val="24"/>
    </w:rPr>
  </w:style>
  <w:style w:type="character" w:customStyle="1" w:styleId="166">
    <w:name w:val="页脚 字符"/>
    <w:link w:val="24"/>
    <w:autoRedefine/>
    <w:qFormat/>
    <w:uiPriority w:val="99"/>
    <w:rPr>
      <w:kern w:val="2"/>
      <w:sz w:val="18"/>
      <w:szCs w:val="18"/>
    </w:rPr>
  </w:style>
  <w:style w:type="paragraph" w:customStyle="1" w:styleId="167">
    <w:name w:val="TOC 标题2"/>
    <w:basedOn w:val="2"/>
    <w:next w:val="1"/>
    <w:autoRedefine/>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168">
    <w:name w:val="正文文本缩进 2 字符"/>
    <w:basedOn w:val="43"/>
    <w:link w:val="21"/>
    <w:autoRedefine/>
    <w:qFormat/>
    <w:uiPriority w:val="99"/>
    <w:rPr>
      <w:rFonts w:eastAsia="PMingLiU"/>
      <w:kern w:val="2"/>
      <w:sz w:val="24"/>
      <w:szCs w:val="24"/>
      <w:lang w:eastAsia="zh-TW"/>
    </w:rPr>
  </w:style>
  <w:style w:type="paragraph" w:customStyle="1" w:styleId="169">
    <w:name w:val="标准文件_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70">
    <w:name w:val="标准文件_术语条一"/>
    <w:basedOn w:val="171"/>
    <w:next w:val="169"/>
    <w:autoRedefine/>
    <w:qFormat/>
    <w:uiPriority w:val="0"/>
  </w:style>
  <w:style w:type="paragraph" w:customStyle="1" w:styleId="171">
    <w:name w:val="标准文件_一级无标题"/>
    <w:basedOn w:val="172"/>
    <w:autoRedefine/>
    <w:qFormat/>
    <w:uiPriority w:val="0"/>
    <w:pPr>
      <w:spacing w:before="0" w:beforeLines="0" w:after="0" w:afterLines="0"/>
      <w:outlineLvl w:val="9"/>
    </w:pPr>
    <w:rPr>
      <w:rFonts w:ascii="宋体" w:eastAsia="宋体"/>
    </w:rPr>
  </w:style>
  <w:style w:type="paragraph" w:customStyle="1" w:styleId="172">
    <w:name w:val="标准文件_一级条标题"/>
    <w:basedOn w:val="173"/>
    <w:next w:val="169"/>
    <w:autoRedefine/>
    <w:qFormat/>
    <w:uiPriority w:val="0"/>
    <w:pPr>
      <w:numPr>
        <w:ilvl w:val="2"/>
      </w:numPr>
      <w:spacing w:before="50" w:beforeLines="50" w:after="50" w:afterLines="50"/>
      <w:outlineLvl w:val="1"/>
    </w:pPr>
  </w:style>
  <w:style w:type="paragraph" w:customStyle="1" w:styleId="173">
    <w:name w:val="标准文件_章标题"/>
    <w:next w:val="169"/>
    <w:autoRedefine/>
    <w:qFormat/>
    <w:uiPriority w:val="0"/>
    <w:pPr>
      <w:numPr>
        <w:ilvl w:val="1"/>
        <w:numId w:val="10"/>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74">
    <w:name w:val="标准文件_正文图标题"/>
    <w:next w:val="169"/>
    <w:autoRedefine/>
    <w:qFormat/>
    <w:uiPriority w:val="0"/>
    <w:pPr>
      <w:numPr>
        <w:ilvl w:val="0"/>
        <w:numId w:val="11"/>
      </w:numPr>
      <w:spacing w:before="50" w:beforeLines="50" w:after="50" w:afterLines="50"/>
      <w:jc w:val="center"/>
    </w:pPr>
    <w:rPr>
      <w:rFonts w:ascii="黑体" w:hAnsi="Times New Roman" w:eastAsia="黑体" w:cs="Times New Roman"/>
      <w:sz w:val="21"/>
      <w:lang w:val="en-US" w:eastAsia="zh-CN" w:bidi="ar-SA"/>
    </w:rPr>
  </w:style>
  <w:style w:type="paragraph" w:customStyle="1" w:styleId="175">
    <w:name w:val="标准文件_二级条标题"/>
    <w:next w:val="169"/>
    <w:autoRedefine/>
    <w:qFormat/>
    <w:uiPriority w:val="0"/>
    <w:pPr>
      <w:widowControl w:val="0"/>
      <w:numPr>
        <w:ilvl w:val="3"/>
        <w:numId w:val="10"/>
      </w:numPr>
      <w:spacing w:before="50" w:beforeLines="50" w:after="50" w:afterLines="50"/>
      <w:jc w:val="both"/>
      <w:outlineLvl w:val="2"/>
    </w:pPr>
    <w:rPr>
      <w:rFonts w:ascii="黑体" w:hAnsi="Times New Roman" w:eastAsia="黑体" w:cs="Times New Roman"/>
      <w:sz w:val="21"/>
      <w:lang w:val="en-US" w:eastAsia="zh-CN" w:bidi="ar-SA"/>
    </w:rPr>
  </w:style>
  <w:style w:type="paragraph" w:customStyle="1" w:styleId="176">
    <w:name w:val="标准文件_正文表标题"/>
    <w:next w:val="169"/>
    <w:autoRedefine/>
    <w:qFormat/>
    <w:uiPriority w:val="0"/>
    <w:pPr>
      <w:numPr>
        <w:ilvl w:val="0"/>
        <w:numId w:val="12"/>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77">
    <w:name w:val="标准文件_表格"/>
    <w:basedOn w:val="169"/>
    <w:autoRedefine/>
    <w:qFormat/>
    <w:uiPriority w:val="0"/>
    <w:pPr>
      <w:ind w:firstLine="0" w:firstLineChars="0"/>
      <w:jc w:val="center"/>
    </w:pPr>
    <w:rPr>
      <w:sz w:val="18"/>
    </w:rPr>
  </w:style>
  <w:style w:type="paragraph" w:customStyle="1" w:styleId="178">
    <w:name w:val="标准文件_三级条标题"/>
    <w:basedOn w:val="175"/>
    <w:next w:val="169"/>
    <w:autoRedefine/>
    <w:qFormat/>
    <w:uiPriority w:val="0"/>
    <w:pPr>
      <w:widowControl/>
      <w:numPr>
        <w:ilvl w:val="4"/>
      </w:numPr>
      <w:outlineLvl w:val="3"/>
    </w:pPr>
  </w:style>
  <w:style w:type="paragraph" w:customStyle="1" w:styleId="179">
    <w:name w:val="标准文件_二级无标题"/>
    <w:basedOn w:val="175"/>
    <w:autoRedefine/>
    <w:qFormat/>
    <w:uiPriority w:val="0"/>
    <w:pPr>
      <w:spacing w:before="0" w:beforeLines="0" w:after="0" w:afterLines="0"/>
      <w:outlineLvl w:val="9"/>
    </w:pPr>
    <w:rPr>
      <w:rFonts w:ascii="宋体" w:eastAsia="宋体"/>
    </w:rPr>
  </w:style>
  <w:style w:type="paragraph" w:customStyle="1" w:styleId="180">
    <w:name w:val="标准文件_字母编号列项（一级）"/>
    <w:autoRedefine/>
    <w:qFormat/>
    <w:uiPriority w:val="0"/>
    <w:pPr>
      <w:numPr>
        <w:ilvl w:val="0"/>
        <w:numId w:val="9"/>
      </w:numPr>
      <w:jc w:val="both"/>
    </w:pPr>
    <w:rPr>
      <w:rFonts w:ascii="宋体" w:hAnsi="Times New Roman" w:eastAsia="宋体" w:cs="Times New Roman"/>
      <w:sz w:val="21"/>
      <w:lang w:val="en-US" w:eastAsia="zh-CN" w:bidi="ar-SA"/>
    </w:rPr>
  </w:style>
  <w:style w:type="table" w:customStyle="1" w:styleId="181">
    <w:name w:val="Table Normal"/>
    <w:basedOn w:val="41"/>
    <w:autoRedefine/>
    <w:qFormat/>
    <w:uiPriority w:val="0"/>
    <w:rPr>
      <w:rFonts w:eastAsia="Times New Roman"/>
    </w:rPr>
    <w:tblPr>
      <w:tblCellMar>
        <w:left w:w="0" w:type="dxa"/>
        <w:right w:w="0" w:type="dxa"/>
      </w:tblCellMar>
    </w:tblPr>
  </w:style>
  <w:style w:type="character" w:customStyle="1" w:styleId="182">
    <w:name w:val="15"/>
    <w:basedOn w:val="43"/>
    <w:autoRedefine/>
    <w:qFormat/>
    <w:uiPriority w:val="0"/>
    <w:rPr>
      <w:rFonts w:hint="eastAsia" w:ascii="等线" w:hAnsi="等线" w:eastAsia="等线"/>
      <w:sz w:val="21"/>
      <w:szCs w:val="21"/>
    </w:rPr>
  </w:style>
  <w:style w:type="paragraph" w:customStyle="1" w:styleId="183">
    <w:name w:val="标准文件_附录图标号"/>
    <w:basedOn w:val="169"/>
    <w:next w:val="169"/>
    <w:autoRedefine/>
    <w:qFormat/>
    <w:uiPriority w:val="0"/>
    <w:pPr>
      <w:numPr>
        <w:ilvl w:val="0"/>
        <w:numId w:val="13"/>
      </w:numPr>
      <w:spacing w:line="14" w:lineRule="exact"/>
      <w:ind w:firstLine="0" w:firstLineChars="0"/>
      <w:jc w:val="center"/>
    </w:pPr>
    <w:rPr>
      <w:rFonts w:ascii="黑体" w:hAnsi="黑体" w:eastAsia="黑体"/>
      <w:vanish/>
      <w:sz w:val="2"/>
      <w:szCs w:val="21"/>
    </w:rPr>
  </w:style>
  <w:style w:type="paragraph" w:customStyle="1" w:styleId="184">
    <w:name w:val="标准文件_附录表标号"/>
    <w:basedOn w:val="169"/>
    <w:next w:val="169"/>
    <w:autoRedefine/>
    <w:qFormat/>
    <w:uiPriority w:val="0"/>
    <w:pPr>
      <w:numPr>
        <w:ilvl w:val="0"/>
        <w:numId w:val="14"/>
      </w:numPr>
      <w:spacing w:line="14" w:lineRule="exact"/>
      <w:ind w:firstLine="0" w:firstLineChars="0"/>
      <w:jc w:val="center"/>
    </w:pPr>
    <w:rPr>
      <w:rFonts w:eastAsia="黑体"/>
      <w:vanish/>
      <w:sz w:val="2"/>
    </w:rPr>
  </w:style>
  <w:style w:type="paragraph" w:customStyle="1" w:styleId="185">
    <w:name w:val="标准文件_附录标识"/>
    <w:next w:val="169"/>
    <w:autoRedefine/>
    <w:qFormat/>
    <w:uiPriority w:val="0"/>
    <w:pPr>
      <w:numPr>
        <w:ilvl w:val="0"/>
        <w:numId w:val="3"/>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186">
    <w:name w:val="标准文件_附录一级条标题"/>
    <w:next w:val="169"/>
    <w:autoRedefine/>
    <w:qFormat/>
    <w:uiPriority w:val="0"/>
    <w:pPr>
      <w:widowControl w:val="0"/>
      <w:numPr>
        <w:ilvl w:val="1"/>
        <w:numId w:val="3"/>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187">
    <w:name w:val="标准文件_附录二级条标题"/>
    <w:basedOn w:val="186"/>
    <w:next w:val="169"/>
    <w:autoRedefine/>
    <w:qFormat/>
    <w:uiPriority w:val="0"/>
    <w:pPr>
      <w:widowControl/>
      <w:numPr>
        <w:ilvl w:val="2"/>
      </w:numPr>
      <w:wordWrap w:val="0"/>
      <w:overflowPunct w:val="0"/>
      <w:autoSpaceDE w:val="0"/>
      <w:autoSpaceDN w:val="0"/>
      <w:textAlignment w:val="baseline"/>
      <w:outlineLvl w:val="3"/>
    </w:pPr>
  </w:style>
  <w:style w:type="paragraph" w:customStyle="1" w:styleId="188">
    <w:name w:val="列表段落1"/>
    <w:basedOn w:val="1"/>
    <w:autoRedefine/>
    <w:qFormat/>
    <w:uiPriority w:val="0"/>
    <w:pPr>
      <w:adjustRightInd/>
      <w:spacing w:line="240" w:lineRule="auto"/>
      <w:ind w:firstLine="420" w:firstLineChars="200"/>
    </w:pPr>
  </w:style>
  <w:style w:type="paragraph" w:customStyle="1" w:styleId="189">
    <w:name w:val="Table Text"/>
    <w:basedOn w:val="1"/>
    <w:autoRedefine/>
    <w:semiHidden/>
    <w:qFormat/>
    <w:uiPriority w:val="0"/>
    <w:rPr>
      <w:rFonts w:ascii="宋体" w:hAnsi="宋体" w:eastAsia="宋体" w:cs="宋体"/>
      <w:sz w:val="21"/>
      <w:szCs w:val="21"/>
      <w:lang w:val="en-US" w:eastAsia="en-US" w:bidi="ar-SA"/>
    </w:rPr>
  </w:style>
  <w:style w:type="paragraph" w:customStyle="1" w:styleId="190">
    <w:name w:val="标准文件_一级项"/>
    <w:autoRedefine/>
    <w:qFormat/>
    <w:uiPriority w:val="0"/>
    <w:pPr>
      <w:numPr>
        <w:ilvl w:val="0"/>
        <w:numId w:val="8"/>
      </w:numPr>
    </w:pPr>
    <w:rPr>
      <w:rFonts w:ascii="宋体" w:hAnsi="Times New Roman" w:eastAsia="宋体" w:cs="Times New Roman"/>
      <w:sz w:val="21"/>
      <w:lang w:val="en-US" w:eastAsia="zh-CN" w:bidi="ar-SA"/>
    </w:rPr>
  </w:style>
  <w:style w:type="paragraph" w:customStyle="1" w:styleId="191">
    <w:name w:val="标准文件_三级无标题"/>
    <w:basedOn w:val="178"/>
    <w:autoRedefine/>
    <w:qFormat/>
    <w:uiPriority w:val="0"/>
    <w:pPr>
      <w:spacing w:before="0" w:beforeLines="0" w:after="0" w:afterLines="0"/>
      <w:outlineLvl w:val="9"/>
    </w:pPr>
    <w:rPr>
      <w:rFonts w:ascii="宋体" w:eastAsia="宋体"/>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23\Desktop\02_GZBD&#26631;&#20934;&#27169;&#26495;.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97D57B-1FEB-4124-B8A9-DCBF421AB3D7}">
  <ds:schemaRefs/>
</ds:datastoreItem>
</file>

<file path=docProps/app.xml><?xml version="1.0" encoding="utf-8"?>
<Properties xmlns="http://schemas.openxmlformats.org/officeDocument/2006/extended-properties" xmlns:vt="http://schemas.openxmlformats.org/officeDocument/2006/docPropsVTypes">
  <Template>02_GZBD标准模板</Template>
  <Pages>4</Pages>
  <Words>1264</Words>
  <Characters>1324</Characters>
  <Lines>17</Lines>
  <Paragraphs>4</Paragraphs>
  <TotalTime>41</TotalTime>
  <ScaleCrop>false</ScaleCrop>
  <LinksUpToDate>false</LinksUpToDate>
  <CharactersWithSpaces>1336</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2020-10-14T08:16:00Z</dcterms:created>
  <cp:lastPrinted>2018-07-04T02:56:00Z</cp:lastPrinted>
  <dcterms:modified xsi:type="dcterms:W3CDTF">2026-08-28T03:54:30Z</dcterms:modified>
  <dc:title>标准名称</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B440428CC5644F40ABDC81C8A7A9AE80_13</vt:lpwstr>
  </property>
  <property fmtid="{D5CDD505-2E9C-101B-9397-08002B2CF9AE}" pid="4" name="KSOTemplateDocerSaveRecord">
    <vt:lpwstr>eyJoZGlkIjoiOWQ4ZGY3ZTZlYTg3MDY1ZDA4ZTQ3Y2RhYWYyZThkZDUiLCJ1c2VySWQiOiIzMjQ1OTgwNzkifQ==</vt:lpwstr>
  </property>
</Properties>
</file>