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7B07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9F424AF">
            <w:pPr>
              <w:pStyle w:val="19"/>
              <w:framePr w:wrap="notBeside" w:vAnchor="page" w:hAnchor="page" w:x="1372" w:y="568"/>
              <w:tabs>
                <w:tab w:val="clear" w:pos="4153"/>
                <w:tab w:val="clear" w:pos="8306"/>
              </w:tabs>
              <w:spacing w:line="240" w:lineRule="auto"/>
              <w:jc w:val="left"/>
              <w:rPr>
                <w:rFonts w:ascii="黑体" w:hAnsi="黑体" w:eastAsia="黑体"/>
                <w:sz w:val="21"/>
                <w:szCs w:val="21"/>
              </w:rPr>
            </w:pPr>
            <w:bookmarkStart w:id="0" w:name="_Hlk140063176"/>
            <w:bookmarkEnd w:id="0"/>
            <w:r>
              <w:rPr>
                <w:rFonts w:ascii="Times New Roman" w:hAnsi="Times New Roman" w:eastAsia="黑体"/>
                <w:sz w:val="21"/>
                <w:szCs w:val="21"/>
              </w:rPr>
              <w:t>ICS</w:t>
            </w:r>
          </w:p>
        </w:tc>
        <w:tc>
          <w:tcPr>
            <w:tcW w:w="8855" w:type="dxa"/>
          </w:tcPr>
          <w:p w14:paraId="1B9036AD">
            <w:pPr>
              <w:pStyle w:val="19"/>
              <w:framePr w:wrap="notBeside" w:vAnchor="page" w:hAnchor="page" w:x="1372" w:y="568"/>
              <w:tabs>
                <w:tab w:val="clear" w:pos="4153"/>
                <w:tab w:val="clear" w:pos="8306"/>
              </w:tabs>
              <w:spacing w:line="240" w:lineRule="auto"/>
              <w:jc w:val="both"/>
              <w:rPr>
                <w:rFonts w:ascii="黑体" w:hAnsi="黑体" w:eastAsia="黑体"/>
                <w:sz w:val="21"/>
                <w:szCs w:val="21"/>
              </w:rPr>
            </w:pPr>
            <w:bookmarkStart w:id="1" w:name="ICS"/>
            <w:r>
              <w:rPr>
                <w:rFonts w:hint="eastAsia" w:ascii="黑体" w:hAnsi="黑体" w:eastAsia="黑体" w:cs="Times New Roman"/>
                <w:kern w:val="2"/>
                <w:sz w:val="21"/>
                <w:szCs w:val="21"/>
                <w:lang w:val="en-US" w:eastAsia="zh-CN" w:bidi="ar-SA"/>
              </w:rPr>
              <w:fldChar w:fldCharType="begin">
                <w:ffData>
                  <w:name w:val="ICS"/>
                  <w:enabled/>
                  <w:calcOnExit w:val="0"/>
                  <w:textInput>
                    <w:default w:val="65.080"/>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65.080</w:t>
            </w:r>
            <w:r>
              <w:rPr>
                <w:rFonts w:hint="eastAsia" w:ascii="黑体" w:hAnsi="黑体" w:eastAsia="黑体" w:cs="Times New Roman"/>
                <w:kern w:val="2"/>
                <w:sz w:val="21"/>
                <w:szCs w:val="21"/>
                <w:lang w:val="en-US" w:eastAsia="zh-CN" w:bidi="ar-SA"/>
              </w:rPr>
              <w:fldChar w:fldCharType="end"/>
            </w:r>
            <w:bookmarkEnd w:id="1"/>
          </w:p>
        </w:tc>
      </w:tr>
      <w:tr w14:paraId="16619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6EB9E44">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p>
        </w:tc>
        <w:tc>
          <w:tcPr>
            <w:tcW w:w="8855" w:type="dxa"/>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080AAFD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2537ADDD">
                  <w:pPr>
                    <w:pStyle w:val="53"/>
                    <w:framePr w:wrap="notBeside" w:vAnchor="page" w:hAnchor="page" w:x="1372" w:y="568"/>
                    <w:ind w:left="420" w:right="624"/>
                    <w:rPr>
                      <w:rFonts w:ascii="宋体" w:hAnsi="宋体"/>
                      <w:sz w:val="28"/>
                      <w:szCs w:val="28"/>
                    </w:rPr>
                  </w:pPr>
                  <w:r>
                    <w:rPr>
                      <w:rFonts w:hint="eastAsia"/>
                    </w:rPr>
                    <w:t>T/</w:t>
                  </w:r>
                  <w:bookmarkStart w:id="2" w:name="c1"/>
                  <w:r>
                    <w:rPr>
                      <w:rFonts w:hint="eastAsia" w:ascii="Times New Roman" w:hAnsi="Times New Roman" w:eastAsia="宋体" w:cs="Times New Roman"/>
                      <w:b/>
                      <w:w w:val="130"/>
                      <w:sz w:val="96"/>
                      <w:lang w:val="en-US" w:eastAsia="zh-CN" w:bidi="ar-SA"/>
                    </w:rPr>
                    <w:fldChar w:fldCharType="begin">
                      <w:ffData>
                        <w:name w:val="c1"/>
                        <w:enabled/>
                        <w:calcOnExit w:val="0"/>
                        <w:textInput>
                          <w:default w:val="CWDPA"/>
                          <w:maxLength w:val="7"/>
                        </w:textInput>
                      </w:ffData>
                    </w:fldChar>
                  </w:r>
                  <w:r>
                    <w:rPr>
                      <w:rFonts w:hint="eastAsia" w:ascii="Times New Roman" w:hAnsi="Times New Roman" w:eastAsia="宋体" w:cs="Times New Roman"/>
                      <w:b/>
                      <w:w w:val="130"/>
                      <w:sz w:val="96"/>
                      <w:lang w:val="en-US" w:eastAsia="zh-CN" w:bidi="ar-SA"/>
                    </w:rPr>
                    <w:instrText xml:space="preserve">FORMTEXT</w:instrText>
                  </w:r>
                  <w:r>
                    <w:rPr>
                      <w:rFonts w:hint="eastAsia" w:ascii="Times New Roman" w:hAnsi="Times New Roman" w:eastAsia="宋体" w:cs="Times New Roman"/>
                      <w:b/>
                      <w:w w:val="130"/>
                      <w:sz w:val="96"/>
                      <w:lang w:val="en-US" w:eastAsia="zh-CN" w:bidi="ar-SA"/>
                    </w:rPr>
                    <w:fldChar w:fldCharType="separate"/>
                  </w:r>
                  <w:r>
                    <w:rPr>
                      <w:rFonts w:hint="eastAsia" w:ascii="Times New Roman" w:hAnsi="Times New Roman" w:eastAsia="宋体" w:cs="Times New Roman"/>
                      <w:b/>
                      <w:w w:val="130"/>
                      <w:sz w:val="96"/>
                      <w:lang w:val="en-US" w:eastAsia="zh-CN" w:bidi="ar-SA"/>
                    </w:rPr>
                    <w:t>CWDPA</w:t>
                  </w:r>
                  <w:r>
                    <w:rPr>
                      <w:rFonts w:hint="eastAsia" w:ascii="Times New Roman" w:hAnsi="Times New Roman" w:eastAsia="宋体" w:cs="Times New Roman"/>
                      <w:b/>
                      <w:w w:val="130"/>
                      <w:sz w:val="96"/>
                      <w:lang w:val="en-US" w:eastAsia="zh-CN" w:bidi="ar-SA"/>
                    </w:rPr>
                    <w:fldChar w:fldCharType="end"/>
                  </w:r>
                  <w:bookmarkEnd w:id="2"/>
                </w:p>
              </w:tc>
            </w:tr>
          </w:tbl>
          <w:p w14:paraId="66F2D30D">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bookmarkStart w:id="3" w:name="CSDN"/>
            <w:r>
              <w:rPr>
                <w:rFonts w:hint="eastAsia" w:ascii="黑体" w:hAnsi="黑体" w:eastAsia="黑体" w:cs="Times New Roman"/>
                <w:kern w:val="2"/>
                <w:sz w:val="21"/>
                <w:szCs w:val="21"/>
                <w:lang w:val="en-US" w:eastAsia="zh-CN" w:bidi="ar-SA"/>
              </w:rPr>
              <w:fldChar w:fldCharType="begin">
                <w:ffData>
                  <w:name w:val="CSDN"/>
                  <w:enabled/>
                  <w:calcOnExit w:val="0"/>
                  <w:textInput>
                    <w:default w:val="B 10"/>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B 10</w:t>
            </w:r>
            <w:r>
              <w:rPr>
                <w:rFonts w:hint="eastAsia" w:ascii="黑体" w:hAnsi="黑体" w:eastAsia="黑体" w:cs="Times New Roman"/>
                <w:kern w:val="2"/>
                <w:sz w:val="21"/>
                <w:szCs w:val="21"/>
                <w:lang w:val="en-US" w:eastAsia="zh-CN" w:bidi="ar-SA"/>
              </w:rPr>
              <w:fldChar w:fldCharType="end"/>
            </w:r>
            <w:bookmarkEnd w:id="3"/>
          </w:p>
        </w:tc>
      </w:tr>
    </w:tbl>
    <w:p w14:paraId="261B2E54">
      <w:pPr>
        <w:pStyle w:val="54"/>
        <w:framePr w:w="9639" w:h="624" w:hRule="exact" w:hSpace="181" w:vSpace="181" w:wrap="around" w:hAnchor="page" w:x="1305" w:y="2269"/>
        <w:rPr>
          <w:rFonts w:ascii="黑体" w:hAnsi="黑体" w:eastAsia="黑体"/>
          <w:b w:val="0"/>
          <w:bCs w:val="0"/>
          <w:w w:val="100"/>
          <w:sz w:val="48"/>
          <w:szCs w:val="48"/>
        </w:rPr>
      </w:pPr>
      <w:bookmarkStart w:id="4"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4"/>
    <w:p w14:paraId="267E9256">
      <w:pPr>
        <w:pStyle w:val="199"/>
        <w:framePr w:wrap="around"/>
      </w:pPr>
      <w:r>
        <w:t>T/</w:t>
      </w:r>
      <w:bookmarkStart w:id="5" w:name="文字1"/>
      <w:r>
        <w:rPr>
          <w:rFonts w:ascii="黑体" w:hAnsi="Times New Roman" w:eastAsia="黑体" w:cs="Times New Roman"/>
          <w:bCs/>
          <w:sz w:val="28"/>
          <w:szCs w:val="28"/>
          <w:lang w:val="en-US" w:eastAsia="zh-CN" w:bidi="ar-SA"/>
        </w:rPr>
        <w:fldChar w:fldCharType="begin">
          <w:ffData>
            <w:name w:val="文字1"/>
            <w:enabled/>
            <w:calcOnExit w:val="0"/>
            <w:textInput>
              <w:default w:val="CWDPA"/>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CWDPA</w:t>
      </w:r>
      <w:r>
        <w:rPr>
          <w:rFonts w:ascii="黑体" w:hAnsi="Times New Roman" w:eastAsia="黑体" w:cs="Times New Roman"/>
          <w:bCs/>
          <w:sz w:val="28"/>
          <w:szCs w:val="28"/>
          <w:lang w:val="en-US" w:eastAsia="zh-CN" w:bidi="ar-SA"/>
        </w:rPr>
        <w:fldChar w:fldCharType="end"/>
      </w:r>
      <w:bookmarkEnd w:id="5"/>
      <w:r>
        <w:rPr>
          <w:rFonts w:hint="eastAsia"/>
        </w:rPr>
        <w:t xml:space="preserve"> </w:t>
      </w:r>
      <w:bookmarkStart w:id="6" w:name="NSTD_CODE_F"/>
      <w:r>
        <w:rPr>
          <w:rFonts w:hint="eastAsia" w:ascii="黑体" w:hAnsi="Times New Roman" w:eastAsia="黑体" w:cs="Times New Roman"/>
          <w:bCs/>
          <w:sz w:val="28"/>
          <w:szCs w:val="28"/>
          <w:lang w:val="en-US" w:eastAsia="zh-CN" w:bidi="ar-SA"/>
        </w:rPr>
        <w:fldChar w:fldCharType="begin">
          <w:ffData>
            <w:name w:val="NSTD_CODE_F"/>
            <w:enabled/>
            <w:calcOnExit w:val="0"/>
            <w:textInput>
              <w:default w:val="XXX"/>
            </w:textInput>
          </w:ffData>
        </w:fldChar>
      </w:r>
      <w:r>
        <w:rPr>
          <w:rFonts w:hint="eastAsia" w:ascii="黑体" w:hAnsi="Times New Roman" w:eastAsia="黑体" w:cs="Times New Roman"/>
          <w:bCs/>
          <w:sz w:val="28"/>
          <w:szCs w:val="28"/>
          <w:lang w:val="en-US" w:eastAsia="zh-CN" w:bidi="ar-SA"/>
        </w:rPr>
        <w:instrText xml:space="preserve">FORMTEXT</w:instrText>
      </w:r>
      <w:r>
        <w:rPr>
          <w:rFonts w:hint="eastAsia" w:ascii="黑体" w:hAnsi="Times New Roman" w:eastAsia="黑体" w:cs="Times New Roman"/>
          <w:bCs/>
          <w:sz w:val="28"/>
          <w:szCs w:val="28"/>
          <w:lang w:val="en-US" w:eastAsia="zh-CN" w:bidi="ar-SA"/>
        </w:rPr>
        <w:fldChar w:fldCharType="separate"/>
      </w:r>
      <w:r>
        <w:rPr>
          <w:rFonts w:hint="eastAsia" w:ascii="黑体" w:hAnsi="Times New Roman" w:eastAsia="黑体" w:cs="Times New Roman"/>
          <w:bCs/>
          <w:sz w:val="28"/>
          <w:szCs w:val="28"/>
          <w:lang w:val="en-US" w:eastAsia="zh-CN" w:bidi="ar-SA"/>
        </w:rPr>
        <w:t>XXX</w:t>
      </w:r>
      <w:r>
        <w:rPr>
          <w:rFonts w:hint="eastAsia" w:ascii="黑体" w:hAnsi="Times New Roman" w:eastAsia="黑体" w:cs="Times New Roman"/>
          <w:bCs/>
          <w:sz w:val="28"/>
          <w:szCs w:val="28"/>
          <w:lang w:val="en-US" w:eastAsia="zh-CN" w:bidi="ar-SA"/>
        </w:rPr>
        <w:fldChar w:fldCharType="end"/>
      </w:r>
      <w:bookmarkEnd w:id="6"/>
      <w:r>
        <w:rPr>
          <w:rFonts w:hAnsi="黑体"/>
        </w:rPr>
        <w:t>—</w:t>
      </w:r>
      <w:bookmarkStart w:id="7" w:name="NSTD_CODE_B"/>
      <w:r>
        <w:rPr>
          <w:rFonts w:ascii="黑体" w:hAnsi="Times New Roman" w:eastAsia="黑体" w:cs="Times New Roman"/>
          <w:bCs/>
          <w:sz w:val="28"/>
          <w:szCs w:val="28"/>
          <w:lang w:val="en-US" w:eastAsia="zh-CN" w:bidi="ar-SA"/>
        </w:rPr>
        <w:fldChar w:fldCharType="begin">
          <w:ffData>
            <w:name w:val="NSTD_CODE_B"/>
            <w:enabled/>
            <w:calcOnExit w:val="0"/>
            <w:textInput>
              <w:default w:val="2026"/>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2026</w:t>
      </w:r>
      <w:r>
        <w:rPr>
          <w:rFonts w:ascii="黑体" w:hAnsi="Times New Roman" w:eastAsia="黑体" w:cs="Times New Roman"/>
          <w:bCs/>
          <w:sz w:val="28"/>
          <w:szCs w:val="28"/>
          <w:lang w:val="en-US" w:eastAsia="zh-CN" w:bidi="ar-SA"/>
        </w:rPr>
        <w:fldChar w:fldCharType="end"/>
      </w:r>
      <w:bookmarkEnd w:id="7"/>
    </w:p>
    <w:p w14:paraId="6979B3A8">
      <w:pPr>
        <w:pStyle w:val="200"/>
        <w:framePr w:wrap="around"/>
        <w:rPr>
          <w:rFonts w:hAnsi="黑体"/>
        </w:rPr>
      </w:pPr>
    </w:p>
    <w:p w14:paraId="4B245F40">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13A8650C">
      <w:pPr>
        <w:pStyle w:val="54"/>
        <w:framePr w:w="9639" w:h="6976" w:hRule="exact" w:hSpace="0" w:vSpace="0" w:wrap="around" w:hAnchor="page" w:y="6408"/>
        <w:jc w:val="center"/>
        <w:rPr>
          <w:rFonts w:ascii="黑体" w:hAnsi="黑体" w:eastAsia="黑体"/>
          <w:b w:val="0"/>
          <w:bCs w:val="0"/>
          <w:w w:val="100"/>
        </w:rPr>
      </w:pPr>
    </w:p>
    <w:p w14:paraId="29341E66">
      <w:pPr>
        <w:pStyle w:val="201"/>
        <w:framePr w:h="6974" w:hRule="exact" w:wrap="around" w:x="1419" w:anchorLock="1"/>
      </w:pPr>
      <w:bookmarkStart w:id="8" w:name="CSTD_NAME"/>
      <w:r>
        <w:rPr>
          <w:rFonts w:hint="eastAsia" w:ascii="黑体" w:hAnsi="黑体" w:eastAsia="黑体" w:cs="Times New Roman"/>
          <w:bCs/>
          <w:sz w:val="52"/>
          <w:lang w:val="en-US" w:eastAsia="zh-CN" w:bidi="ar-SA"/>
        </w:rPr>
        <w:fldChar w:fldCharType="begin">
          <w:ffData>
            <w:name w:val="CSTD_NAME"/>
            <w:enabled/>
            <w:calcOnExit w:val="0"/>
            <w:textInput>
              <w:default w:val="盐碱地改良凝胶田间应用技术规程"/>
            </w:textInput>
          </w:ffData>
        </w:fldChar>
      </w:r>
      <w:r>
        <w:rPr>
          <w:rFonts w:hint="eastAsia" w:ascii="黑体" w:hAnsi="黑体" w:eastAsia="黑体" w:cs="Times New Roman"/>
          <w:bCs/>
          <w:sz w:val="52"/>
          <w:lang w:val="en-US" w:eastAsia="zh-CN" w:bidi="ar-SA"/>
        </w:rPr>
        <w:instrText xml:space="preserve">FORMTEXT</w:instrText>
      </w:r>
      <w:r>
        <w:rPr>
          <w:rFonts w:hint="eastAsia" w:ascii="黑体" w:hAnsi="黑体" w:eastAsia="黑体" w:cs="Times New Roman"/>
          <w:bCs/>
          <w:sz w:val="52"/>
          <w:lang w:val="en-US" w:eastAsia="zh-CN" w:bidi="ar-SA"/>
        </w:rPr>
        <w:fldChar w:fldCharType="separate"/>
      </w:r>
      <w:r>
        <w:rPr>
          <w:rFonts w:hint="eastAsia" w:ascii="黑体" w:hAnsi="黑体" w:eastAsia="黑体" w:cs="Times New Roman"/>
          <w:bCs/>
          <w:sz w:val="52"/>
          <w:lang w:val="en-US" w:eastAsia="zh-CN" w:bidi="ar-SA"/>
        </w:rPr>
        <w:t>盐碱地改良凝胶田间应用技术规程</w:t>
      </w:r>
      <w:r>
        <w:rPr>
          <w:rFonts w:hint="eastAsia" w:ascii="黑体" w:hAnsi="黑体" w:eastAsia="黑体" w:cs="Times New Roman"/>
          <w:bCs/>
          <w:sz w:val="52"/>
          <w:lang w:val="en-US" w:eastAsia="zh-CN" w:bidi="ar-SA"/>
        </w:rPr>
        <w:fldChar w:fldCharType="end"/>
      </w:r>
      <w:bookmarkEnd w:id="8"/>
    </w:p>
    <w:p w14:paraId="17187E7D">
      <w:pPr>
        <w:framePr w:w="9639" w:h="6974" w:hRule="exact" w:wrap="around" w:vAnchor="page" w:hAnchor="page" w:x="1419" w:y="6408" w:anchorLock="1"/>
        <w:ind w:left="-1418"/>
      </w:pPr>
    </w:p>
    <w:p w14:paraId="453C1EDF">
      <w:pPr>
        <w:pStyle w:val="129"/>
        <w:framePr w:w="9639" w:h="6974" w:hRule="exact" w:wrap="around" w:vAnchor="page" w:hAnchor="page" w:x="1419" w:y="6408" w:anchorLock="1"/>
        <w:textAlignment w:val="bottom"/>
        <w:rPr>
          <w:rFonts w:eastAsia="黑体"/>
          <w:szCs w:val="28"/>
        </w:rPr>
      </w:pPr>
      <w:bookmarkStart w:id="9" w:name="ESTD_NAME"/>
      <w:r>
        <w:rPr>
          <w:rFonts w:hint="eastAsia" w:ascii="Times New Roman" w:hAnsi="Times New Roman" w:eastAsia="黑体" w:cs="Times New Roman"/>
          <w:sz w:val="28"/>
          <w:szCs w:val="28"/>
          <w:lang w:val="en-US" w:eastAsia="zh-CN" w:bidi="ar-SA"/>
        </w:rPr>
        <w:fldChar w:fldCharType="begin">
          <w:ffData>
            <w:name w:val="ESTD_NAME"/>
            <w:enabled/>
            <w:calcOnExit w:val="0"/>
            <w:textInput>
              <w:default w:val="Technical code of practice for field application of gel for saline-alkali land improvement"/>
            </w:textInput>
          </w:ffData>
        </w:fldChar>
      </w:r>
      <w:r>
        <w:rPr>
          <w:rFonts w:hint="eastAsia" w:ascii="Times New Roman" w:hAnsi="Times New Roman" w:eastAsia="黑体" w:cs="Times New Roman"/>
          <w:sz w:val="28"/>
          <w:szCs w:val="28"/>
          <w:lang w:val="en-US" w:eastAsia="zh-CN" w:bidi="ar-SA"/>
        </w:rPr>
        <w:instrText xml:space="preserve">FORMTEXT</w:instrText>
      </w:r>
      <w:r>
        <w:rPr>
          <w:rFonts w:hint="eastAsia" w:ascii="Times New Roman" w:hAnsi="Times New Roman" w:eastAsia="黑体" w:cs="Times New Roman"/>
          <w:sz w:val="28"/>
          <w:szCs w:val="28"/>
          <w:lang w:val="en-US" w:eastAsia="zh-CN" w:bidi="ar-SA"/>
        </w:rPr>
        <w:fldChar w:fldCharType="separate"/>
      </w:r>
      <w:r>
        <w:rPr>
          <w:rFonts w:hint="eastAsia" w:ascii="Times New Roman" w:hAnsi="Times New Roman" w:eastAsia="黑体" w:cs="Times New Roman"/>
          <w:sz w:val="28"/>
          <w:szCs w:val="28"/>
          <w:lang w:val="en-US" w:eastAsia="zh-CN" w:bidi="ar-SA"/>
        </w:rPr>
        <w:t>Technical code of practice for field application of gel for saline-alkali land improvement</w:t>
      </w:r>
      <w:r>
        <w:rPr>
          <w:rFonts w:hint="eastAsia" w:ascii="Times New Roman" w:hAnsi="Times New Roman" w:eastAsia="黑体" w:cs="Times New Roman"/>
          <w:sz w:val="28"/>
          <w:szCs w:val="28"/>
          <w:lang w:val="en-US" w:eastAsia="zh-CN" w:bidi="ar-SA"/>
        </w:rPr>
        <w:fldChar w:fldCharType="end"/>
      </w:r>
      <w:bookmarkEnd w:id="9"/>
    </w:p>
    <w:p w14:paraId="6FFBEBC3">
      <w:pPr>
        <w:framePr w:w="9639" w:h="6974" w:hRule="exact" w:wrap="around" w:vAnchor="page" w:hAnchor="page" w:x="1419" w:y="6408" w:anchorLock="1"/>
        <w:spacing w:line="760" w:lineRule="exact"/>
        <w:ind w:left="-1418"/>
      </w:pPr>
    </w:p>
    <w:p w14:paraId="3806F345">
      <w:pPr>
        <w:pStyle w:val="129"/>
        <w:framePr w:w="9639" w:h="6974" w:hRule="exact" w:wrap="around" w:vAnchor="page" w:hAnchor="page" w:x="1419" w:y="6408" w:anchorLock="1"/>
        <w:textAlignment w:val="bottom"/>
        <w:rPr>
          <w:rFonts w:eastAsia="黑体"/>
          <w:szCs w:val="28"/>
        </w:rPr>
      </w:pPr>
    </w:p>
    <w:p w14:paraId="07ADEB26">
      <w:pPr>
        <w:pStyle w:val="129"/>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14:paraId="45BED3F1">
      <w:pPr>
        <w:pStyle w:val="129"/>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fldChar w:fldCharType="separate"/>
      </w:r>
      <w:r>
        <w:rPr>
          <w:b/>
          <w:sz w:val="21"/>
          <w:szCs w:val="28"/>
        </w:rPr>
        <w:fldChar w:fldCharType="end"/>
      </w:r>
      <w:bookmarkEnd w:id="11"/>
    </w:p>
    <w:p w14:paraId="003405A8">
      <w:pPr>
        <w:pStyle w:val="197"/>
        <w:framePr w:wrap="around" w:y="14176"/>
      </w:pPr>
      <w:bookmarkStart w:id="12" w:name="PLSH_DATE_Y"/>
      <w:r>
        <w:rPr>
          <w:rFonts w:ascii="黑体" w:hAnsi="Times New Roman" w:eastAsia="黑体" w:cs="Times New Roman"/>
          <w:sz w:val="28"/>
          <w:lang w:val="en-US" w:eastAsia="zh-CN" w:bidi="ar-SA"/>
        </w:rPr>
        <w:fldChar w:fldCharType="begin">
          <w:ffData>
            <w:name w:val="PLSH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2"/>
      <w:r>
        <w:rPr>
          <w:rFonts w:ascii="黑体"/>
        </w:rPr>
        <w:t>-</w:t>
      </w:r>
      <w:bookmarkStart w:id="13" w:name="PLSH_DATE_M"/>
      <w:r>
        <w:rPr>
          <w:rFonts w:ascii="黑体" w:hAnsi="Times New Roman" w:eastAsia="黑体" w:cs="Times New Roman"/>
          <w:sz w:val="28"/>
          <w:lang w:val="en-US" w:eastAsia="zh-CN" w:bidi="ar-SA"/>
        </w:rPr>
        <w:fldChar w:fldCharType="begin">
          <w:ffData>
            <w:name w:val="PLSH_DATE_M"/>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3"/>
      <w:r>
        <w:rPr>
          <w:rFonts w:ascii="黑体"/>
        </w:rPr>
        <w:t>-</w:t>
      </w:r>
      <w:bookmarkStart w:id="14" w:name="PLSH_DATE_D"/>
      <w:r>
        <w:rPr>
          <w:rFonts w:ascii="黑体" w:hAnsi="Times New Roman" w:eastAsia="黑体" w:cs="Times New Roman"/>
          <w:sz w:val="28"/>
          <w:lang w:val="en-US" w:eastAsia="zh-CN" w:bidi="ar-SA"/>
        </w:rPr>
        <w:fldChar w:fldCharType="begin">
          <w:ffData>
            <w:name w:val="PLSH_DATE_D"/>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4"/>
      <w:r>
        <w:rPr>
          <w:rFonts w:hint="eastAsia"/>
        </w:rPr>
        <w:t>发布</w:t>
      </w:r>
    </w:p>
    <w:p w14:paraId="303CA46D">
      <w:pPr>
        <w:pStyle w:val="198"/>
        <w:framePr w:wrap="around" w:y="14176"/>
      </w:pPr>
      <w:bookmarkStart w:id="15" w:name="CROT_DATE_Y"/>
      <w:r>
        <w:rPr>
          <w:rFonts w:ascii="黑体" w:hAnsi="Times New Roman" w:eastAsia="黑体" w:cs="Times New Roman"/>
          <w:sz w:val="28"/>
          <w:lang w:val="en-US" w:eastAsia="zh-CN" w:bidi="ar-SA"/>
        </w:rPr>
        <w:fldChar w:fldCharType="begin">
          <w:ffData>
            <w:name w:val="CROT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5"/>
      <w:r>
        <w:rPr>
          <w:rFonts w:ascii="黑体"/>
        </w:rPr>
        <w:t>-</w:t>
      </w:r>
      <w:bookmarkStart w:id="16" w:name="CROT_DATE_M"/>
      <w:r>
        <w:rPr>
          <w:rFonts w:ascii="黑体" w:hAnsi="Times New Roman" w:eastAsia="黑体" w:cs="Times New Roman"/>
          <w:sz w:val="28"/>
          <w:lang w:val="en-US" w:eastAsia="zh-CN" w:bidi="ar-SA"/>
        </w:rPr>
        <w:fldChar w:fldCharType="begin">
          <w:ffData>
            <w:name w:val="CROT_DATE_M"/>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6"/>
      <w:r>
        <w:rPr>
          <w:rFonts w:ascii="黑体"/>
        </w:rPr>
        <w:t>-</w:t>
      </w:r>
      <w:bookmarkStart w:id="17" w:name="CROT_DATE_D"/>
      <w:r>
        <w:rPr>
          <w:rFonts w:ascii="黑体" w:hAnsi="Times New Roman" w:eastAsia="黑体" w:cs="Times New Roman"/>
          <w:sz w:val="28"/>
          <w:lang w:val="en-US" w:eastAsia="zh-CN" w:bidi="ar-SA"/>
        </w:rPr>
        <w:fldChar w:fldCharType="begin">
          <w:ffData>
            <w:name w:val="CROT_DATE_D"/>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7"/>
      <w:r>
        <w:rPr>
          <w:rFonts w:hint="eastAsia"/>
        </w:rPr>
        <w:t>实施</w:t>
      </w:r>
    </w:p>
    <w:p w14:paraId="3F57129E">
      <w:pPr>
        <w:pStyle w:val="155"/>
        <w:framePr w:h="584" w:hRule="exact" w:hSpace="181" w:vSpace="181" w:wrap="around" w:vAnchor="page" w:y="14727"/>
        <w:rPr>
          <w:rFonts w:hAnsi="黑体"/>
        </w:rPr>
      </w:pPr>
      <w:bookmarkStart w:id="18" w:name="fm"/>
      <w:r>
        <w:rPr>
          <w:rFonts w:ascii="黑体" w:hAnsi="黑体" w:eastAsia="黑体" w:cs="Times New Roman"/>
          <w:b w:val="0"/>
          <w:w w:val="100"/>
          <w:sz w:val="28"/>
          <w:lang w:val="en-US" w:eastAsia="zh-CN" w:bidi="ar-SA"/>
        </w:rPr>
        <w:fldChar w:fldCharType="begin">
          <w:ffData>
            <w:name w:val="fm"/>
            <w:enabled/>
            <w:calcOnExit w:val="0"/>
            <w:textInput>
              <w:default w:val="中国西部开发促进会"/>
            </w:textInput>
          </w:ffData>
        </w:fldChar>
      </w:r>
      <w:r>
        <w:rPr>
          <w:rFonts w:ascii="黑体" w:hAnsi="黑体" w:eastAsia="黑体" w:cs="Times New Roman"/>
          <w:b w:val="0"/>
          <w:w w:val="100"/>
          <w:sz w:val="28"/>
          <w:lang w:val="en-US" w:eastAsia="zh-CN" w:bidi="ar-SA"/>
        </w:rPr>
        <w:instrText xml:space="preserve">FORMTEXT</w:instrText>
      </w:r>
      <w:r>
        <w:rPr>
          <w:rFonts w:ascii="黑体" w:hAnsi="黑体" w:eastAsia="黑体" w:cs="Times New Roman"/>
          <w:b w:val="0"/>
          <w:w w:val="100"/>
          <w:sz w:val="28"/>
          <w:lang w:val="en-US" w:eastAsia="zh-CN" w:bidi="ar-SA"/>
        </w:rPr>
        <w:fldChar w:fldCharType="separate"/>
      </w:r>
      <w:r>
        <w:rPr>
          <w:rFonts w:ascii="黑体" w:hAnsi="黑体" w:eastAsia="黑体" w:cs="Times New Roman"/>
          <w:b w:val="0"/>
          <w:w w:val="100"/>
          <w:sz w:val="28"/>
          <w:lang w:val="en-US" w:eastAsia="zh-CN" w:bidi="ar-SA"/>
        </w:rPr>
        <w:t>中国西部开发促进会</w:t>
      </w:r>
      <w:r>
        <w:rPr>
          <w:rFonts w:ascii="黑体" w:hAnsi="黑体" w:eastAsia="黑体" w:cs="Times New Roman"/>
          <w:b w:val="0"/>
          <w:w w:val="100"/>
          <w:sz w:val="28"/>
          <w:lang w:val="en-US" w:eastAsia="zh-CN" w:bidi="ar-SA"/>
        </w:rPr>
        <w:fldChar w:fldCharType="end"/>
      </w:r>
      <w:bookmarkEnd w:id="18"/>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0CA260E6">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417" w:header="1418" w:footer="1134" w:gutter="283"/>
          <w:cols w:space="0" w:num="1"/>
          <w:docGrid w:linePitch="312" w:charSpace="0"/>
        </w:sectPr>
      </w:pPr>
      <w:r>
        <w:rPr>
          <w:rFonts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2AB41B15">
      <w:pPr>
        <w:pStyle w:val="95"/>
        <w:spacing w:before="850" w:after="680" w:afterLines="0"/>
        <w:rPr>
          <w:rFonts w:hint="eastAsia"/>
          <w:spacing w:val="320"/>
        </w:rPr>
      </w:pPr>
      <w:bookmarkStart w:id="19" w:name="BookMark1"/>
      <w:bookmarkStart w:id="20" w:name="_Toc148612844"/>
      <w:bookmarkStart w:id="21" w:name="_Toc150158766"/>
      <w:bookmarkStart w:id="22" w:name="_Toc150158739"/>
      <w:r>
        <w:rPr>
          <w:rFonts w:hint="eastAsia"/>
          <w:spacing w:val="320"/>
        </w:rPr>
        <w:t>目次</w:t>
      </w:r>
    </w:p>
    <w:p w14:paraId="7C576F91">
      <w:pPr>
        <w:pStyle w:val="20"/>
        <w:tabs>
          <w:tab w:val="right" w:leader="dot" w:pos="9355"/>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_Toc4002 </w:instrText>
      </w:r>
      <w:r>
        <w:fldChar w:fldCharType="separate"/>
      </w:r>
      <w:r>
        <w:rPr>
          <w:rFonts w:hint="eastAsia"/>
          <w:spacing w:val="320"/>
        </w:rPr>
        <w:t>前言</w:t>
      </w:r>
      <w:r>
        <w:tab/>
      </w:r>
      <w:r>
        <w:fldChar w:fldCharType="begin"/>
      </w:r>
      <w:r>
        <w:instrText xml:space="preserve"> PAGEREF _Toc4002 \h </w:instrText>
      </w:r>
      <w:r>
        <w:fldChar w:fldCharType="separate"/>
      </w:r>
      <w:r>
        <w:t>II</w:t>
      </w:r>
      <w:r>
        <w:fldChar w:fldCharType="end"/>
      </w:r>
      <w:r>
        <w:fldChar w:fldCharType="end"/>
      </w:r>
    </w:p>
    <w:p w14:paraId="7481EE80">
      <w:pPr>
        <w:pStyle w:val="20"/>
        <w:tabs>
          <w:tab w:val="right" w:leader="dot" w:pos="9355"/>
        </w:tabs>
      </w:pPr>
      <w:r>
        <w:fldChar w:fldCharType="begin"/>
      </w:r>
      <w:r>
        <w:instrText xml:space="preserve"> HYPERLINK \l _Toc22541 </w:instrText>
      </w:r>
      <w:r>
        <w:fldChar w:fldCharType="separate"/>
      </w:r>
      <w:r>
        <w:rPr>
          <w:rFonts w:hint="eastAsia" w:ascii="黑体" w:eastAsia="黑体"/>
          <w:i w:val="0"/>
        </w:rPr>
        <w:t xml:space="preserve">1 </w:t>
      </w:r>
      <w:r>
        <w:rPr>
          <w:rFonts w:hint="eastAsia"/>
        </w:rPr>
        <w:t>范围</w:t>
      </w:r>
      <w:r>
        <w:tab/>
      </w:r>
      <w:r>
        <w:fldChar w:fldCharType="begin"/>
      </w:r>
      <w:r>
        <w:instrText xml:space="preserve"> PAGEREF _Toc22541 \h </w:instrText>
      </w:r>
      <w:r>
        <w:fldChar w:fldCharType="separate"/>
      </w:r>
      <w:r>
        <w:t>1</w:t>
      </w:r>
      <w:r>
        <w:fldChar w:fldCharType="end"/>
      </w:r>
      <w:r>
        <w:fldChar w:fldCharType="end"/>
      </w:r>
    </w:p>
    <w:p w14:paraId="4956B536">
      <w:pPr>
        <w:pStyle w:val="20"/>
        <w:tabs>
          <w:tab w:val="right" w:leader="dot" w:pos="9355"/>
        </w:tabs>
      </w:pPr>
      <w:r>
        <w:fldChar w:fldCharType="begin"/>
      </w:r>
      <w:r>
        <w:instrText xml:space="preserve"> HYPERLINK \l _Toc20230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_Toc20230 \h </w:instrText>
      </w:r>
      <w:r>
        <w:fldChar w:fldCharType="separate"/>
      </w:r>
      <w:r>
        <w:t>1</w:t>
      </w:r>
      <w:r>
        <w:fldChar w:fldCharType="end"/>
      </w:r>
      <w:r>
        <w:fldChar w:fldCharType="end"/>
      </w:r>
    </w:p>
    <w:p w14:paraId="30952559">
      <w:pPr>
        <w:pStyle w:val="20"/>
        <w:tabs>
          <w:tab w:val="right" w:leader="dot" w:pos="9355"/>
        </w:tabs>
      </w:pPr>
      <w:r>
        <w:fldChar w:fldCharType="begin"/>
      </w:r>
      <w:r>
        <w:instrText xml:space="preserve"> HYPERLINK \l _Toc12195 </w:instrText>
      </w:r>
      <w: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_Toc12195 \h </w:instrText>
      </w:r>
      <w:r>
        <w:fldChar w:fldCharType="separate"/>
      </w:r>
      <w:r>
        <w:t>1</w:t>
      </w:r>
      <w:r>
        <w:fldChar w:fldCharType="end"/>
      </w:r>
      <w:r>
        <w:fldChar w:fldCharType="end"/>
      </w:r>
    </w:p>
    <w:p w14:paraId="4408C822">
      <w:pPr>
        <w:pStyle w:val="20"/>
        <w:tabs>
          <w:tab w:val="right" w:leader="dot" w:pos="9355"/>
        </w:tabs>
      </w:pPr>
      <w:r>
        <w:fldChar w:fldCharType="begin"/>
      </w:r>
      <w:r>
        <w:instrText xml:space="preserve"> HYPERLINK \l _Toc25667 </w:instrText>
      </w:r>
      <w:r>
        <w:fldChar w:fldCharType="separate"/>
      </w:r>
      <w:r>
        <w:rPr>
          <w:rFonts w:hint="eastAsia" w:ascii="黑体" w:eastAsia="黑体"/>
          <w:i w:val="0"/>
          <w:lang w:val="en-US" w:eastAsia="zh-CN"/>
        </w:rPr>
        <w:t xml:space="preserve">4 </w:t>
      </w:r>
      <w:r>
        <w:rPr>
          <w:rFonts w:hint="eastAsia"/>
          <w:lang w:val="en-US" w:eastAsia="zh-CN"/>
        </w:rPr>
        <w:t>地块调查与预处理</w:t>
      </w:r>
      <w:r>
        <w:tab/>
      </w:r>
      <w:r>
        <w:fldChar w:fldCharType="begin"/>
      </w:r>
      <w:r>
        <w:instrText xml:space="preserve"> PAGEREF _Toc25667 \h </w:instrText>
      </w:r>
      <w:r>
        <w:fldChar w:fldCharType="separate"/>
      </w:r>
      <w:r>
        <w:t>1</w:t>
      </w:r>
      <w:r>
        <w:fldChar w:fldCharType="end"/>
      </w:r>
      <w:r>
        <w:fldChar w:fldCharType="end"/>
      </w:r>
    </w:p>
    <w:p w14:paraId="433DB60C">
      <w:pPr>
        <w:pStyle w:val="25"/>
        <w:tabs>
          <w:tab w:val="right" w:leader="dot" w:pos="9355"/>
          <w:tab w:val="clear" w:pos="9344"/>
        </w:tabs>
      </w:pPr>
      <w:r>
        <w:fldChar w:fldCharType="begin"/>
      </w:r>
      <w:r>
        <w:instrText xml:space="preserve"> HYPERLINK \l _Toc1015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4.1 </w:t>
      </w:r>
      <w:r>
        <w:rPr>
          <w:rFonts w:hint="eastAsia"/>
          <w:lang w:val="en-US" w:eastAsia="zh-CN"/>
        </w:rPr>
        <w:t>土壤采样</w:t>
      </w:r>
      <w:r>
        <w:tab/>
      </w:r>
      <w:r>
        <w:fldChar w:fldCharType="begin"/>
      </w:r>
      <w:r>
        <w:instrText xml:space="preserve"> PAGEREF _Toc1015 \h </w:instrText>
      </w:r>
      <w:r>
        <w:fldChar w:fldCharType="separate"/>
      </w:r>
      <w:r>
        <w:t>1</w:t>
      </w:r>
      <w:r>
        <w:fldChar w:fldCharType="end"/>
      </w:r>
      <w:r>
        <w:fldChar w:fldCharType="end"/>
      </w:r>
    </w:p>
    <w:p w14:paraId="32910EF0">
      <w:pPr>
        <w:pStyle w:val="25"/>
        <w:tabs>
          <w:tab w:val="right" w:leader="dot" w:pos="9355"/>
          <w:tab w:val="clear" w:pos="9344"/>
        </w:tabs>
      </w:pPr>
      <w:r>
        <w:fldChar w:fldCharType="begin"/>
      </w:r>
      <w:r>
        <w:instrText xml:space="preserve"> HYPERLINK \l _Toc10846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4.2 </w:t>
      </w:r>
      <w:r>
        <w:rPr>
          <w:rFonts w:hint="eastAsia"/>
          <w:lang w:val="en-US" w:eastAsia="zh-CN"/>
        </w:rPr>
        <w:t>检测指标与方法</w:t>
      </w:r>
      <w:r>
        <w:tab/>
      </w:r>
      <w:r>
        <w:fldChar w:fldCharType="begin"/>
      </w:r>
      <w:r>
        <w:instrText xml:space="preserve"> PAGEREF _Toc10846 \h </w:instrText>
      </w:r>
      <w:r>
        <w:fldChar w:fldCharType="separate"/>
      </w:r>
      <w:r>
        <w:t>1</w:t>
      </w:r>
      <w:r>
        <w:fldChar w:fldCharType="end"/>
      </w:r>
      <w:r>
        <w:fldChar w:fldCharType="end"/>
      </w:r>
    </w:p>
    <w:p w14:paraId="02C3D536">
      <w:pPr>
        <w:pStyle w:val="25"/>
        <w:tabs>
          <w:tab w:val="right" w:leader="dot" w:pos="9355"/>
          <w:tab w:val="clear" w:pos="9344"/>
        </w:tabs>
      </w:pPr>
      <w:r>
        <w:fldChar w:fldCharType="begin"/>
      </w:r>
      <w:r>
        <w:instrText xml:space="preserve"> HYPERLINK \l _Toc27343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4.3 </w:t>
      </w:r>
      <w:r>
        <w:rPr>
          <w:rFonts w:hint="eastAsia"/>
          <w:lang w:val="en-US" w:eastAsia="zh-CN"/>
        </w:rPr>
        <w:t>盐碱地块分级</w:t>
      </w:r>
      <w:r>
        <w:tab/>
      </w:r>
      <w:r>
        <w:fldChar w:fldCharType="begin"/>
      </w:r>
      <w:r>
        <w:instrText xml:space="preserve"> PAGEREF _Toc27343 \h </w:instrText>
      </w:r>
      <w:r>
        <w:fldChar w:fldCharType="separate"/>
      </w:r>
      <w:r>
        <w:t>2</w:t>
      </w:r>
      <w:r>
        <w:fldChar w:fldCharType="end"/>
      </w:r>
      <w:r>
        <w:fldChar w:fldCharType="end"/>
      </w:r>
    </w:p>
    <w:p w14:paraId="77042128">
      <w:pPr>
        <w:pStyle w:val="20"/>
        <w:tabs>
          <w:tab w:val="right" w:leader="dot" w:pos="9355"/>
        </w:tabs>
      </w:pPr>
      <w:r>
        <w:fldChar w:fldCharType="begin"/>
      </w:r>
      <w:r>
        <w:instrText xml:space="preserve"> HYPERLINK \l _Toc506 </w:instrText>
      </w:r>
      <w:r>
        <w:fldChar w:fldCharType="separate"/>
      </w:r>
      <w:r>
        <w:rPr>
          <w:rFonts w:hint="eastAsia" w:ascii="黑体" w:eastAsia="黑体"/>
          <w:i w:val="0"/>
          <w:lang w:val="en-US" w:eastAsia="zh-CN"/>
        </w:rPr>
        <w:t xml:space="preserve">5 </w:t>
      </w:r>
      <w:r>
        <w:rPr>
          <w:rFonts w:hint="eastAsia"/>
          <w:lang w:val="en-US" w:eastAsia="zh-CN"/>
        </w:rPr>
        <w:t>施前准备</w:t>
      </w:r>
      <w:r>
        <w:tab/>
      </w:r>
      <w:r>
        <w:fldChar w:fldCharType="begin"/>
      </w:r>
      <w:r>
        <w:instrText xml:space="preserve"> PAGEREF _Toc506 \h </w:instrText>
      </w:r>
      <w:r>
        <w:fldChar w:fldCharType="separate"/>
      </w:r>
      <w:r>
        <w:t>2</w:t>
      </w:r>
      <w:r>
        <w:fldChar w:fldCharType="end"/>
      </w:r>
      <w:r>
        <w:fldChar w:fldCharType="end"/>
      </w:r>
    </w:p>
    <w:p w14:paraId="1C12A0F0">
      <w:pPr>
        <w:pStyle w:val="25"/>
        <w:tabs>
          <w:tab w:val="right" w:leader="dot" w:pos="9355"/>
          <w:tab w:val="clear" w:pos="9344"/>
        </w:tabs>
      </w:pPr>
      <w:r>
        <w:fldChar w:fldCharType="begin"/>
      </w:r>
      <w:r>
        <w:instrText xml:space="preserve"> HYPERLINK \l _Toc6320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5.1 </w:t>
      </w:r>
      <w:r>
        <w:rPr>
          <w:rFonts w:hint="eastAsia"/>
          <w:lang w:val="en-US" w:eastAsia="zh-CN"/>
        </w:rPr>
        <w:t>方案编制</w:t>
      </w:r>
      <w:r>
        <w:tab/>
      </w:r>
      <w:r>
        <w:fldChar w:fldCharType="begin"/>
      </w:r>
      <w:r>
        <w:instrText xml:space="preserve"> PAGEREF _Toc6320 \h </w:instrText>
      </w:r>
      <w:r>
        <w:fldChar w:fldCharType="separate"/>
      </w:r>
      <w:r>
        <w:t>2</w:t>
      </w:r>
      <w:r>
        <w:fldChar w:fldCharType="end"/>
      </w:r>
      <w:r>
        <w:fldChar w:fldCharType="end"/>
      </w:r>
    </w:p>
    <w:p w14:paraId="310C330D">
      <w:pPr>
        <w:pStyle w:val="25"/>
        <w:tabs>
          <w:tab w:val="right" w:leader="dot" w:pos="9355"/>
          <w:tab w:val="clear" w:pos="9344"/>
        </w:tabs>
      </w:pPr>
      <w:r>
        <w:fldChar w:fldCharType="begin"/>
      </w:r>
      <w:r>
        <w:instrText xml:space="preserve"> HYPERLINK \l _Toc20187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5.2 </w:t>
      </w:r>
      <w:r>
        <w:rPr>
          <w:rFonts w:hint="eastAsia"/>
          <w:lang w:val="en-US" w:eastAsia="zh-CN"/>
        </w:rPr>
        <w:t>预试验</w:t>
      </w:r>
      <w:r>
        <w:tab/>
      </w:r>
      <w:r>
        <w:fldChar w:fldCharType="begin"/>
      </w:r>
      <w:r>
        <w:instrText xml:space="preserve"> PAGEREF _Toc20187 \h </w:instrText>
      </w:r>
      <w:r>
        <w:fldChar w:fldCharType="separate"/>
      </w:r>
      <w:r>
        <w:t>2</w:t>
      </w:r>
      <w:r>
        <w:fldChar w:fldCharType="end"/>
      </w:r>
      <w:r>
        <w:fldChar w:fldCharType="end"/>
      </w:r>
    </w:p>
    <w:p w14:paraId="44A83C95">
      <w:pPr>
        <w:pStyle w:val="25"/>
        <w:tabs>
          <w:tab w:val="right" w:leader="dot" w:pos="9355"/>
          <w:tab w:val="clear" w:pos="9344"/>
        </w:tabs>
      </w:pPr>
      <w:r>
        <w:fldChar w:fldCharType="begin"/>
      </w:r>
      <w:r>
        <w:instrText xml:space="preserve"> HYPERLINK \l _Toc20647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5.3 </w:t>
      </w:r>
      <w:r>
        <w:rPr>
          <w:rFonts w:hint="eastAsia"/>
          <w:lang w:val="en-US" w:eastAsia="zh-CN"/>
        </w:rPr>
        <w:t>物料核查</w:t>
      </w:r>
      <w:r>
        <w:tab/>
      </w:r>
      <w:r>
        <w:fldChar w:fldCharType="begin"/>
      </w:r>
      <w:r>
        <w:instrText xml:space="preserve"> PAGEREF _Toc20647 \h </w:instrText>
      </w:r>
      <w:r>
        <w:fldChar w:fldCharType="separate"/>
      </w:r>
      <w:r>
        <w:t>2</w:t>
      </w:r>
      <w:r>
        <w:fldChar w:fldCharType="end"/>
      </w:r>
      <w:r>
        <w:fldChar w:fldCharType="end"/>
      </w:r>
    </w:p>
    <w:p w14:paraId="170B7F84">
      <w:pPr>
        <w:pStyle w:val="25"/>
        <w:tabs>
          <w:tab w:val="right" w:leader="dot" w:pos="9355"/>
          <w:tab w:val="clear" w:pos="9344"/>
        </w:tabs>
      </w:pPr>
      <w:r>
        <w:fldChar w:fldCharType="begin"/>
      </w:r>
      <w:r>
        <w:instrText xml:space="preserve"> HYPERLINK \l _Toc25799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5.4 </w:t>
      </w:r>
      <w:r>
        <w:rPr>
          <w:rFonts w:hint="eastAsia"/>
          <w:lang w:val="en-US" w:eastAsia="zh-CN"/>
        </w:rPr>
        <w:t>地块预处理</w:t>
      </w:r>
      <w:r>
        <w:tab/>
      </w:r>
      <w:r>
        <w:fldChar w:fldCharType="begin"/>
      </w:r>
      <w:r>
        <w:instrText xml:space="preserve"> PAGEREF _Toc25799 \h </w:instrText>
      </w:r>
      <w:r>
        <w:fldChar w:fldCharType="separate"/>
      </w:r>
      <w:r>
        <w:t>2</w:t>
      </w:r>
      <w:r>
        <w:fldChar w:fldCharType="end"/>
      </w:r>
      <w:r>
        <w:fldChar w:fldCharType="end"/>
      </w:r>
    </w:p>
    <w:p w14:paraId="3EE1C514">
      <w:pPr>
        <w:pStyle w:val="25"/>
        <w:tabs>
          <w:tab w:val="right" w:leader="dot" w:pos="9355"/>
          <w:tab w:val="clear" w:pos="9344"/>
        </w:tabs>
      </w:pPr>
      <w:r>
        <w:fldChar w:fldCharType="begin"/>
      </w:r>
      <w:r>
        <w:instrText xml:space="preserve"> HYPERLINK \l _Toc2189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5.5 </w:t>
      </w:r>
      <w:r>
        <w:rPr>
          <w:rFonts w:hint="eastAsia"/>
          <w:lang w:val="en-US" w:eastAsia="zh-CN"/>
        </w:rPr>
        <w:t>机具准备</w:t>
      </w:r>
      <w:r>
        <w:tab/>
      </w:r>
      <w:r>
        <w:fldChar w:fldCharType="begin"/>
      </w:r>
      <w:r>
        <w:instrText xml:space="preserve"> PAGEREF _Toc2189 \h </w:instrText>
      </w:r>
      <w:r>
        <w:fldChar w:fldCharType="separate"/>
      </w:r>
      <w:r>
        <w:t>2</w:t>
      </w:r>
      <w:r>
        <w:fldChar w:fldCharType="end"/>
      </w:r>
      <w:r>
        <w:fldChar w:fldCharType="end"/>
      </w:r>
    </w:p>
    <w:p w14:paraId="5151DC7B">
      <w:pPr>
        <w:pStyle w:val="20"/>
        <w:tabs>
          <w:tab w:val="right" w:leader="dot" w:pos="9355"/>
        </w:tabs>
      </w:pPr>
      <w:r>
        <w:fldChar w:fldCharType="begin"/>
      </w:r>
      <w:r>
        <w:instrText xml:space="preserve"> HYPERLINK \l _Toc14010 </w:instrText>
      </w:r>
      <w:r>
        <w:fldChar w:fldCharType="separate"/>
      </w:r>
      <w:r>
        <w:rPr>
          <w:rFonts w:hint="eastAsia" w:ascii="黑体" w:eastAsia="黑体"/>
          <w:i w:val="0"/>
          <w:lang w:val="en-US" w:eastAsia="zh-CN"/>
        </w:rPr>
        <w:t xml:space="preserve">6 </w:t>
      </w:r>
      <w:r>
        <w:rPr>
          <w:rFonts w:hint="eastAsia"/>
          <w:lang w:val="en-US" w:eastAsia="zh-CN"/>
        </w:rPr>
        <w:t>田间施用工艺</w:t>
      </w:r>
      <w:r>
        <w:tab/>
      </w:r>
      <w:r>
        <w:fldChar w:fldCharType="begin"/>
      </w:r>
      <w:r>
        <w:instrText xml:space="preserve"> PAGEREF _Toc14010 \h </w:instrText>
      </w:r>
      <w:r>
        <w:fldChar w:fldCharType="separate"/>
      </w:r>
      <w:r>
        <w:t>3</w:t>
      </w:r>
      <w:r>
        <w:fldChar w:fldCharType="end"/>
      </w:r>
      <w:r>
        <w:fldChar w:fldCharType="end"/>
      </w:r>
    </w:p>
    <w:p w14:paraId="038C86DC">
      <w:pPr>
        <w:pStyle w:val="25"/>
        <w:tabs>
          <w:tab w:val="right" w:leader="dot" w:pos="9355"/>
          <w:tab w:val="clear" w:pos="9344"/>
        </w:tabs>
      </w:pPr>
      <w:r>
        <w:fldChar w:fldCharType="begin"/>
      </w:r>
      <w:r>
        <w:instrText xml:space="preserve"> HYPERLINK \l _Toc29158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6.1 </w:t>
      </w:r>
      <w:r>
        <w:rPr>
          <w:rFonts w:hint="eastAsia"/>
          <w:lang w:val="en-US" w:eastAsia="zh-CN"/>
        </w:rPr>
        <w:t>施用剂量</w:t>
      </w:r>
      <w:r>
        <w:tab/>
      </w:r>
      <w:r>
        <w:fldChar w:fldCharType="begin"/>
      </w:r>
      <w:r>
        <w:instrText xml:space="preserve"> PAGEREF _Toc29158 \h </w:instrText>
      </w:r>
      <w:r>
        <w:fldChar w:fldCharType="separate"/>
      </w:r>
      <w:r>
        <w:t>3</w:t>
      </w:r>
      <w:r>
        <w:fldChar w:fldCharType="end"/>
      </w:r>
      <w:r>
        <w:fldChar w:fldCharType="end"/>
      </w:r>
    </w:p>
    <w:p w14:paraId="2DE6BD31">
      <w:pPr>
        <w:pStyle w:val="25"/>
        <w:tabs>
          <w:tab w:val="right" w:leader="dot" w:pos="9355"/>
          <w:tab w:val="clear" w:pos="9344"/>
        </w:tabs>
      </w:pPr>
      <w:r>
        <w:fldChar w:fldCharType="begin"/>
      </w:r>
      <w:r>
        <w:instrText xml:space="preserve"> HYPERLINK \l _Toc30904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6.2 </w:t>
      </w:r>
      <w:r>
        <w:rPr>
          <w:rFonts w:hint="eastAsia"/>
          <w:lang w:val="en-US" w:eastAsia="zh-CN"/>
        </w:rPr>
        <w:t>基施</w:t>
      </w:r>
      <w:r>
        <w:tab/>
      </w:r>
      <w:r>
        <w:fldChar w:fldCharType="begin"/>
      </w:r>
      <w:r>
        <w:instrText xml:space="preserve"> PAGEREF _Toc30904 \h </w:instrText>
      </w:r>
      <w:r>
        <w:fldChar w:fldCharType="separate"/>
      </w:r>
      <w:r>
        <w:t>3</w:t>
      </w:r>
      <w:r>
        <w:fldChar w:fldCharType="end"/>
      </w:r>
      <w:r>
        <w:fldChar w:fldCharType="end"/>
      </w:r>
    </w:p>
    <w:p w14:paraId="5A73A7D7">
      <w:pPr>
        <w:pStyle w:val="25"/>
        <w:tabs>
          <w:tab w:val="right" w:leader="dot" w:pos="9355"/>
          <w:tab w:val="clear" w:pos="9344"/>
        </w:tabs>
      </w:pPr>
      <w:r>
        <w:fldChar w:fldCharType="begin"/>
      </w:r>
      <w:r>
        <w:instrText xml:space="preserve"> HYPERLINK \l _Toc24307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6.3 </w:t>
      </w:r>
      <w:r>
        <w:rPr>
          <w:rFonts w:hint="eastAsia"/>
          <w:lang w:val="en-US" w:eastAsia="zh-CN"/>
        </w:rPr>
        <w:t>滴灌追施</w:t>
      </w:r>
      <w:r>
        <w:tab/>
      </w:r>
      <w:r>
        <w:fldChar w:fldCharType="begin"/>
      </w:r>
      <w:r>
        <w:instrText xml:space="preserve"> PAGEREF _Toc24307 \h </w:instrText>
      </w:r>
      <w:r>
        <w:fldChar w:fldCharType="separate"/>
      </w:r>
      <w:r>
        <w:t>3</w:t>
      </w:r>
      <w:r>
        <w:fldChar w:fldCharType="end"/>
      </w:r>
      <w:r>
        <w:fldChar w:fldCharType="end"/>
      </w:r>
    </w:p>
    <w:p w14:paraId="7C320C49">
      <w:pPr>
        <w:pStyle w:val="25"/>
        <w:tabs>
          <w:tab w:val="right" w:leader="dot" w:pos="9355"/>
          <w:tab w:val="clear" w:pos="9344"/>
        </w:tabs>
      </w:pPr>
      <w:r>
        <w:fldChar w:fldCharType="begin"/>
      </w:r>
      <w:r>
        <w:instrText xml:space="preserve"> HYPERLINK \l _Toc4383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6.4 </w:t>
      </w:r>
      <w:r>
        <w:rPr>
          <w:rFonts w:hint="eastAsia"/>
          <w:lang w:val="en-US" w:eastAsia="zh-CN"/>
        </w:rPr>
        <w:t>穴施、沟施</w:t>
      </w:r>
      <w:r>
        <w:tab/>
      </w:r>
      <w:r>
        <w:fldChar w:fldCharType="begin"/>
      </w:r>
      <w:r>
        <w:instrText xml:space="preserve"> PAGEREF _Toc4383 \h </w:instrText>
      </w:r>
      <w:r>
        <w:fldChar w:fldCharType="separate"/>
      </w:r>
      <w:r>
        <w:t>4</w:t>
      </w:r>
      <w:r>
        <w:fldChar w:fldCharType="end"/>
      </w:r>
      <w:r>
        <w:fldChar w:fldCharType="end"/>
      </w:r>
    </w:p>
    <w:p w14:paraId="697D16BC">
      <w:pPr>
        <w:pStyle w:val="25"/>
        <w:tabs>
          <w:tab w:val="right" w:leader="dot" w:pos="9355"/>
          <w:tab w:val="clear" w:pos="9344"/>
        </w:tabs>
      </w:pPr>
      <w:r>
        <w:fldChar w:fldCharType="begin"/>
      </w:r>
      <w:r>
        <w:instrText xml:space="preserve"> HYPERLINK \l _Toc3377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6.5 </w:t>
      </w:r>
      <w:r>
        <w:rPr>
          <w:rFonts w:hint="eastAsia"/>
          <w:lang w:val="en-US" w:eastAsia="zh-CN"/>
        </w:rPr>
        <w:t>水田施用</w:t>
      </w:r>
      <w:r>
        <w:tab/>
      </w:r>
      <w:r>
        <w:fldChar w:fldCharType="begin"/>
      </w:r>
      <w:r>
        <w:instrText xml:space="preserve"> PAGEREF _Toc3377 \h </w:instrText>
      </w:r>
      <w:r>
        <w:fldChar w:fldCharType="separate"/>
      </w:r>
      <w:r>
        <w:t>4</w:t>
      </w:r>
      <w:r>
        <w:fldChar w:fldCharType="end"/>
      </w:r>
      <w:r>
        <w:fldChar w:fldCharType="end"/>
      </w:r>
    </w:p>
    <w:p w14:paraId="50A71917">
      <w:pPr>
        <w:pStyle w:val="20"/>
        <w:tabs>
          <w:tab w:val="right" w:leader="dot" w:pos="9355"/>
        </w:tabs>
      </w:pPr>
      <w:r>
        <w:fldChar w:fldCharType="begin"/>
      </w:r>
      <w:r>
        <w:instrText xml:space="preserve"> HYPERLINK \l _Toc23982 </w:instrText>
      </w:r>
      <w:r>
        <w:fldChar w:fldCharType="separate"/>
      </w:r>
      <w:r>
        <w:rPr>
          <w:rFonts w:hint="eastAsia" w:ascii="黑体" w:eastAsia="黑体"/>
          <w:i w:val="0"/>
          <w:lang w:val="en-US" w:eastAsia="zh-CN"/>
        </w:rPr>
        <w:t xml:space="preserve">7 </w:t>
      </w:r>
      <w:r>
        <w:rPr>
          <w:rFonts w:hint="eastAsia"/>
          <w:lang w:val="en-US" w:eastAsia="zh-CN"/>
        </w:rPr>
        <w:t>配套农艺管理</w:t>
      </w:r>
      <w:r>
        <w:tab/>
      </w:r>
      <w:r>
        <w:fldChar w:fldCharType="begin"/>
      </w:r>
      <w:r>
        <w:instrText xml:space="preserve"> PAGEREF _Toc23982 \h </w:instrText>
      </w:r>
      <w:r>
        <w:fldChar w:fldCharType="separate"/>
      </w:r>
      <w:r>
        <w:t>4</w:t>
      </w:r>
      <w:r>
        <w:fldChar w:fldCharType="end"/>
      </w:r>
      <w:r>
        <w:fldChar w:fldCharType="end"/>
      </w:r>
    </w:p>
    <w:p w14:paraId="0AC377BB">
      <w:pPr>
        <w:pStyle w:val="25"/>
        <w:tabs>
          <w:tab w:val="right" w:leader="dot" w:pos="9355"/>
          <w:tab w:val="clear" w:pos="9344"/>
        </w:tabs>
      </w:pPr>
      <w:r>
        <w:fldChar w:fldCharType="begin"/>
      </w:r>
      <w:r>
        <w:instrText xml:space="preserve"> HYPERLINK \l _Toc26829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7.1 </w:t>
      </w:r>
      <w:r>
        <w:rPr>
          <w:rFonts w:hint="eastAsia"/>
          <w:lang w:val="en-US" w:eastAsia="zh-CN"/>
        </w:rPr>
        <w:t>灌溉管理</w:t>
      </w:r>
      <w:r>
        <w:tab/>
      </w:r>
      <w:r>
        <w:fldChar w:fldCharType="begin"/>
      </w:r>
      <w:r>
        <w:instrText xml:space="preserve"> PAGEREF _Toc26829 \h </w:instrText>
      </w:r>
      <w:r>
        <w:fldChar w:fldCharType="separate"/>
      </w:r>
      <w:r>
        <w:t>4</w:t>
      </w:r>
      <w:r>
        <w:fldChar w:fldCharType="end"/>
      </w:r>
      <w:r>
        <w:fldChar w:fldCharType="end"/>
      </w:r>
    </w:p>
    <w:p w14:paraId="5C4E641A">
      <w:pPr>
        <w:pStyle w:val="25"/>
        <w:tabs>
          <w:tab w:val="right" w:leader="dot" w:pos="9355"/>
          <w:tab w:val="clear" w:pos="9344"/>
        </w:tabs>
      </w:pPr>
      <w:r>
        <w:fldChar w:fldCharType="begin"/>
      </w:r>
      <w:r>
        <w:instrText xml:space="preserve"> HYPERLINK \l _Toc12698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7.2 </w:t>
      </w:r>
      <w:r>
        <w:rPr>
          <w:rFonts w:hint="eastAsia"/>
          <w:lang w:val="en-US" w:eastAsia="zh-CN"/>
        </w:rPr>
        <w:t>肥料管理</w:t>
      </w:r>
      <w:r>
        <w:tab/>
      </w:r>
      <w:r>
        <w:fldChar w:fldCharType="begin"/>
      </w:r>
      <w:r>
        <w:instrText xml:space="preserve"> PAGEREF _Toc12698 \h </w:instrText>
      </w:r>
      <w:r>
        <w:fldChar w:fldCharType="separate"/>
      </w:r>
      <w:r>
        <w:t>4</w:t>
      </w:r>
      <w:r>
        <w:fldChar w:fldCharType="end"/>
      </w:r>
      <w:r>
        <w:fldChar w:fldCharType="end"/>
      </w:r>
    </w:p>
    <w:p w14:paraId="7F87A305">
      <w:pPr>
        <w:pStyle w:val="25"/>
        <w:tabs>
          <w:tab w:val="right" w:leader="dot" w:pos="9355"/>
          <w:tab w:val="clear" w:pos="9344"/>
        </w:tabs>
      </w:pPr>
      <w:r>
        <w:fldChar w:fldCharType="begin"/>
      </w:r>
      <w:r>
        <w:instrText xml:space="preserve"> HYPERLINK \l _Toc14564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7.3 </w:t>
      </w:r>
      <w:r>
        <w:rPr>
          <w:rFonts w:hint="eastAsia"/>
          <w:lang w:val="en-US" w:eastAsia="zh-CN"/>
        </w:rPr>
        <w:t>植被管理</w:t>
      </w:r>
      <w:r>
        <w:tab/>
      </w:r>
      <w:r>
        <w:fldChar w:fldCharType="begin"/>
      </w:r>
      <w:r>
        <w:instrText xml:space="preserve"> PAGEREF _Toc14564 \h </w:instrText>
      </w:r>
      <w:r>
        <w:fldChar w:fldCharType="separate"/>
      </w:r>
      <w:r>
        <w:t>4</w:t>
      </w:r>
      <w:r>
        <w:fldChar w:fldCharType="end"/>
      </w:r>
      <w:r>
        <w:fldChar w:fldCharType="end"/>
      </w:r>
    </w:p>
    <w:p w14:paraId="2C94CA94">
      <w:pPr>
        <w:pStyle w:val="25"/>
        <w:tabs>
          <w:tab w:val="right" w:leader="dot" w:pos="9355"/>
          <w:tab w:val="clear" w:pos="9344"/>
        </w:tabs>
      </w:pPr>
      <w:r>
        <w:fldChar w:fldCharType="begin"/>
      </w:r>
      <w:r>
        <w:instrText xml:space="preserve"> HYPERLINK \l _Toc23907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7.4 </w:t>
      </w:r>
      <w:r>
        <w:rPr>
          <w:rFonts w:hint="eastAsia"/>
          <w:lang w:val="en-US" w:eastAsia="zh-CN"/>
        </w:rPr>
        <w:t>中耕管理</w:t>
      </w:r>
      <w:r>
        <w:tab/>
      </w:r>
      <w:r>
        <w:fldChar w:fldCharType="begin"/>
      </w:r>
      <w:r>
        <w:instrText xml:space="preserve"> PAGEREF _Toc23907 \h </w:instrText>
      </w:r>
      <w:r>
        <w:fldChar w:fldCharType="separate"/>
      </w:r>
      <w:r>
        <w:t>4</w:t>
      </w:r>
      <w:r>
        <w:fldChar w:fldCharType="end"/>
      </w:r>
      <w:r>
        <w:fldChar w:fldCharType="end"/>
      </w:r>
    </w:p>
    <w:p w14:paraId="4EA597CE">
      <w:pPr>
        <w:pStyle w:val="20"/>
        <w:tabs>
          <w:tab w:val="right" w:leader="dot" w:pos="9355"/>
        </w:tabs>
      </w:pPr>
      <w:r>
        <w:fldChar w:fldCharType="begin"/>
      </w:r>
      <w:r>
        <w:instrText xml:space="preserve"> HYPERLINK \l _Toc25215 </w:instrText>
      </w:r>
      <w:r>
        <w:fldChar w:fldCharType="separate"/>
      </w:r>
      <w:r>
        <w:rPr>
          <w:rFonts w:hint="eastAsia" w:ascii="黑体" w:eastAsia="黑体"/>
          <w:i w:val="0"/>
          <w:lang w:val="en-US" w:eastAsia="zh-CN"/>
        </w:rPr>
        <w:t xml:space="preserve">8 </w:t>
      </w:r>
      <w:r>
        <w:rPr>
          <w:rFonts w:hint="eastAsia"/>
          <w:lang w:val="en-US" w:eastAsia="zh-CN"/>
        </w:rPr>
        <w:t>监测评价</w:t>
      </w:r>
      <w:r>
        <w:tab/>
      </w:r>
      <w:r>
        <w:fldChar w:fldCharType="begin"/>
      </w:r>
      <w:r>
        <w:instrText xml:space="preserve"> PAGEREF _Toc25215 \h </w:instrText>
      </w:r>
      <w:r>
        <w:fldChar w:fldCharType="separate"/>
      </w:r>
      <w:r>
        <w:t>4</w:t>
      </w:r>
      <w:r>
        <w:fldChar w:fldCharType="end"/>
      </w:r>
      <w:r>
        <w:fldChar w:fldCharType="end"/>
      </w:r>
    </w:p>
    <w:p w14:paraId="59DD28E6">
      <w:pPr>
        <w:pStyle w:val="25"/>
        <w:tabs>
          <w:tab w:val="right" w:leader="dot" w:pos="9355"/>
          <w:tab w:val="clear" w:pos="9344"/>
        </w:tabs>
      </w:pPr>
      <w:r>
        <w:fldChar w:fldCharType="begin"/>
      </w:r>
      <w:r>
        <w:instrText xml:space="preserve"> HYPERLINK \l _Toc22095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8.1 </w:t>
      </w:r>
      <w:r>
        <w:rPr>
          <w:rFonts w:hint="eastAsia"/>
          <w:lang w:val="en-US" w:eastAsia="zh-CN"/>
        </w:rPr>
        <w:t>监测频次</w:t>
      </w:r>
      <w:r>
        <w:tab/>
      </w:r>
      <w:r>
        <w:fldChar w:fldCharType="begin"/>
      </w:r>
      <w:r>
        <w:instrText xml:space="preserve"> PAGEREF _Toc22095 \h </w:instrText>
      </w:r>
      <w:r>
        <w:fldChar w:fldCharType="separate"/>
      </w:r>
      <w:r>
        <w:t>4</w:t>
      </w:r>
      <w:r>
        <w:fldChar w:fldCharType="end"/>
      </w:r>
      <w:r>
        <w:fldChar w:fldCharType="end"/>
      </w:r>
    </w:p>
    <w:p w14:paraId="6CB79071">
      <w:pPr>
        <w:pStyle w:val="25"/>
        <w:tabs>
          <w:tab w:val="right" w:leader="dot" w:pos="9355"/>
          <w:tab w:val="clear" w:pos="9344"/>
        </w:tabs>
      </w:pPr>
      <w:r>
        <w:fldChar w:fldCharType="begin"/>
      </w:r>
      <w:r>
        <w:instrText xml:space="preserve"> HYPERLINK \l _Toc8361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8.2 </w:t>
      </w:r>
      <w:r>
        <w:rPr>
          <w:rFonts w:hint="eastAsia"/>
          <w:lang w:val="en-US" w:eastAsia="zh-CN"/>
        </w:rPr>
        <w:t>监测指标</w:t>
      </w:r>
      <w:r>
        <w:tab/>
      </w:r>
      <w:r>
        <w:fldChar w:fldCharType="begin"/>
      </w:r>
      <w:r>
        <w:instrText xml:space="preserve"> PAGEREF _Toc8361 \h </w:instrText>
      </w:r>
      <w:r>
        <w:fldChar w:fldCharType="separate"/>
      </w:r>
      <w:r>
        <w:t>4</w:t>
      </w:r>
      <w:r>
        <w:fldChar w:fldCharType="end"/>
      </w:r>
      <w:r>
        <w:fldChar w:fldCharType="end"/>
      </w:r>
    </w:p>
    <w:p w14:paraId="181A2E8E">
      <w:pPr>
        <w:pStyle w:val="25"/>
        <w:tabs>
          <w:tab w:val="right" w:leader="dot" w:pos="9355"/>
          <w:tab w:val="clear" w:pos="9344"/>
        </w:tabs>
      </w:pPr>
      <w:r>
        <w:fldChar w:fldCharType="begin"/>
      </w:r>
      <w:r>
        <w:instrText xml:space="preserve"> HYPERLINK \l _Toc684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8.3 </w:t>
      </w:r>
      <w:r>
        <w:rPr>
          <w:rFonts w:hint="eastAsia"/>
          <w:lang w:val="en-US" w:eastAsia="zh-CN"/>
        </w:rPr>
        <w:t>达标判定</w:t>
      </w:r>
      <w:r>
        <w:tab/>
      </w:r>
      <w:r>
        <w:fldChar w:fldCharType="begin"/>
      </w:r>
      <w:r>
        <w:instrText xml:space="preserve"> PAGEREF _Toc684 \h </w:instrText>
      </w:r>
      <w:r>
        <w:fldChar w:fldCharType="separate"/>
      </w:r>
      <w:r>
        <w:t>4</w:t>
      </w:r>
      <w:r>
        <w:fldChar w:fldCharType="end"/>
      </w:r>
      <w:r>
        <w:fldChar w:fldCharType="end"/>
      </w:r>
    </w:p>
    <w:p w14:paraId="30C110B1">
      <w:pPr>
        <w:pStyle w:val="25"/>
        <w:tabs>
          <w:tab w:val="right" w:leader="dot" w:pos="9355"/>
          <w:tab w:val="clear" w:pos="9344"/>
        </w:tabs>
      </w:pPr>
      <w:r>
        <w:fldChar w:fldCharType="begin"/>
      </w:r>
      <w:r>
        <w:instrText xml:space="preserve"> HYPERLINK \l _Toc16923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8.4 </w:t>
      </w:r>
      <w:r>
        <w:rPr>
          <w:rFonts w:hint="eastAsia"/>
          <w:lang w:val="en-US" w:eastAsia="zh-CN"/>
        </w:rPr>
        <w:t>台账管理</w:t>
      </w:r>
      <w:r>
        <w:tab/>
      </w:r>
      <w:r>
        <w:fldChar w:fldCharType="begin"/>
      </w:r>
      <w:r>
        <w:instrText xml:space="preserve"> PAGEREF _Toc16923 \h </w:instrText>
      </w:r>
      <w:r>
        <w:fldChar w:fldCharType="separate"/>
      </w:r>
      <w:r>
        <w:t>4</w:t>
      </w:r>
      <w:r>
        <w:fldChar w:fldCharType="end"/>
      </w:r>
      <w:r>
        <w:fldChar w:fldCharType="end"/>
      </w:r>
    </w:p>
    <w:p w14:paraId="4605181B">
      <w:pPr>
        <w:pStyle w:val="20"/>
        <w:tabs>
          <w:tab w:val="right" w:leader="dot" w:pos="9355"/>
        </w:tabs>
      </w:pPr>
      <w:r>
        <w:fldChar w:fldCharType="begin"/>
      </w:r>
      <w:r>
        <w:instrText xml:space="preserve"> HYPERLINK \l _Toc6484 </w:instrText>
      </w:r>
      <w:r>
        <w:fldChar w:fldCharType="separate"/>
      </w:r>
      <w:r>
        <w:rPr>
          <w:rFonts w:hint="eastAsia" w:ascii="黑体" w:eastAsia="黑体"/>
          <w:i w:val="0"/>
          <w:lang w:val="en-US" w:eastAsia="zh-CN"/>
        </w:rPr>
        <w:t xml:space="preserve">9 </w:t>
      </w:r>
      <w:r>
        <w:rPr>
          <w:rFonts w:hint="eastAsia"/>
          <w:lang w:val="en-US" w:eastAsia="zh-CN"/>
        </w:rPr>
        <w:t>质量控制</w:t>
      </w:r>
      <w:r>
        <w:tab/>
      </w:r>
      <w:r>
        <w:fldChar w:fldCharType="begin"/>
      </w:r>
      <w:r>
        <w:instrText xml:space="preserve"> PAGEREF _Toc6484 \h </w:instrText>
      </w:r>
      <w:r>
        <w:fldChar w:fldCharType="separate"/>
      </w:r>
      <w:r>
        <w:t>4</w:t>
      </w:r>
      <w:r>
        <w:fldChar w:fldCharType="end"/>
      </w:r>
      <w:r>
        <w:fldChar w:fldCharType="end"/>
      </w:r>
    </w:p>
    <w:p w14:paraId="3D319A14">
      <w:pPr>
        <w:pStyle w:val="20"/>
        <w:tabs>
          <w:tab w:val="right" w:leader="dot" w:pos="9355"/>
        </w:tabs>
      </w:pPr>
      <w:r>
        <w:fldChar w:fldCharType="begin"/>
      </w:r>
      <w:r>
        <w:instrText xml:space="preserve"> HYPERLINK \l _Toc16714 </w:instrText>
      </w:r>
      <w:r>
        <w:fldChar w:fldCharType="separate"/>
      </w:r>
      <w:r>
        <w:rPr>
          <w:rFonts w:hint="eastAsia" w:ascii="黑体" w:eastAsia="黑体"/>
          <w:i w:val="0"/>
          <w:lang w:val="en-US" w:eastAsia="zh-CN"/>
        </w:rPr>
        <w:t xml:space="preserve">10 </w:t>
      </w:r>
      <w:r>
        <w:rPr>
          <w:rFonts w:hint="eastAsia"/>
          <w:lang w:val="en-US" w:eastAsia="zh-CN"/>
        </w:rPr>
        <w:t>安全与环保</w:t>
      </w:r>
      <w:r>
        <w:tab/>
      </w:r>
      <w:r>
        <w:fldChar w:fldCharType="begin"/>
      </w:r>
      <w:r>
        <w:instrText xml:space="preserve"> PAGEREF _Toc16714 \h </w:instrText>
      </w:r>
      <w:r>
        <w:fldChar w:fldCharType="separate"/>
      </w:r>
      <w:r>
        <w:t>5</w:t>
      </w:r>
      <w:r>
        <w:fldChar w:fldCharType="end"/>
      </w:r>
      <w:r>
        <w:fldChar w:fldCharType="end"/>
      </w:r>
    </w:p>
    <w:p w14:paraId="1C8D9C67">
      <w:pPr>
        <w:pStyle w:val="20"/>
        <w:tabs>
          <w:tab w:val="right" w:leader="dot" w:pos="9355"/>
        </w:tabs>
        <w:sectPr>
          <w:headerReference r:id="rId9" w:type="default"/>
          <w:footerReference r:id="rId11" w:type="default"/>
          <w:headerReference r:id="rId10" w:type="even"/>
          <w:footerReference r:id="rId12" w:type="even"/>
          <w:pgSz w:w="11906" w:h="16838"/>
          <w:pgMar w:top="1928" w:right="1134" w:bottom="1134" w:left="1134" w:header="1418" w:footer="1134" w:gutter="283"/>
          <w:pgNumType w:fmt="upperRoman" w:start="1"/>
          <w:cols w:space="0" w:num="1"/>
          <w:formProt w:val="0"/>
          <w:docGrid w:linePitch="312" w:charSpace="0"/>
        </w:sectPr>
      </w:pPr>
      <w:r>
        <w:fldChar w:fldCharType="end"/>
      </w:r>
    </w:p>
    <w:bookmarkEnd w:id="19"/>
    <w:p w14:paraId="584B9875">
      <w:pPr>
        <w:pStyle w:val="93"/>
        <w:shd w:val="clear" w:color="FFFFFF" w:fill="FFFFFF"/>
        <w:spacing w:before="850" w:after="680" w:afterLines="0"/>
        <w:rPr>
          <w:rFonts w:hint="eastAsia"/>
          <w:spacing w:val="320"/>
        </w:rPr>
      </w:pPr>
      <w:bookmarkStart w:id="23" w:name="_Toc24248"/>
      <w:bookmarkStart w:id="24" w:name="_Toc4002"/>
      <w:bookmarkStart w:id="25" w:name="_Toc12023"/>
      <w:bookmarkStart w:id="26" w:name="_Toc10339"/>
      <w:bookmarkStart w:id="27" w:name="_Toc6409"/>
      <w:bookmarkStart w:id="28" w:name="_Toc1089"/>
      <w:bookmarkStart w:id="29" w:name="_Toc22953"/>
      <w:bookmarkStart w:id="30" w:name="_Toc4119"/>
      <w:bookmarkStart w:id="31" w:name="BookMark2"/>
      <w:r>
        <w:rPr>
          <w:rFonts w:hint="eastAsia"/>
          <w:spacing w:val="320"/>
        </w:rPr>
        <w:t>前言</w:t>
      </w:r>
      <w:bookmarkEnd w:id="20"/>
      <w:bookmarkEnd w:id="21"/>
      <w:bookmarkEnd w:id="22"/>
      <w:bookmarkEnd w:id="23"/>
      <w:bookmarkEnd w:id="24"/>
      <w:bookmarkEnd w:id="25"/>
      <w:bookmarkEnd w:id="26"/>
      <w:bookmarkEnd w:id="27"/>
      <w:bookmarkEnd w:id="28"/>
      <w:bookmarkEnd w:id="29"/>
      <w:bookmarkEnd w:id="30"/>
    </w:p>
    <w:p w14:paraId="79253001">
      <w:pPr>
        <w:pStyle w:val="60"/>
        <w:ind w:firstLine="420"/>
      </w:pPr>
      <w:r>
        <w:rPr>
          <w:rFonts w:hint="eastAsia"/>
        </w:rPr>
        <w:t>本文件按照GB/T 1.1—2020《标准化工作导则  第1部分：标准化文件的结构和起草规则》的规定起草。</w:t>
      </w:r>
    </w:p>
    <w:p w14:paraId="41AC3A12">
      <w:pPr>
        <w:pStyle w:val="60"/>
        <w:ind w:firstLine="420"/>
      </w:pPr>
      <w:r>
        <w:rPr>
          <w:rFonts w:hint="eastAsia"/>
        </w:rPr>
        <w:t>请注意本文件的某些内容可能涉及专利。本文件的发布机构不承担识别专利的责任。</w:t>
      </w:r>
    </w:p>
    <w:p w14:paraId="705FF706">
      <w:pPr>
        <w:pStyle w:val="60"/>
        <w:ind w:firstLine="420"/>
      </w:pPr>
      <w:r>
        <w:rPr>
          <w:rFonts w:hint="eastAsia"/>
        </w:rPr>
        <w:t>本文件由中国西部开发促进会提出</w:t>
      </w:r>
      <w:r>
        <w:rPr>
          <w:rFonts w:hint="eastAsia"/>
          <w:lang w:val="en-US" w:eastAsia="zh-CN"/>
        </w:rPr>
        <w:t>并</w:t>
      </w:r>
      <w:r>
        <w:rPr>
          <w:rFonts w:hint="eastAsia"/>
        </w:rPr>
        <w:t>归口。</w:t>
      </w:r>
    </w:p>
    <w:p w14:paraId="0AD67DCB">
      <w:pPr>
        <w:pStyle w:val="60"/>
        <w:ind w:firstLine="420"/>
        <w:rPr>
          <w:rFonts w:ascii="Calibri" w:hAnsi="Calibri"/>
          <w:kern w:val="2"/>
          <w:szCs w:val="21"/>
        </w:rPr>
      </w:pPr>
      <w:r>
        <w:rPr>
          <w:rFonts w:hint="eastAsia"/>
        </w:rPr>
        <w:t>本文件起草单位：。</w:t>
      </w:r>
    </w:p>
    <w:p w14:paraId="1D8488AB">
      <w:pPr>
        <w:pStyle w:val="60"/>
        <w:ind w:firstLine="420"/>
        <w:rPr>
          <w:rFonts w:ascii="Calibri" w:hAnsi="Calibri"/>
          <w:kern w:val="2"/>
          <w:szCs w:val="21"/>
        </w:rPr>
      </w:pPr>
      <w:r>
        <w:rPr>
          <w:rFonts w:hint="eastAsia"/>
        </w:rPr>
        <w:t>本文件主要起草人：。</w:t>
      </w:r>
    </w:p>
    <w:p w14:paraId="3C65A3F4">
      <w:pPr>
        <w:pStyle w:val="60"/>
        <w:ind w:firstLine="420"/>
      </w:pPr>
    </w:p>
    <w:p w14:paraId="5D960400">
      <w:pPr>
        <w:pStyle w:val="60"/>
        <w:ind w:firstLine="420"/>
        <w:sectPr>
          <w:footerReference r:id="rId14" w:type="default"/>
          <w:headerReference r:id="rId13" w:type="even"/>
          <w:footerReference r:id="rId15" w:type="even"/>
          <w:pgSz w:w="11906" w:h="16838"/>
          <w:pgMar w:top="1928" w:right="1134" w:bottom="1134" w:left="1134" w:header="1418" w:footer="1134" w:gutter="283"/>
          <w:pgNumType w:fmt="upperRoman"/>
          <w:cols w:space="0" w:num="1"/>
          <w:formProt w:val="0"/>
          <w:docGrid w:linePitch="312" w:charSpace="0"/>
        </w:sectPr>
      </w:pPr>
    </w:p>
    <w:bookmarkEnd w:id="31"/>
    <w:p w14:paraId="43E507E7">
      <w:pPr>
        <w:spacing w:line="20" w:lineRule="exact"/>
        <w:rPr>
          <w:rFonts w:ascii="黑体" w:hAnsi="黑体" w:eastAsia="黑体"/>
          <w:sz w:val="32"/>
          <w:szCs w:val="32"/>
        </w:rPr>
      </w:pPr>
      <w:bookmarkStart w:id="32" w:name="BookMark4"/>
    </w:p>
    <w:p w14:paraId="4D135BFB">
      <w:pPr>
        <w:spacing w:line="20" w:lineRule="exact"/>
        <w:rPr>
          <w:rFonts w:ascii="黑体" w:hAnsi="黑体" w:eastAsia="黑体"/>
          <w:sz w:val="32"/>
          <w:szCs w:val="32"/>
        </w:rPr>
      </w:pPr>
    </w:p>
    <w:sdt>
      <w:sdtPr>
        <w:tag w:val="NEW_STAND_NAME"/>
        <w:id w:val="595910757"/>
        <w:lock w:val="sdtLocked"/>
        <w:placeholder>
          <w:docPart w:val="D33580E5DEE94A56B4AA6E6699E4C1B2"/>
        </w:placeholder>
      </w:sdtPr>
      <w:sdtEndPr>
        <w:rPr>
          <w:rFonts w:hint="eastAsia"/>
        </w:rPr>
      </w:sdtEndPr>
      <w:sdtContent>
        <w:p w14:paraId="044C92CA">
          <w:pPr>
            <w:pStyle w:val="181"/>
            <w:spacing w:before="850" w:after="680" w:line="240" w:lineRule="auto"/>
          </w:pPr>
          <w:bookmarkStart w:id="33" w:name="NEW_STAND_NAME"/>
          <w:r>
            <w:rPr>
              <w:rFonts w:hint="eastAsia"/>
              <w:lang w:eastAsia="zh-CN"/>
            </w:rPr>
            <w:t>盐碱地改良凝胶田间应用技术规程</w:t>
          </w:r>
        </w:p>
      </w:sdtContent>
    </w:sdt>
    <w:bookmarkEnd w:id="33"/>
    <w:p w14:paraId="1B252E94">
      <w:pPr>
        <w:pStyle w:val="108"/>
      </w:pPr>
      <w:bookmarkStart w:id="34" w:name="_Toc95920558"/>
      <w:bookmarkStart w:id="35" w:name="_Toc26986530"/>
      <w:bookmarkStart w:id="36" w:name="_Toc26718930"/>
      <w:bookmarkStart w:id="37" w:name="_Toc31759"/>
      <w:bookmarkStart w:id="38" w:name="_Toc8165"/>
      <w:bookmarkStart w:id="39" w:name="_Toc3015"/>
      <w:bookmarkStart w:id="40" w:name="_Toc17233333"/>
      <w:bookmarkStart w:id="41" w:name="_Toc24884218"/>
      <w:bookmarkStart w:id="42" w:name="_Toc26648465"/>
      <w:bookmarkStart w:id="43" w:name="_Toc17233325"/>
      <w:bookmarkStart w:id="44" w:name="_Toc31963"/>
      <w:bookmarkStart w:id="45" w:name="_Toc150158767"/>
      <w:bookmarkStart w:id="46" w:name="_Toc16952"/>
      <w:bookmarkStart w:id="47" w:name="_Toc26986771"/>
      <w:bookmarkStart w:id="48" w:name="_Toc28437"/>
      <w:bookmarkStart w:id="49" w:name="_Toc95723355"/>
      <w:bookmarkStart w:id="50" w:name="_Toc24884211"/>
      <w:bookmarkStart w:id="51" w:name="_Toc95920575"/>
      <w:bookmarkStart w:id="52" w:name="_Toc22541"/>
      <w:bookmarkStart w:id="53" w:name="_Toc32303"/>
      <w:bookmarkStart w:id="54" w:name="_Toc148612845"/>
      <w:bookmarkStart w:id="55" w:name="_Toc150158740"/>
      <w:r>
        <w:rPr>
          <w:rFonts w:hint="eastAsia"/>
        </w:rPr>
        <w:t>范围</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30C41A64">
      <w:pPr>
        <w:pStyle w:val="60"/>
        <w:ind w:firstLine="420"/>
        <w:rPr>
          <w:rFonts w:hint="eastAsia"/>
        </w:rPr>
      </w:pPr>
      <w:r>
        <w:rPr>
          <w:rFonts w:hint="eastAsia"/>
        </w:rPr>
        <w:t>本文件规定了</w:t>
      </w:r>
      <w:r>
        <w:rPr>
          <w:rFonts w:hint="eastAsia"/>
          <w:lang w:eastAsia="zh-CN"/>
        </w:rPr>
        <w:t>盐碱地改良凝胶田间应用</w:t>
      </w:r>
      <w:r>
        <w:rPr>
          <w:rFonts w:hint="eastAsia"/>
          <w:lang w:val="en-US" w:eastAsia="zh-CN"/>
        </w:rPr>
        <w:t>的地块调查与预处理、施前准备、田间施用工艺、配套农艺管理、监测评价、质量控制、安全与环保</w:t>
      </w:r>
      <w:r>
        <w:rPr>
          <w:rFonts w:hint="eastAsia"/>
        </w:rPr>
        <w:t>。</w:t>
      </w:r>
    </w:p>
    <w:p w14:paraId="7EFB3324">
      <w:pPr>
        <w:pStyle w:val="60"/>
        <w:ind w:firstLine="420"/>
      </w:pPr>
      <w:r>
        <w:rPr>
          <w:rFonts w:hint="eastAsia"/>
        </w:rPr>
        <w:t>本文件适用于盐碱地改良凝胶的田间施用与管理。</w:t>
      </w:r>
    </w:p>
    <w:p w14:paraId="720FAAF1">
      <w:pPr>
        <w:pStyle w:val="108"/>
      </w:pPr>
      <w:bookmarkStart w:id="56" w:name="_Toc95920576"/>
      <w:bookmarkStart w:id="57" w:name="_Toc7083"/>
      <w:bookmarkStart w:id="58" w:name="_Toc10750"/>
      <w:bookmarkStart w:id="59" w:name="_Toc150158768"/>
      <w:bookmarkStart w:id="60" w:name="_Toc26986772"/>
      <w:bookmarkStart w:id="61" w:name="_Toc26648466"/>
      <w:bookmarkStart w:id="62" w:name="_Toc95920559"/>
      <w:bookmarkStart w:id="63" w:name="_Toc3515"/>
      <w:bookmarkStart w:id="64" w:name="_Toc150158741"/>
      <w:bookmarkStart w:id="65" w:name="_Toc12693"/>
      <w:bookmarkStart w:id="66" w:name="_Toc24884219"/>
      <w:bookmarkStart w:id="67" w:name="_Toc31578"/>
      <w:bookmarkStart w:id="68" w:name="_Toc20230"/>
      <w:bookmarkStart w:id="69" w:name="_Toc221"/>
      <w:bookmarkStart w:id="70" w:name="_Toc24884212"/>
      <w:bookmarkStart w:id="71" w:name="_Toc17233326"/>
      <w:bookmarkStart w:id="72" w:name="_Toc26986531"/>
      <w:bookmarkStart w:id="73" w:name="_Toc26718931"/>
      <w:bookmarkStart w:id="74" w:name="_Toc17233334"/>
      <w:bookmarkStart w:id="75" w:name="_Toc95723356"/>
      <w:bookmarkStart w:id="76" w:name="_Toc148612846"/>
      <w:bookmarkStart w:id="77" w:name="_Toc23549"/>
      <w:r>
        <w:rPr>
          <w:rFonts w:hint="eastAsia"/>
        </w:rPr>
        <w:t>规范性引用文件</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sdt>
      <w:sdtPr>
        <w:rPr>
          <w:rFonts w:hint="eastAsia"/>
        </w:rPr>
        <w:id w:val="715848253"/>
        <w:placeholder>
          <w:docPart w:val="5D90168562164F299B43676937C953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32BC3D2E">
          <w:pPr>
            <w:pStyle w:val="60"/>
            <w:ind w:firstLine="420"/>
            <w:rPr>
              <w:rFonts w:hAnsi="宋体" w:cs="宋体"/>
              <w:szCs w:val="21"/>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bookmarkStart w:id="78" w:name="_Toc95723357"/>
        </w:p>
      </w:sdtContent>
    </w:sdt>
    <w:p w14:paraId="74F56451">
      <w:pPr>
        <w:pStyle w:val="60"/>
        <w:ind w:firstLine="420"/>
        <w:jc w:val="left"/>
        <w:rPr>
          <w:rFonts w:hint="eastAsia" w:hAnsi="宋体" w:cs="宋体"/>
          <w:szCs w:val="21"/>
          <w:highlight w:val="none"/>
        </w:rPr>
      </w:pPr>
      <w:r>
        <w:rPr>
          <w:rFonts w:hint="eastAsia" w:hAnsi="宋体" w:cs="宋体"/>
          <w:szCs w:val="21"/>
          <w:highlight w:val="none"/>
        </w:rPr>
        <w:t>GB/T 32722</w:t>
      </w:r>
      <w:r>
        <w:rPr>
          <w:rFonts w:hint="eastAsia" w:hAnsi="宋体" w:cs="宋体"/>
          <w:szCs w:val="21"/>
          <w:highlight w:val="none"/>
          <w:lang w:val="en-US" w:eastAsia="zh-CN"/>
        </w:rPr>
        <w:t xml:space="preserve">  </w:t>
      </w:r>
      <w:r>
        <w:rPr>
          <w:rFonts w:hint="eastAsia" w:hAnsi="宋体" w:cs="宋体"/>
          <w:szCs w:val="21"/>
          <w:highlight w:val="none"/>
        </w:rPr>
        <w:t>土壤质量 土壤样品长期和短期保存指南</w:t>
      </w:r>
    </w:p>
    <w:p w14:paraId="7B6959E8">
      <w:pPr>
        <w:pStyle w:val="60"/>
        <w:ind w:firstLine="420"/>
        <w:jc w:val="left"/>
        <w:rPr>
          <w:rFonts w:hint="eastAsia" w:hAnsi="宋体" w:cs="宋体"/>
          <w:szCs w:val="21"/>
          <w:highlight w:val="none"/>
        </w:rPr>
      </w:pPr>
      <w:r>
        <w:rPr>
          <w:rFonts w:hint="eastAsia" w:hAnsi="宋体" w:cs="宋体"/>
          <w:szCs w:val="21"/>
          <w:highlight w:val="none"/>
        </w:rPr>
        <w:t>GB/T 36197</w:t>
      </w:r>
      <w:r>
        <w:rPr>
          <w:rFonts w:hint="eastAsia" w:hAnsi="宋体" w:cs="宋体"/>
          <w:szCs w:val="21"/>
          <w:highlight w:val="none"/>
          <w:lang w:val="en-US" w:eastAsia="zh-CN"/>
        </w:rPr>
        <w:t xml:space="preserve">  </w:t>
      </w:r>
      <w:r>
        <w:rPr>
          <w:rFonts w:hint="eastAsia" w:hAnsi="宋体" w:cs="宋体"/>
          <w:szCs w:val="21"/>
          <w:highlight w:val="none"/>
        </w:rPr>
        <w:t>土壤质量 土壤采样技术指南</w:t>
      </w:r>
    </w:p>
    <w:p w14:paraId="551128C6">
      <w:pPr>
        <w:pStyle w:val="60"/>
        <w:ind w:firstLine="420"/>
        <w:jc w:val="left"/>
        <w:rPr>
          <w:rFonts w:hint="eastAsia" w:hAnsi="宋体" w:cs="宋体"/>
          <w:szCs w:val="21"/>
          <w:highlight w:val="none"/>
        </w:rPr>
      </w:pPr>
      <w:r>
        <w:rPr>
          <w:rFonts w:hint="eastAsia" w:hAnsi="宋体" w:cs="宋体"/>
          <w:szCs w:val="21"/>
          <w:highlight w:val="none"/>
        </w:rPr>
        <w:t>LY/T 1248</w:t>
      </w:r>
      <w:r>
        <w:rPr>
          <w:rFonts w:hint="eastAsia" w:hAnsi="宋体" w:cs="宋体"/>
          <w:szCs w:val="21"/>
          <w:highlight w:val="none"/>
          <w:lang w:val="en-US" w:eastAsia="zh-CN"/>
        </w:rPr>
        <w:t xml:space="preserve">  </w:t>
      </w:r>
      <w:r>
        <w:rPr>
          <w:rFonts w:hint="eastAsia" w:hAnsi="宋体" w:cs="宋体"/>
          <w:szCs w:val="21"/>
          <w:highlight w:val="none"/>
        </w:rPr>
        <w:t>碱化土壤交换性钠的测定</w:t>
      </w:r>
    </w:p>
    <w:p w14:paraId="7896F394">
      <w:pPr>
        <w:pStyle w:val="60"/>
        <w:ind w:firstLine="420"/>
        <w:jc w:val="left"/>
        <w:rPr>
          <w:rFonts w:hint="eastAsia" w:hAnsi="宋体" w:cs="宋体"/>
          <w:szCs w:val="21"/>
          <w:highlight w:val="none"/>
        </w:rPr>
      </w:pPr>
      <w:r>
        <w:rPr>
          <w:rFonts w:hint="eastAsia" w:hAnsi="宋体" w:cs="宋体"/>
          <w:szCs w:val="21"/>
          <w:highlight w:val="none"/>
        </w:rPr>
        <w:t>LY/T 1249</w:t>
      </w:r>
      <w:r>
        <w:rPr>
          <w:rFonts w:hint="eastAsia" w:hAnsi="宋体" w:cs="宋体"/>
          <w:szCs w:val="21"/>
          <w:highlight w:val="none"/>
          <w:lang w:val="en-US" w:eastAsia="zh-CN"/>
        </w:rPr>
        <w:t xml:space="preserve">  </w:t>
      </w:r>
      <w:r>
        <w:rPr>
          <w:rFonts w:hint="eastAsia" w:hAnsi="宋体" w:cs="宋体"/>
          <w:szCs w:val="21"/>
          <w:highlight w:val="none"/>
        </w:rPr>
        <w:t>土壤碱化度的测定</w:t>
      </w:r>
    </w:p>
    <w:p w14:paraId="1E5A63F6">
      <w:pPr>
        <w:pStyle w:val="60"/>
        <w:ind w:firstLine="420"/>
        <w:jc w:val="left"/>
        <w:rPr>
          <w:rFonts w:hint="eastAsia" w:hAnsi="宋体" w:cs="宋体"/>
          <w:szCs w:val="21"/>
          <w:highlight w:val="none"/>
        </w:rPr>
      </w:pPr>
      <w:r>
        <w:rPr>
          <w:rFonts w:hint="eastAsia" w:hAnsi="宋体" w:cs="宋体"/>
          <w:szCs w:val="21"/>
          <w:highlight w:val="none"/>
        </w:rPr>
        <w:t>NY/T 1121.2</w:t>
      </w:r>
      <w:r>
        <w:rPr>
          <w:rFonts w:hint="eastAsia" w:hAnsi="宋体" w:cs="宋体"/>
          <w:szCs w:val="21"/>
          <w:highlight w:val="none"/>
          <w:lang w:val="en-US" w:eastAsia="zh-CN"/>
        </w:rPr>
        <w:t xml:space="preserve">  </w:t>
      </w:r>
      <w:r>
        <w:rPr>
          <w:rFonts w:hint="eastAsia" w:hAnsi="宋体" w:cs="宋体"/>
          <w:szCs w:val="21"/>
          <w:highlight w:val="none"/>
        </w:rPr>
        <w:t>土壤检测 第2部分：土壤pH的测定</w:t>
      </w:r>
    </w:p>
    <w:p w14:paraId="0C501F4B">
      <w:pPr>
        <w:pStyle w:val="60"/>
        <w:ind w:firstLine="420"/>
        <w:jc w:val="left"/>
        <w:rPr>
          <w:rFonts w:hint="eastAsia" w:hAnsi="宋体" w:cs="宋体"/>
          <w:szCs w:val="21"/>
          <w:highlight w:val="none"/>
        </w:rPr>
      </w:pPr>
      <w:r>
        <w:rPr>
          <w:rFonts w:hint="eastAsia" w:hAnsi="宋体" w:cs="宋体"/>
          <w:szCs w:val="21"/>
          <w:highlight w:val="none"/>
        </w:rPr>
        <w:t>NY/T 1121.5</w:t>
      </w:r>
      <w:r>
        <w:rPr>
          <w:rFonts w:hint="eastAsia" w:hAnsi="宋体" w:cs="宋体"/>
          <w:szCs w:val="21"/>
          <w:highlight w:val="none"/>
          <w:lang w:val="en-US" w:eastAsia="zh-CN"/>
        </w:rPr>
        <w:t xml:space="preserve">  </w:t>
      </w:r>
      <w:r>
        <w:rPr>
          <w:rFonts w:hint="eastAsia" w:hAnsi="宋体" w:cs="宋体"/>
          <w:szCs w:val="21"/>
          <w:highlight w:val="none"/>
        </w:rPr>
        <w:t>土壤检测 第5部分：石灰性土壤阳离子交换量的测定</w:t>
      </w:r>
    </w:p>
    <w:p w14:paraId="553CACB9">
      <w:pPr>
        <w:pStyle w:val="60"/>
        <w:ind w:firstLine="420"/>
        <w:jc w:val="left"/>
        <w:rPr>
          <w:rFonts w:hint="eastAsia" w:hAnsi="宋体" w:cs="宋体"/>
          <w:szCs w:val="21"/>
          <w:highlight w:val="none"/>
        </w:rPr>
      </w:pPr>
      <w:r>
        <w:rPr>
          <w:rFonts w:hint="eastAsia" w:hAnsi="宋体" w:cs="宋体"/>
          <w:szCs w:val="21"/>
          <w:highlight w:val="none"/>
        </w:rPr>
        <w:t>NY/T 1121.16</w:t>
      </w:r>
      <w:r>
        <w:rPr>
          <w:rFonts w:hint="eastAsia" w:hAnsi="宋体" w:cs="宋体"/>
          <w:szCs w:val="21"/>
          <w:highlight w:val="none"/>
          <w:lang w:val="en-US" w:eastAsia="zh-CN"/>
        </w:rPr>
        <w:t xml:space="preserve">  </w:t>
      </w:r>
      <w:r>
        <w:rPr>
          <w:rFonts w:hint="eastAsia" w:hAnsi="宋体" w:cs="宋体"/>
          <w:szCs w:val="21"/>
          <w:highlight w:val="none"/>
        </w:rPr>
        <w:t>土壤检测 第16部分：土壤水溶性盐总量的测定</w:t>
      </w:r>
    </w:p>
    <w:p w14:paraId="33B04CE7">
      <w:pPr>
        <w:pStyle w:val="108"/>
      </w:pPr>
      <w:bookmarkStart w:id="79" w:name="_Toc522"/>
      <w:bookmarkStart w:id="80" w:name="_Toc1462"/>
      <w:bookmarkStart w:id="81" w:name="_Toc3185"/>
      <w:bookmarkStart w:id="82" w:name="_Toc27619"/>
      <w:bookmarkStart w:id="83" w:name="_Toc20221"/>
      <w:bookmarkStart w:id="84" w:name="_Toc7797"/>
      <w:bookmarkStart w:id="85" w:name="_Toc12195"/>
      <w:bookmarkStart w:id="86" w:name="_Toc18478"/>
      <w:r>
        <w:rPr>
          <w:rFonts w:hint="eastAsia"/>
        </w:rPr>
        <w:t>术语和定义</w:t>
      </w:r>
      <w:bookmarkEnd w:id="79"/>
      <w:bookmarkEnd w:id="80"/>
      <w:bookmarkEnd w:id="81"/>
      <w:bookmarkEnd w:id="82"/>
      <w:bookmarkEnd w:id="83"/>
      <w:bookmarkEnd w:id="84"/>
      <w:bookmarkEnd w:id="85"/>
      <w:bookmarkEnd w:id="86"/>
    </w:p>
    <w:p w14:paraId="156DE3C3">
      <w:pPr>
        <w:pStyle w:val="60"/>
        <w:ind w:firstLine="420"/>
      </w:pPr>
      <w:sdt>
        <w:sdtPr>
          <w:rPr>
            <w:rFonts w:hint="default" w:ascii="宋体" w:hAnsi="宋体" w:eastAsia="宋体" w:cs="宋体"/>
            <w:highlight w:val="none"/>
            <w:lang w:val="en-US"/>
          </w:rPr>
          <w:id w:val="-166712635"/>
          <w:placeholder>
            <w:docPart w:val="{17f91292-1dc5-46d1-8705-c70758c29d7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default" w:ascii="宋体" w:hAnsi="Times New Roman" w:eastAsia="宋体" w:cs="Times New Roman"/>
            <w:sz w:val="21"/>
            <w:highlight w:val="none"/>
            <w:lang w:val="en-US" w:eastAsia="zh-CN" w:bidi="ar-SA"/>
          </w:rPr>
        </w:sdtEndPr>
        <w:sdtContent>
          <w:r>
            <w:rPr>
              <w:rFonts w:hint="default" w:ascii="宋体" w:hAnsi="宋体" w:eastAsia="宋体" w:cs="宋体"/>
              <w:sz w:val="21"/>
              <w:highlight w:val="none"/>
              <w:lang w:val="en-US" w:eastAsia="zh-CN" w:bidi="ar-SA"/>
            </w:rPr>
            <w:t>下列术语和定义适用于本文件。</w:t>
          </w:r>
        </w:sdtContent>
      </w:sdt>
      <w:bookmarkStart w:id="87" w:name="_Toc22396"/>
      <w:bookmarkEnd w:id="87"/>
      <w:bookmarkStart w:id="88" w:name="_Toc30596"/>
      <w:bookmarkEnd w:id="88"/>
      <w:bookmarkStart w:id="89" w:name="_Toc27383"/>
      <w:bookmarkEnd w:id="89"/>
      <w:bookmarkStart w:id="90" w:name="_Toc23256"/>
      <w:bookmarkEnd w:id="90"/>
      <w:bookmarkStart w:id="91" w:name="_Toc28571"/>
      <w:bookmarkEnd w:id="91"/>
      <w:bookmarkStart w:id="92" w:name="_Toc12732"/>
      <w:bookmarkEnd w:id="92"/>
      <w:bookmarkStart w:id="93" w:name="_Toc12163"/>
      <w:bookmarkEnd w:id="93"/>
      <w:bookmarkStart w:id="94" w:name="_Toc14446"/>
      <w:bookmarkEnd w:id="94"/>
      <w:bookmarkStart w:id="95" w:name="_Toc11463"/>
      <w:bookmarkEnd w:id="95"/>
      <w:bookmarkStart w:id="96" w:name="_Toc9732"/>
      <w:bookmarkEnd w:id="96"/>
    </w:p>
    <w:p w14:paraId="45E3AC7F">
      <w:pPr>
        <w:pStyle w:val="109"/>
        <w:spacing w:after="120" w:afterLines="50"/>
        <w:ind w:left="0"/>
        <w:jc w:val="both"/>
        <w:rPr>
          <w:rFonts w:hint="eastAsia"/>
        </w:rPr>
      </w:pPr>
      <w:bookmarkStart w:id="97" w:name="_Toc8578"/>
      <w:bookmarkEnd w:id="97"/>
      <w:bookmarkStart w:id="98" w:name="_Toc32297"/>
      <w:bookmarkEnd w:id="98"/>
      <w:bookmarkStart w:id="99" w:name="_Toc23202"/>
      <w:bookmarkEnd w:id="99"/>
      <w:bookmarkStart w:id="100" w:name="_Toc24048"/>
    </w:p>
    <w:p w14:paraId="5F239BAF">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lang w:val="en-US" w:eastAsia="zh-CN"/>
        </w:rPr>
      </w:pPr>
      <w:bookmarkStart w:id="101" w:name="_Toc23250"/>
      <w:r>
        <w:rPr>
          <w:rFonts w:hint="eastAsia"/>
          <w:lang w:val="en-US" w:eastAsia="zh-CN"/>
        </w:rPr>
        <w:t>盐碱地 saline-alkali land</w:t>
      </w:r>
      <w:bookmarkEnd w:id="101"/>
    </w:p>
    <w:p w14:paraId="008144BD">
      <w:pPr>
        <w:pStyle w:val="60"/>
        <w:rPr>
          <w:rFonts w:hint="eastAsia"/>
          <w:lang w:val="en-US" w:eastAsia="zh-CN"/>
        </w:rPr>
      </w:pPr>
      <w:r>
        <w:rPr>
          <w:rFonts w:hint="eastAsia"/>
          <w:lang w:val="en-US" w:eastAsia="zh-CN"/>
        </w:rPr>
        <w:t>表层富集可溶性盐分或胶体吸附较高比例交换性钠离子，存在盐、碱障碍，抑制作物正常生长的土地。</w:t>
      </w:r>
    </w:p>
    <w:p w14:paraId="44F0F549">
      <w:pPr>
        <w:pStyle w:val="109"/>
        <w:spacing w:after="120" w:afterLines="50"/>
        <w:ind w:left="0"/>
        <w:jc w:val="both"/>
        <w:rPr>
          <w:rFonts w:hint="eastAsia"/>
          <w:lang w:val="en-US" w:eastAsia="zh-CN"/>
        </w:rPr>
      </w:pPr>
      <w:bookmarkStart w:id="102" w:name="_Toc24489"/>
      <w:bookmarkEnd w:id="102"/>
    </w:p>
    <w:p w14:paraId="64F1E971">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lang w:val="en-US" w:eastAsia="zh-CN"/>
        </w:rPr>
      </w:pPr>
      <w:bookmarkStart w:id="103" w:name="_Toc26142"/>
      <w:r>
        <w:rPr>
          <w:rFonts w:hint="eastAsia"/>
          <w:lang w:val="en-US" w:eastAsia="zh-CN"/>
        </w:rPr>
        <w:t>改良凝胶 improvement gel</w:t>
      </w:r>
      <w:bookmarkEnd w:id="103"/>
    </w:p>
    <w:p w14:paraId="47096C52">
      <w:pPr>
        <w:pStyle w:val="60"/>
        <w:rPr>
          <w:rFonts w:hint="eastAsia"/>
          <w:lang w:val="en-US" w:eastAsia="zh-CN"/>
        </w:rPr>
      </w:pPr>
      <w:r>
        <w:rPr>
          <w:rFonts w:hint="eastAsia"/>
          <w:lang w:val="en-US" w:eastAsia="zh-CN"/>
        </w:rPr>
        <w:t>以聚丙烯酰胺（PAM）、聚丙烯酸钾、海藻酸盐等高分子材料为主要成分，经交联聚合形成的三维网状结构凝胶体，具有吸水保水、改良土壤结构、降低土壤盐分等功能。</w:t>
      </w:r>
    </w:p>
    <w:p w14:paraId="40C880BB">
      <w:pPr>
        <w:pStyle w:val="108"/>
        <w:rPr>
          <w:rFonts w:hint="eastAsia"/>
          <w:lang w:val="en-US" w:eastAsia="zh-CN"/>
        </w:rPr>
      </w:pPr>
      <w:bookmarkStart w:id="104" w:name="_Toc25667"/>
      <w:r>
        <w:rPr>
          <w:rFonts w:hint="eastAsia"/>
          <w:lang w:val="en-US" w:eastAsia="zh-CN"/>
        </w:rPr>
        <w:t>地块调查与预处理</w:t>
      </w:r>
      <w:bookmarkEnd w:id="104"/>
    </w:p>
    <w:p w14:paraId="0E97F3D3">
      <w:pPr>
        <w:pStyle w:val="109"/>
        <w:spacing w:after="120" w:afterLines="50"/>
        <w:ind w:left="0"/>
        <w:jc w:val="both"/>
        <w:rPr>
          <w:rFonts w:hint="eastAsia"/>
          <w:lang w:val="en-US" w:eastAsia="zh-CN"/>
        </w:rPr>
      </w:pPr>
      <w:bookmarkStart w:id="105" w:name="_Toc1015"/>
      <w:r>
        <w:rPr>
          <w:rFonts w:hint="eastAsia"/>
          <w:lang w:val="en-US" w:eastAsia="zh-CN"/>
        </w:rPr>
        <w:t>土壤采样</w:t>
      </w:r>
      <w:bookmarkEnd w:id="105"/>
    </w:p>
    <w:p w14:paraId="02E828F9">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应按照GB/T 36197执行采样：</w:t>
      </w:r>
    </w:p>
    <w:p w14:paraId="49F5BAC1">
      <w:pPr>
        <w:pStyle w:val="178"/>
        <w:bidi w:val="0"/>
        <w:rPr>
          <w:rFonts w:hint="eastAsia"/>
          <w:lang w:val="en-US" w:eastAsia="zh-CN"/>
        </w:rPr>
      </w:pPr>
      <w:r>
        <w:rPr>
          <w:rFonts w:hint="eastAsia"/>
          <w:lang w:val="en-US" w:eastAsia="zh-CN"/>
        </w:rPr>
        <w:t>耕作层采样深度0 cm～20 cm，亚层20 cm～40 cm；</w:t>
      </w:r>
    </w:p>
    <w:p w14:paraId="6BBEECCC">
      <w:pPr>
        <w:pStyle w:val="178"/>
        <w:bidi w:val="0"/>
        <w:rPr>
          <w:rFonts w:hint="eastAsia"/>
          <w:lang w:val="en-US" w:eastAsia="zh-CN"/>
        </w:rPr>
      </w:pPr>
      <w:r>
        <w:rPr>
          <w:rFonts w:hint="eastAsia"/>
          <w:lang w:val="en-US" w:eastAsia="zh-CN"/>
        </w:rPr>
        <w:t>单个采样单元面积不宜大于5 hm²，每单元至少布设5 个混合样点；</w:t>
      </w:r>
    </w:p>
    <w:p w14:paraId="7CB2A64A">
      <w:pPr>
        <w:pStyle w:val="178"/>
        <w:bidi w:val="0"/>
        <w:rPr>
          <w:rFonts w:hint="eastAsia"/>
          <w:lang w:val="en-US" w:eastAsia="zh-CN"/>
        </w:rPr>
      </w:pPr>
      <w:r>
        <w:rPr>
          <w:rFonts w:hint="eastAsia"/>
          <w:lang w:val="en-US" w:eastAsia="zh-CN"/>
        </w:rPr>
        <w:t>样品按照GB/T 32722要求风干、研磨、过2 mm筛，密封保存待测。</w:t>
      </w:r>
    </w:p>
    <w:p w14:paraId="5D370B8B">
      <w:pPr>
        <w:pStyle w:val="109"/>
        <w:spacing w:after="120" w:afterLines="50"/>
        <w:ind w:left="0"/>
        <w:jc w:val="both"/>
        <w:rPr>
          <w:rFonts w:hint="eastAsia"/>
          <w:lang w:val="en-US" w:eastAsia="zh-CN"/>
        </w:rPr>
      </w:pPr>
      <w:bookmarkStart w:id="106" w:name="_Toc10846"/>
      <w:r>
        <w:rPr>
          <w:rFonts w:hint="eastAsia"/>
          <w:lang w:val="en-US" w:eastAsia="zh-CN"/>
        </w:rPr>
        <w:t>检测指标与方法</w:t>
      </w:r>
      <w:bookmarkEnd w:id="106"/>
    </w:p>
    <w:p w14:paraId="5F6C48B2">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应对以下指标进行检测，并依据检测结果计算土壤钠离子负荷，用于核算改良凝胶理论用量：</w:t>
      </w:r>
    </w:p>
    <w:p w14:paraId="6E1CB196">
      <w:pPr>
        <w:pStyle w:val="178"/>
        <w:numPr>
          <w:ilvl w:val="0"/>
          <w:numId w:val="38"/>
        </w:numPr>
        <w:bidi w:val="0"/>
        <w:rPr>
          <w:rFonts w:hint="eastAsia"/>
          <w:lang w:val="en-US" w:eastAsia="zh-CN"/>
        </w:rPr>
      </w:pPr>
      <w:r>
        <w:rPr>
          <w:rFonts w:hint="eastAsia"/>
          <w:lang w:val="en-US" w:eastAsia="zh-CN"/>
        </w:rPr>
        <w:t>土壤pH：应按NY/T 1121.2的规定执行；</w:t>
      </w:r>
    </w:p>
    <w:p w14:paraId="67016245">
      <w:pPr>
        <w:pStyle w:val="178"/>
        <w:numPr>
          <w:ilvl w:val="0"/>
          <w:numId w:val="38"/>
        </w:numPr>
        <w:bidi w:val="0"/>
        <w:rPr>
          <w:rFonts w:hint="eastAsia"/>
          <w:lang w:val="en-US" w:eastAsia="zh-CN"/>
        </w:rPr>
      </w:pPr>
      <w:r>
        <w:rPr>
          <w:rFonts w:hint="eastAsia"/>
          <w:lang w:val="en-US" w:eastAsia="zh-CN"/>
        </w:rPr>
        <w:t>饱和提取液电导率（ECe）：应采用饱和浸提-电极法测定；</w:t>
      </w:r>
    </w:p>
    <w:p w14:paraId="2F0B93E6">
      <w:pPr>
        <w:pStyle w:val="178"/>
        <w:numPr>
          <w:ilvl w:val="0"/>
          <w:numId w:val="38"/>
        </w:numPr>
        <w:bidi w:val="0"/>
        <w:rPr>
          <w:rFonts w:hint="eastAsia"/>
          <w:lang w:val="en-US" w:eastAsia="zh-CN"/>
        </w:rPr>
      </w:pPr>
      <w:r>
        <w:rPr>
          <w:rFonts w:hint="eastAsia"/>
          <w:lang w:val="en-US" w:eastAsia="zh-CN"/>
        </w:rPr>
        <w:t>水溶性全盐量：应按NY/T 1121.16的规定执行；</w:t>
      </w:r>
    </w:p>
    <w:p w14:paraId="4313BABA">
      <w:pPr>
        <w:pStyle w:val="178"/>
        <w:numPr>
          <w:ilvl w:val="0"/>
          <w:numId w:val="38"/>
        </w:numPr>
        <w:bidi w:val="0"/>
        <w:rPr>
          <w:rFonts w:hint="eastAsia"/>
          <w:lang w:val="en-US" w:eastAsia="zh-CN"/>
        </w:rPr>
      </w:pPr>
      <w:r>
        <w:rPr>
          <w:rFonts w:hint="eastAsia"/>
          <w:lang w:val="en-US" w:eastAsia="zh-CN"/>
        </w:rPr>
        <w:t>阳离子交换量：应按NY/T 1121.5的规定执行；</w:t>
      </w:r>
    </w:p>
    <w:p w14:paraId="2703FC3E">
      <w:pPr>
        <w:pStyle w:val="178"/>
        <w:numPr>
          <w:ilvl w:val="0"/>
          <w:numId w:val="38"/>
        </w:numPr>
        <w:bidi w:val="0"/>
        <w:rPr>
          <w:rFonts w:hint="eastAsia"/>
          <w:lang w:val="en-US" w:eastAsia="zh-CN"/>
        </w:rPr>
      </w:pPr>
      <w:r>
        <w:rPr>
          <w:rFonts w:hint="eastAsia"/>
          <w:lang w:val="en-US" w:eastAsia="zh-CN"/>
        </w:rPr>
        <w:t>交换性钠：应按LY/T 1248的规定执行；</w:t>
      </w:r>
    </w:p>
    <w:p w14:paraId="716DA8BC">
      <w:pPr>
        <w:pStyle w:val="178"/>
        <w:numPr>
          <w:ilvl w:val="0"/>
          <w:numId w:val="38"/>
        </w:numPr>
        <w:bidi w:val="0"/>
        <w:rPr>
          <w:rFonts w:hint="eastAsia"/>
          <w:lang w:val="en-US" w:eastAsia="zh-CN"/>
        </w:rPr>
      </w:pPr>
      <w:r>
        <w:rPr>
          <w:rFonts w:hint="eastAsia"/>
          <w:lang w:val="en-US" w:eastAsia="zh-CN"/>
        </w:rPr>
        <w:t>碱化度（ESP）：应按LY/T 1249的规定执行；</w:t>
      </w:r>
    </w:p>
    <w:p w14:paraId="62899731">
      <w:pPr>
        <w:pStyle w:val="178"/>
        <w:numPr>
          <w:ilvl w:val="0"/>
          <w:numId w:val="38"/>
        </w:numPr>
        <w:bidi w:val="0"/>
        <w:rPr>
          <w:rFonts w:hint="eastAsia"/>
          <w:lang w:val="en-US" w:eastAsia="zh-CN"/>
        </w:rPr>
      </w:pPr>
      <w:r>
        <w:rPr>
          <w:rFonts w:hint="eastAsia"/>
          <w:lang w:val="en-US" w:eastAsia="zh-CN"/>
        </w:rPr>
        <w:t>钠吸附比（SAR）：应依据饱和浸提液中钠、钙、镁离子检测结果计算确定。</w:t>
      </w:r>
    </w:p>
    <w:p w14:paraId="08C83AD9">
      <w:pPr>
        <w:pStyle w:val="109"/>
        <w:spacing w:after="120" w:afterLines="50"/>
        <w:ind w:left="0"/>
        <w:jc w:val="both"/>
        <w:rPr>
          <w:rFonts w:hint="eastAsia"/>
          <w:lang w:val="en-US" w:eastAsia="zh-CN"/>
        </w:rPr>
      </w:pPr>
      <w:bookmarkStart w:id="107" w:name="_Toc27343"/>
      <w:r>
        <w:rPr>
          <w:rFonts w:hint="eastAsia"/>
          <w:lang w:val="en-US" w:eastAsia="zh-CN"/>
        </w:rPr>
        <w:t>盐碱地块分级</w:t>
      </w:r>
      <w:bookmarkEnd w:id="107"/>
    </w:p>
    <w:p w14:paraId="7138D531">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应按表1划分盐碱等级，结合土壤钠离子负荷确定凝胶施用方案。</w:t>
      </w:r>
    </w:p>
    <w:p w14:paraId="3361577D">
      <w:pPr>
        <w:pStyle w:val="263"/>
        <w:bidi w:val="0"/>
        <w:rPr>
          <w:rFonts w:hint="eastAsia"/>
          <w:lang w:val="en-US" w:eastAsia="zh-CN"/>
        </w:rPr>
      </w:pPr>
      <w:r>
        <w:rPr>
          <w:rFonts w:hint="eastAsia"/>
          <w:lang w:val="en-US" w:eastAsia="zh-CN"/>
        </w:rPr>
        <w:t>盐碱地等级划分指标</w:t>
      </w:r>
    </w:p>
    <w:tbl>
      <w:tblPr>
        <w:tblStyle w:val="29"/>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19"/>
        <w:gridCol w:w="856"/>
        <w:gridCol w:w="1164"/>
        <w:gridCol w:w="1261"/>
        <w:gridCol w:w="981"/>
        <w:gridCol w:w="4073"/>
      </w:tblGrid>
      <w:tr w14:paraId="1CEB2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tblHeader/>
          <w:jc w:val="center"/>
        </w:trPr>
        <w:tc>
          <w:tcPr>
            <w:tcW w:w="1019" w:type="dxa"/>
            <w:shd w:val="clear" w:color="auto" w:fill="auto"/>
            <w:vAlign w:val="center"/>
          </w:tcPr>
          <w:p w14:paraId="2837A558">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等级</w:t>
            </w:r>
          </w:p>
        </w:tc>
        <w:tc>
          <w:tcPr>
            <w:tcW w:w="856" w:type="dxa"/>
            <w:shd w:val="clear" w:color="auto" w:fill="auto"/>
            <w:vAlign w:val="center"/>
          </w:tcPr>
          <w:p w14:paraId="5B35A280">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pH</w:t>
            </w:r>
          </w:p>
        </w:tc>
        <w:tc>
          <w:tcPr>
            <w:tcW w:w="1164" w:type="dxa"/>
            <w:shd w:val="clear" w:color="auto" w:fill="auto"/>
            <w:vAlign w:val="center"/>
          </w:tcPr>
          <w:p w14:paraId="36E34313">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ECe（dS/m）</w:t>
            </w:r>
          </w:p>
        </w:tc>
        <w:tc>
          <w:tcPr>
            <w:tcW w:w="1261" w:type="dxa"/>
            <w:shd w:val="clear" w:color="auto" w:fill="auto"/>
            <w:vAlign w:val="center"/>
          </w:tcPr>
          <w:p w14:paraId="69DD7BF6">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全盐量（g/kg）</w:t>
            </w:r>
          </w:p>
        </w:tc>
        <w:tc>
          <w:tcPr>
            <w:tcW w:w="981" w:type="dxa"/>
            <w:shd w:val="clear" w:color="auto" w:fill="auto"/>
            <w:vAlign w:val="center"/>
          </w:tcPr>
          <w:p w14:paraId="3E8106C7">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ESP（%）</w:t>
            </w:r>
          </w:p>
        </w:tc>
        <w:tc>
          <w:tcPr>
            <w:tcW w:w="4073" w:type="dxa"/>
            <w:shd w:val="clear" w:color="auto" w:fill="auto"/>
            <w:vAlign w:val="center"/>
          </w:tcPr>
          <w:p w14:paraId="3B46166E">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凝胶应用特殊要求</w:t>
            </w:r>
          </w:p>
        </w:tc>
      </w:tr>
      <w:tr w14:paraId="15F5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6" w:hRule="atLeast"/>
          <w:jc w:val="center"/>
        </w:trPr>
        <w:tc>
          <w:tcPr>
            <w:tcW w:w="1019" w:type="dxa"/>
            <w:shd w:val="clear" w:color="auto" w:fill="auto"/>
            <w:vAlign w:val="center"/>
          </w:tcPr>
          <w:p w14:paraId="3A8B4E9B">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轻度盐碱地</w:t>
            </w:r>
          </w:p>
        </w:tc>
        <w:tc>
          <w:tcPr>
            <w:tcW w:w="856" w:type="dxa"/>
            <w:shd w:val="clear" w:color="auto" w:fill="auto"/>
            <w:vAlign w:val="center"/>
          </w:tcPr>
          <w:p w14:paraId="6F9ACC15">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8.0～8.5</w:t>
            </w:r>
          </w:p>
        </w:tc>
        <w:tc>
          <w:tcPr>
            <w:tcW w:w="1164" w:type="dxa"/>
            <w:shd w:val="clear" w:color="auto" w:fill="auto"/>
            <w:vAlign w:val="center"/>
          </w:tcPr>
          <w:p w14:paraId="1E65C676">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2.0～4.0</w:t>
            </w:r>
          </w:p>
        </w:tc>
        <w:tc>
          <w:tcPr>
            <w:tcW w:w="1261" w:type="dxa"/>
            <w:shd w:val="clear" w:color="auto" w:fill="auto"/>
            <w:vAlign w:val="center"/>
          </w:tcPr>
          <w:p w14:paraId="3F0D023E">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1.0～2.0</w:t>
            </w:r>
          </w:p>
        </w:tc>
        <w:tc>
          <w:tcPr>
            <w:tcW w:w="981" w:type="dxa"/>
            <w:shd w:val="clear" w:color="auto" w:fill="auto"/>
            <w:vAlign w:val="center"/>
          </w:tcPr>
          <w:p w14:paraId="0D0C8F00">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5～15</w:t>
            </w:r>
          </w:p>
        </w:tc>
        <w:tc>
          <w:tcPr>
            <w:tcW w:w="4073" w:type="dxa"/>
            <w:shd w:val="clear" w:color="auto" w:fill="auto"/>
            <w:vAlign w:val="center"/>
          </w:tcPr>
          <w:p w14:paraId="7BACD340">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常规凝胶施用，可配合常规灌溉成型</w:t>
            </w:r>
          </w:p>
        </w:tc>
      </w:tr>
      <w:tr w14:paraId="3712A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1019" w:type="dxa"/>
            <w:shd w:val="clear" w:color="auto" w:fill="auto"/>
            <w:vAlign w:val="center"/>
          </w:tcPr>
          <w:p w14:paraId="5253CF40">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中度盐碱地</w:t>
            </w:r>
          </w:p>
        </w:tc>
        <w:tc>
          <w:tcPr>
            <w:tcW w:w="856" w:type="dxa"/>
            <w:shd w:val="clear" w:color="auto" w:fill="auto"/>
            <w:vAlign w:val="center"/>
          </w:tcPr>
          <w:p w14:paraId="6BC3990B">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8.5～9.0</w:t>
            </w:r>
          </w:p>
        </w:tc>
        <w:tc>
          <w:tcPr>
            <w:tcW w:w="1164" w:type="dxa"/>
            <w:shd w:val="clear" w:color="auto" w:fill="auto"/>
            <w:vAlign w:val="center"/>
          </w:tcPr>
          <w:p w14:paraId="291E8411">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4.0～8.0</w:t>
            </w:r>
          </w:p>
        </w:tc>
        <w:tc>
          <w:tcPr>
            <w:tcW w:w="1261" w:type="dxa"/>
            <w:shd w:val="clear" w:color="auto" w:fill="auto"/>
            <w:vAlign w:val="center"/>
          </w:tcPr>
          <w:p w14:paraId="3BACFF7A">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2.0～4.0</w:t>
            </w:r>
          </w:p>
        </w:tc>
        <w:tc>
          <w:tcPr>
            <w:tcW w:w="981" w:type="dxa"/>
            <w:shd w:val="clear" w:color="auto" w:fill="auto"/>
            <w:vAlign w:val="center"/>
          </w:tcPr>
          <w:p w14:paraId="654026EA">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15～30</w:t>
            </w:r>
          </w:p>
        </w:tc>
        <w:tc>
          <w:tcPr>
            <w:tcW w:w="4073" w:type="dxa"/>
            <w:shd w:val="clear" w:color="auto" w:fill="auto"/>
            <w:vAlign w:val="center"/>
          </w:tcPr>
          <w:p w14:paraId="6F1994AB">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宜配套淋洗，保障凝胶充分交联、离子交换空间充足</w:t>
            </w:r>
          </w:p>
        </w:tc>
      </w:tr>
      <w:tr w14:paraId="41FC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1019" w:type="dxa"/>
            <w:shd w:val="clear" w:color="auto" w:fill="auto"/>
            <w:vAlign w:val="center"/>
          </w:tcPr>
          <w:p w14:paraId="0D7B3969">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重度盐碱地</w:t>
            </w:r>
          </w:p>
        </w:tc>
        <w:tc>
          <w:tcPr>
            <w:tcW w:w="856" w:type="dxa"/>
            <w:shd w:val="clear" w:color="auto" w:fill="auto"/>
            <w:vAlign w:val="center"/>
          </w:tcPr>
          <w:p w14:paraId="46407D20">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＞9.0</w:t>
            </w:r>
          </w:p>
        </w:tc>
        <w:tc>
          <w:tcPr>
            <w:tcW w:w="1164" w:type="dxa"/>
            <w:shd w:val="clear" w:color="auto" w:fill="auto"/>
            <w:vAlign w:val="center"/>
          </w:tcPr>
          <w:p w14:paraId="73B405F4">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＞8.0</w:t>
            </w:r>
          </w:p>
        </w:tc>
        <w:tc>
          <w:tcPr>
            <w:tcW w:w="1261" w:type="dxa"/>
            <w:shd w:val="clear" w:color="auto" w:fill="auto"/>
            <w:vAlign w:val="center"/>
          </w:tcPr>
          <w:p w14:paraId="15DE5358">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＞4.0</w:t>
            </w:r>
          </w:p>
        </w:tc>
        <w:tc>
          <w:tcPr>
            <w:tcW w:w="981" w:type="dxa"/>
            <w:shd w:val="clear" w:color="auto" w:fill="auto"/>
            <w:vAlign w:val="center"/>
          </w:tcPr>
          <w:p w14:paraId="4585E131">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＞30</w:t>
            </w:r>
          </w:p>
        </w:tc>
        <w:tc>
          <w:tcPr>
            <w:tcW w:w="4073" w:type="dxa"/>
            <w:shd w:val="clear" w:color="auto" w:fill="auto"/>
            <w:vAlign w:val="center"/>
          </w:tcPr>
          <w:p w14:paraId="4BAC1779">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应开展凝胶梯度预试验，高盐环境会抑制凝胶交联成型，不可直接大面积施用</w:t>
            </w:r>
          </w:p>
        </w:tc>
      </w:tr>
    </w:tbl>
    <w:p w14:paraId="2D7B7C1B">
      <w:pPr>
        <w:pStyle w:val="108"/>
        <w:rPr>
          <w:rFonts w:hint="eastAsia"/>
          <w:lang w:val="en-US" w:eastAsia="zh-CN"/>
        </w:rPr>
      </w:pPr>
      <w:bookmarkStart w:id="108" w:name="_Toc506"/>
      <w:r>
        <w:rPr>
          <w:rFonts w:hint="eastAsia"/>
          <w:lang w:val="en-US" w:eastAsia="zh-CN"/>
        </w:rPr>
        <w:t>施前准备</w:t>
      </w:r>
      <w:bookmarkEnd w:id="108"/>
    </w:p>
    <w:p w14:paraId="1EC1651C">
      <w:pPr>
        <w:pStyle w:val="109"/>
        <w:spacing w:after="120" w:afterLines="50"/>
        <w:ind w:left="0"/>
        <w:jc w:val="both"/>
        <w:rPr>
          <w:rFonts w:hint="eastAsia"/>
          <w:lang w:val="en-US" w:eastAsia="zh-CN"/>
        </w:rPr>
      </w:pPr>
      <w:bookmarkStart w:id="109" w:name="_Toc6320"/>
      <w:r>
        <w:rPr>
          <w:rFonts w:hint="eastAsia"/>
          <w:lang w:val="en-US" w:eastAsia="zh-CN"/>
        </w:rPr>
        <w:t>方案编制</w:t>
      </w:r>
      <w:bookmarkEnd w:id="109"/>
    </w:p>
    <w:p w14:paraId="22DD58C6">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规模化施用前应编制实施方案，方案应包含地块信息、土壤检测数据、土壤钠离子负荷核算结果、凝胶用量、施用方式、灌溉制度、监测点位、对照小区设置。</w:t>
      </w:r>
    </w:p>
    <w:p w14:paraId="32446F78">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中度、重度盐碱地块应设置空白对照小区，小区面积不应小于30 m²。</w:t>
      </w:r>
    </w:p>
    <w:p w14:paraId="6700571A">
      <w:pPr>
        <w:pStyle w:val="109"/>
        <w:spacing w:after="120" w:afterLines="50"/>
        <w:ind w:left="0"/>
        <w:jc w:val="both"/>
        <w:rPr>
          <w:rFonts w:hint="eastAsia"/>
          <w:lang w:val="en-US" w:eastAsia="zh-CN"/>
        </w:rPr>
      </w:pPr>
      <w:bookmarkStart w:id="110" w:name="_Toc20187"/>
      <w:r>
        <w:rPr>
          <w:rFonts w:hint="eastAsia"/>
          <w:lang w:val="en-US" w:eastAsia="zh-CN"/>
        </w:rPr>
        <w:t>预试验</w:t>
      </w:r>
      <w:bookmarkEnd w:id="110"/>
    </w:p>
    <w:p w14:paraId="36526FED">
      <w:pPr>
        <w:pStyle w:val="60"/>
        <w:rPr>
          <w:rFonts w:hint="eastAsia"/>
          <w:lang w:val="en-US" w:eastAsia="zh-CN"/>
        </w:rPr>
      </w:pPr>
      <w:r>
        <w:rPr>
          <w:rFonts w:hint="eastAsia"/>
          <w:lang w:val="en-US" w:eastAsia="zh-CN"/>
        </w:rPr>
        <w:t>未开展同类应用区域、重度盐碱地块，宜开展梯度用量预试验，梯度设置为0 kg/亩、20 kg/亩、40 kg/亩、60 kg/亩，试验周期不应少于30 d。</w:t>
      </w:r>
    </w:p>
    <w:p w14:paraId="23893751">
      <w:pPr>
        <w:pStyle w:val="109"/>
        <w:spacing w:after="120" w:afterLines="50"/>
        <w:ind w:left="0"/>
        <w:jc w:val="both"/>
        <w:rPr>
          <w:rFonts w:hint="eastAsia"/>
          <w:lang w:val="en-US" w:eastAsia="zh-CN"/>
        </w:rPr>
      </w:pPr>
      <w:bookmarkStart w:id="111" w:name="_Toc20647"/>
      <w:r>
        <w:rPr>
          <w:rFonts w:hint="eastAsia"/>
          <w:lang w:val="en-US" w:eastAsia="zh-CN"/>
        </w:rPr>
        <w:t>物料核查</w:t>
      </w:r>
      <w:bookmarkEnd w:id="111"/>
    </w:p>
    <w:p w14:paraId="3BD02E81">
      <w:pPr>
        <w:pStyle w:val="60"/>
        <w:rPr>
          <w:rFonts w:hint="eastAsia"/>
          <w:lang w:val="en-US" w:eastAsia="zh-CN"/>
        </w:rPr>
      </w:pPr>
      <w:r>
        <w:rPr>
          <w:rFonts w:hint="eastAsia"/>
          <w:lang w:val="en-US" w:eastAsia="zh-CN"/>
        </w:rPr>
        <w:t>进场材料应核验产品合格证明、交联组分参数、盐离子固持性能检测报告，不得使用普通高吸水树脂替代盐碱地改良凝胶。物料储存环境温度宜为0℃～35℃，应防潮、远离强酸及强氧化剂。</w:t>
      </w:r>
    </w:p>
    <w:p w14:paraId="3E9AE096">
      <w:pPr>
        <w:pStyle w:val="109"/>
        <w:spacing w:after="120" w:afterLines="50"/>
        <w:ind w:left="0"/>
        <w:jc w:val="both"/>
        <w:rPr>
          <w:rFonts w:hint="eastAsia"/>
          <w:lang w:val="en-US" w:eastAsia="zh-CN"/>
        </w:rPr>
      </w:pPr>
      <w:bookmarkStart w:id="112" w:name="_Toc25799"/>
      <w:r>
        <w:rPr>
          <w:rFonts w:hint="eastAsia"/>
          <w:lang w:val="en-US" w:eastAsia="zh-CN"/>
        </w:rPr>
        <w:t>地块预处理</w:t>
      </w:r>
      <w:bookmarkEnd w:id="112"/>
    </w:p>
    <w:p w14:paraId="37208C5A">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应清除地块残膜、石块、粗大秸秆等杂物，避免杂物阻隔凝胶与土壤颗粒接触，影响交联成型。</w:t>
      </w:r>
    </w:p>
    <w:p w14:paraId="5FB02BDB">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基施地块应深耕翻土，深度宜20 cm～30 cm，疏松耕作层，保证凝胶分散后可与土体充分接触。</w:t>
      </w:r>
    </w:p>
    <w:p w14:paraId="1ED7EF99">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土壤墒情宜维持田间持水量60%～70%；墒情不足时，应提前预灌水。</w:t>
      </w:r>
    </w:p>
    <w:p w14:paraId="062FD66F">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中度、重度盐碱地应在施胶前配套排盐沟（沟深30 cm～50 cm），并提前进行大水预淋洗脱盐。预淋洗灌水定额宜为40 m³/亩～50 m³/亩，淋洗后排水、晾晒，待土壤墒情回落至田间持水量的60%～70%时，方可开展翻耕与施胶作业。重度盐碱地宜进行2次预淋洗。</w:t>
      </w:r>
    </w:p>
    <w:p w14:paraId="45BB853E">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地块内盐斑区域应单独划定，单独核算钠离子负荷与凝胶用量。</w:t>
      </w:r>
    </w:p>
    <w:p w14:paraId="7C2D0966">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重度盐碱地块在翻耕施胶前，应取少量现场土壤与凝胶干粉进行快速混合试配，观察凝胶在本地高盐环境下的交联成型情况（室温静置2 h）。若无法形成稳定凝胶絮体，应增加预淋洗次数或联系产品供应商调整交联组分。</w:t>
      </w:r>
    </w:p>
    <w:p w14:paraId="1093B6FC">
      <w:pPr>
        <w:pStyle w:val="109"/>
        <w:spacing w:after="120" w:afterLines="50"/>
        <w:ind w:left="0"/>
        <w:jc w:val="both"/>
        <w:rPr>
          <w:rFonts w:hint="eastAsia"/>
          <w:lang w:val="en-US" w:eastAsia="zh-CN"/>
        </w:rPr>
      </w:pPr>
      <w:bookmarkStart w:id="113" w:name="_Toc2189"/>
      <w:r>
        <w:rPr>
          <w:rFonts w:hint="eastAsia"/>
          <w:lang w:val="en-US" w:eastAsia="zh-CN"/>
        </w:rPr>
        <w:t>机具准备</w:t>
      </w:r>
      <w:bookmarkEnd w:id="113"/>
    </w:p>
    <w:p w14:paraId="1374429B">
      <w:pPr>
        <w:pStyle w:val="60"/>
        <w:rPr>
          <w:rFonts w:hint="eastAsia"/>
          <w:lang w:val="en-US" w:eastAsia="zh-CN"/>
        </w:rPr>
      </w:pPr>
      <w:r>
        <w:rPr>
          <w:rFonts w:hint="eastAsia"/>
          <w:lang w:val="en-US" w:eastAsia="zh-CN"/>
        </w:rPr>
        <w:t>撒肥设备、搅拌罐、滴灌施肥装置、旋耕机、土壤检测仪器应清理洁净，不得残留除草剂、高盐药剂。</w:t>
      </w:r>
    </w:p>
    <w:p w14:paraId="029D2115">
      <w:pPr>
        <w:pStyle w:val="108"/>
        <w:rPr>
          <w:rFonts w:hint="eastAsia"/>
          <w:lang w:val="en-US" w:eastAsia="zh-CN"/>
        </w:rPr>
      </w:pPr>
      <w:bookmarkStart w:id="114" w:name="_Toc14010"/>
      <w:r>
        <w:rPr>
          <w:rFonts w:hint="eastAsia"/>
          <w:lang w:val="en-US" w:eastAsia="zh-CN"/>
        </w:rPr>
        <w:t>田间施用工艺</w:t>
      </w:r>
      <w:bookmarkEnd w:id="114"/>
    </w:p>
    <w:p w14:paraId="4CF9260F">
      <w:pPr>
        <w:pStyle w:val="109"/>
        <w:spacing w:after="120" w:afterLines="50"/>
        <w:ind w:left="0"/>
        <w:jc w:val="both"/>
        <w:rPr>
          <w:rFonts w:hint="eastAsia"/>
          <w:lang w:val="en-US" w:eastAsia="zh-CN"/>
        </w:rPr>
      </w:pPr>
      <w:bookmarkStart w:id="115" w:name="_Toc29158"/>
      <w:r>
        <w:rPr>
          <w:rFonts w:hint="eastAsia"/>
          <w:lang w:val="en-US" w:eastAsia="zh-CN"/>
        </w:rPr>
        <w:t>施用剂量</w:t>
      </w:r>
      <w:bookmarkEnd w:id="115"/>
    </w:p>
    <w:p w14:paraId="2CC20AA2">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改良凝胶干粉用量应根据土壤本底检测数据计算确定。具体步骤如下：</w:t>
      </w:r>
    </w:p>
    <w:p w14:paraId="2FBCBF2E">
      <w:pPr>
        <w:pStyle w:val="178"/>
        <w:numPr>
          <w:ilvl w:val="0"/>
          <w:numId w:val="39"/>
        </w:numPr>
        <w:bidi w:val="0"/>
        <w:rPr>
          <w:rFonts w:hint="eastAsia"/>
          <w:lang w:val="en-US" w:eastAsia="zh-CN"/>
        </w:rPr>
      </w:pPr>
      <w:r>
        <w:rPr>
          <w:rFonts w:hint="eastAsia"/>
          <w:lang w:val="en-US" w:eastAsia="zh-CN"/>
        </w:rPr>
        <w:t>按公式（1）计算耕作层（0～20 cm）土壤交换性钠总量：</w:t>
      </w:r>
    </w:p>
    <w:p w14:paraId="13F70F4F">
      <w:pPr>
        <w:pStyle w:val="60"/>
        <w:spacing w:line="240" w:lineRule="auto"/>
        <w:rPr>
          <w:rFonts w:hint="default" w:ascii="宋体" w:hAnsi="宋体" w:eastAsia="宋体" w:cs="宋体"/>
          <w:b w:val="0"/>
          <w:bCs w:val="0"/>
          <w:sz w:val="21"/>
          <w:szCs w:val="21"/>
          <w:lang w:val="en-US" w:eastAsia="zh-CN"/>
        </w:rPr>
      </w:pPr>
      <m:oMathPara>
        <m:oMath>
          <m:eqArr>
            <m:eqArrPr>
              <m:maxDist m:val="1"/>
              <m:ctrlPr>
                <w:rPr>
                  <w:rFonts w:ascii="Cambria Math" w:hAnsi="Cambria Math" w:cs="宋体"/>
                  <w:bCs w:val="0"/>
                  <w:i/>
                  <w:sz w:val="21"/>
                  <w:szCs w:val="21"/>
                  <w:lang w:val="en-US"/>
                </w:rPr>
              </m:ctrlPr>
            </m:eqArrPr>
            <m:e>
              <m:sSub>
                <m:sSubPr>
                  <m:ctrlPr>
                    <w:rPr>
                      <w:rFonts w:hint="default" w:ascii="Cambria Math" w:hAnsi="Cambria Math" w:cs="Times New Roman"/>
                      <w:bCs w:val="0"/>
                      <w:i/>
                      <w:sz w:val="21"/>
                      <w:szCs w:val="21"/>
                      <w:lang w:val="en-US"/>
                    </w:rPr>
                  </m:ctrlPr>
                </m:sSubPr>
                <m:e>
                  <m:r>
                    <m:rPr>
                      <m:nor/>
                    </m:rPr>
                    <w:rPr>
                      <w:rFonts w:hint="default" w:ascii="Times New Roman" w:hAnsi="Times New Roman" w:cs="Times New Roman"/>
                      <w:bCs w:val="0"/>
                      <w:i/>
                      <w:sz w:val="21"/>
                      <w:szCs w:val="21"/>
                      <w:lang w:val="en-US" w:eastAsia="zh-CN"/>
                    </w:rPr>
                    <m:t>Q</m:t>
                  </m:r>
                  <m:ctrlPr>
                    <w:rPr>
                      <w:rFonts w:hint="default" w:ascii="Cambria Math" w:hAnsi="Cambria Math" w:cs="Times New Roman"/>
                      <w:bCs w:val="0"/>
                      <w:i/>
                      <w:sz w:val="21"/>
                      <w:szCs w:val="21"/>
                      <w:lang w:val="en-US"/>
                    </w:rPr>
                  </m:ctrlPr>
                </m:e>
                <m:sub>
                  <m:r>
                    <m:rPr>
                      <m:nor/>
                    </m:rPr>
                    <w:rPr>
                      <w:rFonts w:hint="default" w:ascii="Times New Roman" w:hAnsi="Times New Roman" w:cs="Times New Roman"/>
                      <w:bCs w:val="0"/>
                      <w:i/>
                      <w:sz w:val="21"/>
                      <w:szCs w:val="21"/>
                      <w:lang w:val="en-US" w:eastAsia="zh-CN"/>
                    </w:rPr>
                    <m:t>Na</m:t>
                  </m:r>
                  <m:ctrlPr>
                    <w:rPr>
                      <w:rFonts w:hint="default" w:ascii="Cambria Math" w:hAnsi="Cambria Math" w:cs="Times New Roman"/>
                      <w:bCs w:val="0"/>
                      <w:i/>
                      <w:sz w:val="21"/>
                      <w:szCs w:val="21"/>
                      <w:lang w:val="en-US"/>
                    </w:rPr>
                  </m:ctrlPr>
                </m:sub>
              </m:sSub>
              <m:r>
                <m:rPr>
                  <m:nor/>
                  <m:sty m:val="p"/>
                </m:rPr>
                <w:rPr>
                  <w:rFonts w:hint="default" w:ascii="Times New Roman" w:hAnsi="Times New Roman" w:cs="Times New Roman"/>
                  <w:b w:val="0"/>
                  <w:bCs w:val="0"/>
                  <w:i w:val="0"/>
                  <w:sz w:val="21"/>
                  <w:szCs w:val="21"/>
                  <w:lang w:val="en-US" w:eastAsia="zh-CN"/>
                </w:rPr>
                <m:t>=</m:t>
              </m:r>
              <m:r>
                <m:rPr>
                  <m:nor/>
                </m:rPr>
                <w:rPr>
                  <w:rFonts w:hint="default" w:ascii="Times New Roman" w:hAnsi="Times New Roman" w:cs="Times New Roman"/>
                  <w:b w:val="0"/>
                  <w:bCs w:val="0"/>
                  <w:i/>
                  <w:sz w:val="21"/>
                  <w:szCs w:val="21"/>
                  <w:lang w:val="en-US" w:eastAsia="zh-CN"/>
                </w:rPr>
                <m:t>ρ</m:t>
              </m:r>
              <m:r>
                <m:rPr>
                  <m:nor/>
                  <m:sty m:val="p"/>
                </m:rPr>
                <w:rPr>
                  <w:rFonts w:hint="default" w:ascii="Times New Roman" w:hAnsi="Times New Roman" w:cs="Times New Roman"/>
                  <w:b w:val="0"/>
                  <w:bCs w:val="0"/>
                  <w:i w:val="0"/>
                  <w:sz w:val="21"/>
                  <w:szCs w:val="21"/>
                  <w:lang w:val="en-US" w:eastAsia="zh-CN"/>
                </w:rPr>
                <m:t>×</m:t>
              </m:r>
              <m:r>
                <m:rPr>
                  <m:nor/>
                </m:rPr>
                <w:rPr>
                  <w:rFonts w:hint="default" w:ascii="Times New Roman" w:hAnsi="Times New Roman" w:cs="Times New Roman"/>
                  <w:b w:val="0"/>
                  <w:bCs w:val="0"/>
                  <w:i/>
                  <w:sz w:val="21"/>
                  <w:szCs w:val="21"/>
                  <w:lang w:val="en-US" w:eastAsia="zh-CN"/>
                </w:rPr>
                <m:t>d</m:t>
              </m:r>
              <m:r>
                <m:rPr>
                  <m:nor/>
                  <m:sty m:val="p"/>
                </m:rPr>
                <w:rPr>
                  <w:rFonts w:hint="default" w:ascii="Times New Roman" w:hAnsi="Times New Roman" w:cs="Times New Roman"/>
                  <w:b w:val="0"/>
                  <w:bCs w:val="0"/>
                  <w:i w:val="0"/>
                  <w:sz w:val="21"/>
                  <w:szCs w:val="21"/>
                  <w:lang w:val="en-US" w:eastAsia="zh-CN"/>
                </w:rPr>
                <m:t>×</m:t>
              </m:r>
              <m:r>
                <m:rPr>
                  <m:nor/>
                </m:rPr>
                <w:rPr>
                  <w:rFonts w:hint="default" w:ascii="Times New Roman" w:hAnsi="Times New Roman" w:cs="Times New Roman"/>
                  <w:b w:val="0"/>
                  <w:bCs w:val="0"/>
                  <w:i/>
                  <w:sz w:val="21"/>
                  <w:szCs w:val="21"/>
                  <w:lang w:val="en-US" w:eastAsia="zh-CN"/>
                </w:rPr>
                <m:t>S</m:t>
              </m:r>
              <m:r>
                <m:rPr>
                  <m:nor/>
                  <m:sty m:val="p"/>
                </m:rPr>
                <w:rPr>
                  <w:rFonts w:hint="default" w:ascii="Times New Roman" w:hAnsi="Times New Roman" w:cs="Times New Roman"/>
                  <w:b w:val="0"/>
                  <w:bCs w:val="0"/>
                  <w:i w:val="0"/>
                  <w:sz w:val="21"/>
                  <w:szCs w:val="21"/>
                  <w:lang w:val="en-US" w:eastAsia="zh-CN"/>
                </w:rPr>
                <m:t>×</m:t>
              </m:r>
              <m:r>
                <m:rPr>
                  <m:nor/>
                </m:rPr>
                <w:rPr>
                  <w:rFonts w:hint="default" w:ascii="Times New Roman" w:hAnsi="Times New Roman" w:cs="Times New Roman"/>
                  <w:b w:val="0"/>
                  <w:bCs w:val="0"/>
                  <w:i/>
                  <w:sz w:val="21"/>
                  <w:szCs w:val="21"/>
                  <w:lang w:val="en-US" w:eastAsia="zh-CN"/>
                </w:rPr>
                <m:t>ESP</m:t>
              </m:r>
              <m:r>
                <m:rPr>
                  <m:nor/>
                  <m:sty m:val="p"/>
                </m:rPr>
                <w:rPr>
                  <w:rFonts w:hint="default" w:ascii="Times New Roman" w:hAnsi="Times New Roman" w:cs="Times New Roman"/>
                  <w:b w:val="0"/>
                  <w:bCs w:val="0"/>
                  <w:i w:val="0"/>
                  <w:sz w:val="21"/>
                  <w:szCs w:val="21"/>
                  <w:lang w:val="en-US" w:eastAsia="zh-CN"/>
                </w:rPr>
                <m:t>×</m:t>
              </m:r>
              <m:sSup>
                <m:sSupPr>
                  <m:ctrlPr>
                    <w:rPr>
                      <w:rFonts w:hint="default" w:ascii="Cambria Math" w:hAnsi="Cambria Math" w:cs="Times New Roman"/>
                      <w:b w:val="0"/>
                      <w:bCs w:val="0"/>
                      <w:i/>
                      <w:sz w:val="21"/>
                      <w:szCs w:val="21"/>
                      <w:lang w:val="en-US" w:eastAsia="zh-CN"/>
                    </w:rPr>
                  </m:ctrlPr>
                </m:sSupPr>
                <m:e>
                  <m:r>
                    <m:rPr>
                      <m:nor/>
                      <m:sty m:val="p"/>
                    </m:rPr>
                    <w:rPr>
                      <w:rFonts w:hint="default" w:ascii="Times New Roman" w:hAnsi="Times New Roman" w:cs="Times New Roman"/>
                      <w:b w:val="0"/>
                      <w:bCs w:val="0"/>
                      <w:i w:val="0"/>
                      <w:sz w:val="21"/>
                      <w:szCs w:val="21"/>
                      <w:lang w:val="en-US" w:eastAsia="zh-CN"/>
                    </w:rPr>
                    <m:t>10</m:t>
                  </m:r>
                  <m:ctrlPr>
                    <w:rPr>
                      <w:rFonts w:hint="default" w:ascii="Cambria Math" w:hAnsi="Cambria Math" w:cs="Times New Roman"/>
                      <w:b w:val="0"/>
                      <w:bCs w:val="0"/>
                      <w:i/>
                      <w:sz w:val="21"/>
                      <w:szCs w:val="21"/>
                      <w:lang w:val="en-US" w:eastAsia="zh-CN"/>
                    </w:rPr>
                  </m:ctrlPr>
                </m:e>
                <m:sup>
                  <m:r>
                    <m:rPr>
                      <m:nor/>
                      <m:sty m:val="p"/>
                    </m:rPr>
                    <w:rPr>
                      <w:rFonts w:hint="default" w:ascii="Times New Roman" w:hAnsi="Times New Roman" w:cs="Times New Roman"/>
                      <w:b w:val="0"/>
                      <w:bCs w:val="0"/>
                      <w:i w:val="0"/>
                      <w:sz w:val="21"/>
                      <w:szCs w:val="21"/>
                      <w:lang w:val="en-US" w:eastAsia="zh-CN"/>
                    </w:rPr>
                    <m:t>−3</m:t>
                  </m:r>
                  <m:ctrlPr>
                    <w:rPr>
                      <w:rFonts w:hint="default" w:ascii="Cambria Math" w:hAnsi="Cambria Math" w:cs="Times New Roman"/>
                      <w:b w:val="0"/>
                      <w:bCs w:val="0"/>
                      <w:i/>
                      <w:sz w:val="21"/>
                      <w:szCs w:val="21"/>
                      <w:lang w:val="en-US" w:eastAsia="zh-CN"/>
                    </w:rPr>
                  </m:ctrlPr>
                </m:sup>
              </m:sSup>
              <m:r>
                <m:rPr>
                  <m:sty m:val="p"/>
                </m:rPr>
                <w:rPr>
                  <w:rFonts w:hint="default" w:ascii="Cambria Math" w:hAnsi="Cambria Math" w:cs="Times New Roman"/>
                  <w:sz w:val="21"/>
                  <w:szCs w:val="21"/>
                  <w:lang w:val="en-US" w:eastAsia="zh-CN"/>
                </w:rPr>
                <m:t>#</m:t>
              </m:r>
              <m:r>
                <m:rPr>
                  <m:sty m:val="p"/>
                </m:rPr>
                <w:rPr>
                  <w:rFonts w:hint="eastAsia" w:ascii="Cambria Math" w:hAnsi="Cambria Math" w:cs="Times New Roman"/>
                  <w:sz w:val="21"/>
                  <w:szCs w:val="21"/>
                  <w:lang w:val="en-US" w:eastAsia="zh-CN"/>
                </w:rPr>
                <m:t>······················</m:t>
              </m:r>
              <m:r>
                <m:rPr>
                  <m:nor/>
                  <m:sty m:val="p"/>
                </m:rPr>
                <w:rPr>
                  <w:rFonts w:hint="default" w:ascii="Times New Roman" w:hAnsi="Times New Roman" w:cs="Times New Roman"/>
                  <w:b w:val="0"/>
                  <w:bCs w:val="0"/>
                  <w:i w:val="0"/>
                  <w:sz w:val="21"/>
                  <w:szCs w:val="21"/>
                  <w:lang w:val="en-US" w:eastAsia="zh-CN"/>
                </w:rPr>
                <m:t>（1）</m:t>
              </m:r>
              <m:ctrlPr>
                <w:rPr>
                  <w:rFonts w:ascii="Cambria Math" w:hAnsi="Cambria Math" w:cs="宋体"/>
                  <w:bCs w:val="0"/>
                  <w:i/>
                  <w:sz w:val="21"/>
                  <w:szCs w:val="21"/>
                  <w:lang w:val="en-US"/>
                </w:rPr>
              </m:ctrlPr>
            </m:e>
          </m:eqArr>
        </m:oMath>
      </m:oMathPara>
    </w:p>
    <w:p w14:paraId="71BFF7DC">
      <w:pPr>
        <w:pStyle w:val="60"/>
        <w:spacing w:line="240" w:lineRule="auto"/>
        <w:rPr>
          <w:rFonts w:hint="eastAsia" w:hAnsi="宋体" w:cs="宋体"/>
          <w:b w:val="0"/>
          <w:bCs w:val="0"/>
          <w:sz w:val="21"/>
          <w:szCs w:val="21"/>
          <w:lang w:val="en-US" w:eastAsia="zh-CN"/>
        </w:rPr>
      </w:pPr>
      <w:r>
        <w:rPr>
          <w:rFonts w:hint="eastAsia" w:hAnsi="宋体" w:cs="宋体"/>
          <w:b w:val="0"/>
          <w:bCs w:val="0"/>
          <w:sz w:val="21"/>
          <w:szCs w:val="21"/>
          <w:lang w:val="en-US" w:eastAsia="zh-CN"/>
        </w:rPr>
        <w:t>式中：</w:t>
      </w:r>
    </w:p>
    <w:p w14:paraId="2C4E615D">
      <w:pPr>
        <w:pStyle w:val="60"/>
        <w:spacing w:line="240" w:lineRule="auto"/>
        <w:rPr>
          <w:rFonts w:hint="eastAsia"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rPr>
            </m:ctrlPr>
          </m:sSubPr>
          <m:e>
            <m:r>
              <m:rPr>
                <m:nor/>
              </m:rPr>
              <w:rPr>
                <w:rFonts w:hint="default" w:ascii="Times New Roman" w:hAnsi="Times New Roman" w:cs="Times New Roman"/>
                <w:bCs w:val="0"/>
                <w:i/>
                <w:sz w:val="21"/>
                <w:szCs w:val="21"/>
                <w:lang w:val="en-US" w:eastAsia="zh-CN"/>
              </w:rPr>
              <m:t>Q</m:t>
            </m:r>
            <m:ctrlPr>
              <w:rPr>
                <w:rFonts w:hint="default" w:ascii="Cambria Math" w:hAnsi="Cambria Math" w:cs="Times New Roman"/>
                <w:bCs w:val="0"/>
                <w:i/>
                <w:sz w:val="21"/>
                <w:szCs w:val="21"/>
                <w:lang w:val="en-US"/>
              </w:rPr>
            </m:ctrlPr>
          </m:e>
          <m:sub>
            <m:r>
              <m:rPr>
                <m:nor/>
              </m:rPr>
              <w:rPr>
                <w:rFonts w:hint="default" w:ascii="Times New Roman" w:hAnsi="Times New Roman" w:cs="Times New Roman"/>
                <w:bCs w:val="0"/>
                <w:i/>
                <w:sz w:val="21"/>
                <w:szCs w:val="21"/>
                <w:lang w:val="en-US" w:eastAsia="zh-CN"/>
              </w:rPr>
              <m:t>Na</m:t>
            </m:r>
            <m:ctrlPr>
              <w:rPr>
                <w:rFonts w:hint="default" w:ascii="Cambria Math" w:hAnsi="Cambria Math" w:cs="Times New Roman"/>
                <w:bCs w:val="0"/>
                <w:i/>
                <w:sz w:val="21"/>
                <w:szCs w:val="21"/>
                <w:lang w:val="en-US"/>
              </w:rPr>
            </m:ctrlPr>
          </m:sub>
        </m:sSub>
      </m:oMath>
      <w:r>
        <w:rPr>
          <w:rFonts w:hint="eastAsia" w:hAnsi="Cambria Math" w:cs="Times New Roman"/>
          <w:bCs w:val="0"/>
          <w:i w:val="0"/>
          <w:sz w:val="21"/>
          <w:szCs w:val="21"/>
          <w:lang w:val="en-US" w:eastAsia="zh-CN"/>
        </w:rPr>
        <w:t>——土壤交换性钠总量（kg/亩）；</w:t>
      </w:r>
    </w:p>
    <w:p w14:paraId="38E2AE0D">
      <w:pPr>
        <w:pStyle w:val="60"/>
        <w:spacing w:line="240" w:lineRule="auto"/>
        <w:rPr>
          <w:rFonts w:hint="default" w:hAnsi="宋体" w:cs="宋体"/>
          <w:b w:val="0"/>
          <w:bCs w:val="0"/>
          <w:sz w:val="21"/>
          <w:szCs w:val="21"/>
          <w:lang w:val="en-US" w:eastAsia="zh-CN"/>
        </w:rPr>
      </w:pPr>
      <m:oMath>
        <m:r>
          <m:rPr>
            <m:nor/>
          </m:rPr>
          <w:rPr>
            <w:rFonts w:hint="default" w:ascii="Times New Roman" w:hAnsi="Times New Roman" w:cs="Times New Roman"/>
            <w:b w:val="0"/>
            <w:bCs w:val="0"/>
            <w:i/>
            <w:sz w:val="21"/>
            <w:szCs w:val="21"/>
            <w:lang w:val="en-US" w:eastAsia="zh-CN"/>
          </w:rPr>
          <m:t>ρ</m:t>
        </m:r>
      </m:oMath>
      <w:r>
        <w:rPr>
          <w:rFonts w:hint="eastAsia" w:hAnsi="宋体" w:cs="宋体"/>
          <w:b w:val="0"/>
          <w:bCs w:val="0"/>
          <w:sz w:val="21"/>
          <w:szCs w:val="21"/>
          <w:lang w:val="en-US" w:eastAsia="zh-CN"/>
        </w:rPr>
        <w:t>——</w:t>
      </w:r>
      <w:r>
        <w:rPr>
          <w:rFonts w:hint="default" w:hAnsi="宋体" w:cs="宋体"/>
          <w:b w:val="0"/>
          <w:bCs w:val="0"/>
          <w:sz w:val="21"/>
          <w:szCs w:val="21"/>
          <w:lang w:val="en-US" w:eastAsia="zh-CN"/>
        </w:rPr>
        <w:t>土壤容重（g/cm³），实测或取经验值1.3；</w:t>
      </w:r>
    </w:p>
    <w:p w14:paraId="345BF1B4">
      <w:pPr>
        <w:pStyle w:val="60"/>
        <w:spacing w:line="240" w:lineRule="auto"/>
        <w:rPr>
          <w:rFonts w:hint="default" w:hAnsi="宋体" w:cs="宋体"/>
          <w:b w:val="0"/>
          <w:bCs w:val="0"/>
          <w:sz w:val="21"/>
          <w:szCs w:val="21"/>
          <w:lang w:val="en-US" w:eastAsia="zh-CN"/>
        </w:rPr>
      </w:pPr>
      <m:oMath>
        <m:r>
          <m:rPr>
            <m:nor/>
          </m:rPr>
          <w:rPr>
            <w:rFonts w:hint="default" w:ascii="Times New Roman" w:hAnsi="Times New Roman" w:cs="Times New Roman"/>
            <w:b w:val="0"/>
            <w:bCs w:val="0"/>
            <w:i/>
            <w:sz w:val="21"/>
            <w:szCs w:val="21"/>
            <w:lang w:val="en-US" w:eastAsia="zh-CN"/>
          </w:rPr>
          <m:t>d</m:t>
        </m:r>
      </m:oMath>
      <w:r>
        <w:rPr>
          <w:rFonts w:hint="default" w:hAnsi="宋体" w:cs="宋体"/>
          <w:b w:val="0"/>
          <w:bCs w:val="0"/>
          <w:sz w:val="21"/>
          <w:szCs w:val="21"/>
          <w:lang w:val="en-US" w:eastAsia="zh-CN"/>
        </w:rPr>
        <w:t>——耕作层厚度（cm），取20；</w:t>
      </w:r>
    </w:p>
    <w:p w14:paraId="5B2F2859">
      <w:pPr>
        <w:pStyle w:val="60"/>
        <w:spacing w:line="240" w:lineRule="auto"/>
        <w:rPr>
          <w:rFonts w:hint="default" w:hAnsi="宋体" w:cs="宋体"/>
          <w:b w:val="0"/>
          <w:bCs w:val="0"/>
          <w:sz w:val="21"/>
          <w:szCs w:val="21"/>
          <w:lang w:val="en-US" w:eastAsia="zh-CN"/>
        </w:rPr>
      </w:pPr>
      <m:oMath>
        <m:r>
          <m:rPr>
            <m:nor/>
          </m:rPr>
          <w:rPr>
            <w:rFonts w:hint="default" w:ascii="Times New Roman" w:hAnsi="Times New Roman" w:cs="Times New Roman"/>
            <w:b w:val="0"/>
            <w:bCs w:val="0"/>
            <w:i/>
            <w:sz w:val="21"/>
            <w:szCs w:val="21"/>
            <w:lang w:val="en-US" w:eastAsia="zh-CN"/>
          </w:rPr>
          <m:t>S</m:t>
        </m:r>
      </m:oMath>
      <w:r>
        <w:rPr>
          <w:rFonts w:hint="default" w:hAnsi="宋体" w:cs="宋体"/>
          <w:b w:val="0"/>
          <w:bCs w:val="0"/>
          <w:sz w:val="21"/>
          <w:szCs w:val="21"/>
          <w:lang w:val="en-US" w:eastAsia="zh-CN"/>
        </w:rPr>
        <w:t>——土壤阳离子交换量（CEC，cmol/kg）；</w:t>
      </w:r>
    </w:p>
    <w:p w14:paraId="6BFE826A">
      <w:pPr>
        <w:pStyle w:val="60"/>
        <w:spacing w:line="240" w:lineRule="auto"/>
        <w:rPr>
          <w:rFonts w:hint="default" w:hAnsi="宋体" w:cs="宋体"/>
          <w:b w:val="0"/>
          <w:bCs w:val="0"/>
          <w:sz w:val="21"/>
          <w:szCs w:val="21"/>
          <w:lang w:val="en-US" w:eastAsia="zh-CN"/>
        </w:rPr>
      </w:pPr>
      <m:oMath>
        <m:r>
          <m:rPr>
            <m:nor/>
          </m:rPr>
          <w:rPr>
            <w:rFonts w:hint="default" w:ascii="Times New Roman" w:hAnsi="Times New Roman" w:cs="Times New Roman"/>
            <w:b w:val="0"/>
            <w:bCs w:val="0"/>
            <w:i/>
            <w:sz w:val="21"/>
            <w:szCs w:val="21"/>
            <w:lang w:val="en-US" w:eastAsia="zh-CN"/>
          </w:rPr>
          <m:t>ESP</m:t>
        </m:r>
      </m:oMath>
      <w:r>
        <w:rPr>
          <w:rFonts w:hint="default" w:hAnsi="宋体" w:cs="宋体"/>
          <w:b w:val="0"/>
          <w:bCs w:val="0"/>
          <w:sz w:val="21"/>
          <w:szCs w:val="21"/>
          <w:lang w:val="en-US" w:eastAsia="zh-CN"/>
        </w:rPr>
        <w:t>——土壤碱化度（%）</w:t>
      </w:r>
      <w:r>
        <w:rPr>
          <w:rFonts w:hint="eastAsia" w:hAnsi="宋体" w:cs="宋体"/>
          <w:b w:val="0"/>
          <w:bCs w:val="0"/>
          <w:sz w:val="21"/>
          <w:szCs w:val="21"/>
          <w:lang w:val="en-US" w:eastAsia="zh-CN"/>
        </w:rPr>
        <w:t>；</w:t>
      </w:r>
    </w:p>
    <w:p w14:paraId="18070B73">
      <w:pPr>
        <w:pStyle w:val="178"/>
        <w:numPr>
          <w:ilvl w:val="0"/>
          <w:numId w:val="39"/>
        </w:numPr>
        <w:bidi w:val="0"/>
        <w:rPr>
          <w:rFonts w:hint="eastAsia"/>
          <w:lang w:val="en-US" w:eastAsia="zh-CN"/>
        </w:rPr>
      </w:pPr>
      <w:r>
        <w:rPr>
          <w:rFonts w:hint="eastAsia"/>
          <w:lang w:val="en-US" w:eastAsia="zh-CN"/>
        </w:rPr>
        <w:t>核算凝胶理论用量（</w:t>
      </w:r>
      <m:oMath>
        <m:sSub>
          <m:sSubPr>
            <m:ctrlPr>
              <w:rPr>
                <w:rFonts w:hint="default" w:ascii="Cambria Math" w:hAnsi="Cambria Math"/>
                <w:lang w:val="en-US" w:eastAsia="zh-CN"/>
              </w:rPr>
            </m:ctrlPr>
          </m:sSubPr>
          <m:e>
            <m:r>
              <m:rPr>
                <m:nor/>
                <m:sty m:val="p"/>
              </m:rPr>
              <w:rPr>
                <w:rFonts w:hint="default" w:ascii="Times New Roman" w:hAnsi="Times New Roman"/>
                <w:b w:val="0"/>
                <w:i w:val="0"/>
                <w:lang w:val="en-US" w:eastAsia="zh-CN"/>
              </w:rPr>
              <m:t>W</m:t>
            </m:r>
            <m:ctrlPr>
              <w:rPr>
                <w:rFonts w:hint="default" w:ascii="Cambria Math" w:hAnsi="Cambria Math"/>
                <w:lang w:val="en-US" w:eastAsia="zh-CN"/>
              </w:rPr>
            </m:ctrlPr>
          </m:e>
          <m:sub>
            <m:r>
              <m:rPr>
                <m:nor/>
                <m:sty m:val="p"/>
              </m:rPr>
              <w:rPr>
                <w:rFonts w:hint="default" w:ascii="Times New Roman" w:hAnsi="Times New Roman"/>
                <w:b w:val="0"/>
                <w:i w:val="0"/>
                <w:lang w:val="en-US" w:eastAsia="zh-CN"/>
              </w:rPr>
              <m:t>g</m:t>
            </m:r>
            <m:ctrlPr>
              <w:rPr>
                <w:rFonts w:hint="default" w:ascii="Cambria Math" w:hAnsi="Cambria Math"/>
                <w:lang w:val="en-US" w:eastAsia="zh-CN"/>
              </w:rPr>
            </m:ctrlPr>
          </m:sub>
        </m:sSub>
      </m:oMath>
      <w:r>
        <w:rPr>
          <w:rFonts w:hint="eastAsia"/>
          <w:lang w:val="en-US" w:eastAsia="zh-CN"/>
        </w:rPr>
        <w:t>，kg/亩）按公式（2）计算：</w:t>
      </w:r>
    </w:p>
    <w:p w14:paraId="2BCAE279">
      <w:pPr>
        <w:pStyle w:val="60"/>
        <w:spacing w:line="240" w:lineRule="auto"/>
        <w:rPr>
          <w:rFonts w:hint="eastAsia" w:ascii="宋体" w:hAnsi="宋体" w:eastAsia="宋体" w:cs="宋体"/>
          <w:b w:val="0"/>
          <w:bCs w:val="0"/>
          <w:sz w:val="21"/>
          <w:szCs w:val="21"/>
          <w:lang w:val="en-US" w:eastAsia="zh-CN"/>
        </w:rPr>
      </w:pPr>
      <m:oMathPara>
        <m:oMath>
          <m:eqArr>
            <m:eqArrPr>
              <m:maxDist m:val="1"/>
              <m:ctrlPr>
                <w:rPr>
                  <w:rFonts w:hint="default" w:ascii="Cambria Math" w:hAnsi="Cambria Math" w:cs="Times New Roman"/>
                  <w:bCs w:val="0"/>
                  <w:i/>
                  <w:sz w:val="21"/>
                  <w:szCs w:val="21"/>
                  <w:lang w:val="en-US" w:eastAsia="zh-CN"/>
                </w:rPr>
              </m:ctrlPr>
            </m:eqArrPr>
            <m:e>
              <m:sSub>
                <m:sSubPr>
                  <m:ctrlPr>
                    <w:rPr>
                      <w:rFonts w:hint="default" w:ascii="Cambria Math" w:hAnsi="Cambria Math" w:cs="Times New Roman"/>
                      <w:bCs w:val="0"/>
                      <w:i/>
                      <w:sz w:val="21"/>
                      <w:szCs w:val="21"/>
                      <w:lang w:val="en-US"/>
                    </w:rPr>
                  </m:ctrlPr>
                </m:sSubPr>
                <m:e>
                  <m:r>
                    <m:rPr>
                      <m:nor/>
                    </m:rPr>
                    <w:rPr>
                      <w:rFonts w:hint="default" w:ascii="Times New Roman" w:hAnsi="Times New Roman" w:cs="Times New Roman"/>
                      <w:bCs w:val="0"/>
                      <w:i/>
                      <w:sz w:val="21"/>
                      <w:szCs w:val="21"/>
                      <w:lang w:val="en-US" w:eastAsia="zh-CN"/>
                    </w:rPr>
                    <m:t>W</m:t>
                  </m:r>
                  <m:ctrlPr>
                    <w:rPr>
                      <w:rFonts w:hint="default" w:ascii="Cambria Math" w:hAnsi="Cambria Math" w:cs="Times New Roman"/>
                      <w:bCs w:val="0"/>
                      <w:i/>
                      <w:sz w:val="21"/>
                      <w:szCs w:val="21"/>
                      <w:lang w:val="en-US"/>
                    </w:rPr>
                  </m:ctrlPr>
                </m:e>
                <m:sub>
                  <m:r>
                    <m:rPr>
                      <m:nor/>
                    </m:rPr>
                    <w:rPr>
                      <w:rFonts w:hint="default" w:ascii="Times New Roman" w:hAnsi="Times New Roman" w:cs="Times New Roman"/>
                      <w:bCs w:val="0"/>
                      <w:i/>
                      <w:sz w:val="21"/>
                      <w:szCs w:val="21"/>
                      <w:lang w:val="en-US" w:eastAsia="zh-CN"/>
                    </w:rPr>
                    <m:t>g</m:t>
                  </m:r>
                  <m:ctrlPr>
                    <w:rPr>
                      <w:rFonts w:hint="default" w:ascii="Cambria Math" w:hAnsi="Cambria Math" w:cs="Times New Roman"/>
                      <w:bCs w:val="0"/>
                      <w:i/>
                      <w:sz w:val="21"/>
                      <w:szCs w:val="21"/>
                      <w:lang w:val="en-US"/>
                    </w:rPr>
                  </m:ctrlPr>
                </m:sub>
              </m:sSub>
              <m:r>
                <m:rPr>
                  <m:nor/>
                  <m:sty m:val="p"/>
                </m:rPr>
                <w:rPr>
                  <w:rFonts w:hint="default" w:ascii="Times New Roman" w:hAnsi="Times New Roman" w:cs="Times New Roman"/>
                  <w:b w:val="0"/>
                  <w:bCs w:val="0"/>
                  <w:i w:val="0"/>
                  <w:sz w:val="21"/>
                  <w:szCs w:val="21"/>
                  <w:lang w:val="en-US" w:eastAsia="zh-CN"/>
                </w:rPr>
                <m:t>=</m:t>
              </m:r>
              <m:f>
                <m:fPr>
                  <m:ctrlPr>
                    <w:rPr>
                      <w:rFonts w:hint="default" w:ascii="Cambria Math" w:hAnsi="Cambria Math" w:cs="Times New Roman"/>
                      <w:bCs w:val="0"/>
                      <w:i/>
                      <w:sz w:val="21"/>
                      <w:szCs w:val="21"/>
                      <w:lang w:val="en-US" w:eastAsia="zh-CN"/>
                    </w:rPr>
                  </m:ctrlPr>
                </m:fPr>
                <m:num>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Q</m:t>
                      </m:r>
                      <m:ctrlPr>
                        <w:rPr>
                          <w:rFonts w:hint="default" w:ascii="Cambria Math" w:hAnsi="Cambria Math" w:cs="Times New Roman"/>
                          <w:bCs w:val="0"/>
                          <w:i/>
                          <w:sz w:val="21"/>
                          <w:szCs w:val="21"/>
                          <w:lang w:val="en-US" w:eastAsia="zh-CN"/>
                        </w:rPr>
                      </m:ctrlPr>
                    </m:e>
                    <m:sub>
                      <m:r>
                        <m:rPr>
                          <m:nor/>
                        </m:rPr>
                        <w:rPr>
                          <w:rFonts w:hint="default" w:ascii="Times New Roman" w:hAnsi="Times New Roman" w:cs="Times New Roman"/>
                          <w:bCs w:val="0"/>
                          <w:i/>
                          <w:sz w:val="21"/>
                          <w:szCs w:val="21"/>
                          <w:lang w:val="en-US" w:eastAsia="zh-CN"/>
                        </w:rPr>
                        <m:t>Na</m:t>
                      </m:r>
                      <m:ctrlPr>
                        <w:rPr>
                          <w:rFonts w:hint="default" w:ascii="Cambria Math" w:hAnsi="Cambria Math" w:cs="Times New Roman"/>
                          <w:bCs w:val="0"/>
                          <w:i/>
                          <w:sz w:val="21"/>
                          <w:szCs w:val="21"/>
                          <w:lang w:val="en-US" w:eastAsia="zh-CN"/>
                        </w:rPr>
                      </m:ctrlPr>
                    </m:sub>
                  </m:sSub>
                  <m:r>
                    <m:rPr>
                      <m:nor/>
                      <m:sty m:val="p"/>
                    </m:rPr>
                    <w:rPr>
                      <w:rFonts w:hint="default" w:ascii="Times New Roman" w:hAnsi="Times New Roman" w:cs="Times New Roman"/>
                      <w:b w:val="0"/>
                      <w:bCs w:val="0"/>
                      <w:i w:val="0"/>
                      <w:sz w:val="21"/>
                      <w:szCs w:val="21"/>
                      <w:lang w:val="en-US"/>
                    </w:rPr>
                    <m:t>×</m:t>
                  </m:r>
                  <m:r>
                    <m:rPr>
                      <m:nor/>
                    </m:rPr>
                    <w:rPr>
                      <w:rFonts w:hint="default" w:ascii="Times New Roman" w:hAnsi="Times New Roman" w:cs="Times New Roman"/>
                      <w:bCs w:val="0"/>
                      <w:i/>
                      <w:sz w:val="21"/>
                      <w:szCs w:val="21"/>
                      <w:lang w:val="en-US" w:eastAsia="zh-CN"/>
                    </w:rPr>
                    <m:t>K</m:t>
                  </m:r>
                  <m:ctrlPr>
                    <w:rPr>
                      <w:rFonts w:hint="default" w:ascii="Cambria Math" w:hAnsi="Cambria Math" w:cs="Times New Roman"/>
                      <w:bCs w:val="0"/>
                      <w:i/>
                      <w:sz w:val="21"/>
                      <w:szCs w:val="21"/>
                      <w:lang w:val="en-US" w:eastAsia="zh-CN"/>
                    </w:rPr>
                  </m:ctrlPr>
                </m:num>
                <m:den>
                  <m:r>
                    <m:rPr>
                      <m:nor/>
                    </m:rPr>
                    <w:rPr>
                      <w:rFonts w:hint="default" w:ascii="Times New Roman" w:hAnsi="Times New Roman" w:cs="Times New Roman"/>
                      <w:bCs w:val="0"/>
                      <w:i/>
                      <w:sz w:val="21"/>
                      <w:szCs w:val="21"/>
                      <w:lang w:val="en-US"/>
                    </w:rPr>
                    <m:t>η</m:t>
                  </m:r>
                  <m:ctrlPr>
                    <w:rPr>
                      <w:rFonts w:hint="default" w:ascii="Cambria Math" w:hAnsi="Cambria Math" w:cs="Times New Roman"/>
                      <w:bCs w:val="0"/>
                      <w:i/>
                      <w:sz w:val="21"/>
                      <w:szCs w:val="21"/>
                      <w:lang w:val="en-US" w:eastAsia="zh-CN"/>
                    </w:rPr>
                  </m:ctrlPr>
                </m:den>
              </m:f>
              <m:r>
                <m:rPr>
                  <m:sty m:val="p"/>
                </m:rPr>
                <w:rPr>
                  <w:rFonts w:hint="default" w:ascii="Cambria Math" w:hAnsi="Cambria Math" w:cs="Times New Roman"/>
                  <w:sz w:val="21"/>
                  <w:szCs w:val="21"/>
                  <w:lang w:val="en-US" w:eastAsia="zh-CN"/>
                </w:rPr>
                <m:t>#</m:t>
              </m:r>
              <m:r>
                <m:rPr>
                  <m:sty m:val="p"/>
                </m:rPr>
                <w:rPr>
                  <w:rFonts w:hint="eastAsia" w:ascii="Cambria Math" w:hAnsi="Cambria Math" w:cs="Times New Roman"/>
                  <w:sz w:val="21"/>
                  <w:szCs w:val="21"/>
                  <w:lang w:val="en-US" w:eastAsia="zh-CN"/>
                </w:rPr>
                <m:t>·························</m:t>
              </m:r>
              <m:r>
                <m:rPr>
                  <m:nor/>
                  <m:sty m:val="p"/>
                </m:rPr>
                <w:rPr>
                  <w:rFonts w:hint="default" w:ascii="Times New Roman" w:hAnsi="Times New Roman" w:cs="Times New Roman"/>
                  <w:b w:val="0"/>
                  <w:bCs w:val="0"/>
                  <w:i w:val="0"/>
                  <w:sz w:val="21"/>
                  <w:szCs w:val="21"/>
                  <w:lang w:val="en-US" w:eastAsia="zh-CN"/>
                </w:rPr>
                <m:t>（2）</m:t>
              </m:r>
              <m:ctrlPr>
                <w:rPr>
                  <w:rFonts w:hint="default" w:ascii="Cambria Math" w:hAnsi="Cambria Math" w:cs="Times New Roman"/>
                  <w:bCs w:val="0"/>
                  <w:i/>
                  <w:sz w:val="21"/>
                  <w:szCs w:val="21"/>
                  <w:lang w:val="en-US" w:eastAsia="zh-CN"/>
                </w:rPr>
              </m:ctrlPr>
            </m:e>
          </m:eqArr>
        </m:oMath>
      </m:oMathPara>
    </w:p>
    <w:p w14:paraId="3F6121B3">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式中：</w:t>
      </w:r>
    </w:p>
    <w:p w14:paraId="668E56F0">
      <w:pPr>
        <w:pStyle w:val="60"/>
        <w:spacing w:line="240" w:lineRule="auto"/>
        <w:rPr>
          <w:rFonts w:hint="eastAsia" w:ascii="宋体" w:hAnsi="宋体" w:eastAsia="宋体" w:cs="宋体"/>
          <w:b w:val="0"/>
          <w:bCs w:val="0"/>
          <w:sz w:val="21"/>
          <w:szCs w:val="21"/>
          <w:lang w:val="en-US" w:eastAsia="zh-CN"/>
        </w:rPr>
      </w:pPr>
      <m:oMath>
        <m:r>
          <m:rPr>
            <m:nor/>
          </m:rPr>
          <w:rPr>
            <w:rFonts w:hint="default" w:ascii="Times New Roman" w:hAnsi="Times New Roman" w:cs="Times New Roman"/>
            <w:bCs w:val="0"/>
            <w:i/>
            <w:sz w:val="21"/>
            <w:szCs w:val="21"/>
            <w:lang w:val="en-US" w:eastAsia="zh-CN"/>
          </w:rPr>
          <m:t>K</m:t>
        </m:r>
      </m:oMath>
      <w:r>
        <w:rPr>
          <w:rFonts w:hint="eastAsia" w:ascii="宋体" w:hAnsi="宋体" w:eastAsia="宋体" w:cs="宋体"/>
          <w:b w:val="0"/>
          <w:bCs w:val="0"/>
          <w:sz w:val="21"/>
          <w:szCs w:val="21"/>
          <w:lang w:val="en-US" w:eastAsia="zh-CN"/>
        </w:rPr>
        <w:t>——安全富余系数，轻度盐碱地取1.2，中度和重度取1.3～1.5；</w:t>
      </w:r>
    </w:p>
    <w:p w14:paraId="4BF426A7">
      <w:pPr>
        <w:pStyle w:val="60"/>
        <w:spacing w:line="240" w:lineRule="auto"/>
        <w:rPr>
          <w:rFonts w:hint="eastAsia" w:ascii="宋体" w:hAnsi="宋体" w:eastAsia="宋体" w:cs="宋体"/>
          <w:b w:val="0"/>
          <w:bCs w:val="0"/>
          <w:sz w:val="21"/>
          <w:szCs w:val="21"/>
          <w:lang w:val="en-US" w:eastAsia="zh-CN"/>
        </w:rPr>
      </w:pPr>
      <m:oMath>
        <m:r>
          <m:rPr>
            <m:nor/>
          </m:rPr>
          <w:rPr>
            <w:rFonts w:hint="default" w:ascii="Times New Roman" w:hAnsi="Times New Roman" w:cs="Times New Roman"/>
            <w:bCs w:val="0"/>
            <w:i/>
            <w:sz w:val="21"/>
            <w:szCs w:val="21"/>
            <w:lang w:val="en-US"/>
          </w:rPr>
          <m:t>η</m:t>
        </m:r>
      </m:oMath>
      <w:r>
        <w:rPr>
          <w:rFonts w:hint="eastAsia" w:ascii="宋体" w:hAnsi="宋体" w:eastAsia="宋体" w:cs="宋体"/>
          <w:b w:val="0"/>
          <w:bCs w:val="0"/>
          <w:sz w:val="21"/>
          <w:szCs w:val="21"/>
          <w:lang w:val="en-US" w:eastAsia="zh-CN"/>
        </w:rPr>
        <w:t>——凝胶产品标定的钠离子吸附容量（kg/kg），应由产品合格证明提供</w:t>
      </w:r>
      <w:r>
        <w:rPr>
          <w:rFonts w:hint="eastAsia" w:hAnsi="宋体" w:cs="宋体"/>
          <w:b w:val="0"/>
          <w:bCs w:val="0"/>
          <w:sz w:val="21"/>
          <w:szCs w:val="21"/>
          <w:lang w:val="en-US" w:eastAsia="zh-CN"/>
        </w:rPr>
        <w:t>。</w:t>
      </w:r>
    </w:p>
    <w:p w14:paraId="330551A0">
      <w:pPr>
        <w:pStyle w:val="178"/>
        <w:numPr>
          <w:ilvl w:val="0"/>
          <w:numId w:val="39"/>
        </w:numPr>
        <w:bidi w:val="0"/>
        <w:rPr>
          <w:rFonts w:hint="eastAsia" w:ascii="宋体" w:hAnsi="宋体" w:eastAsia="宋体" w:cs="宋体"/>
          <w:b w:val="0"/>
          <w:bCs w:val="0"/>
          <w:sz w:val="21"/>
          <w:szCs w:val="21"/>
          <w:lang w:val="en-US" w:eastAsia="zh-CN"/>
        </w:rPr>
      </w:pPr>
      <w:r>
        <w:rPr>
          <w:rFonts w:hint="eastAsia"/>
          <w:lang w:val="en-US" w:eastAsia="zh-CN"/>
        </w:rPr>
        <w:t>确定最终基施用量：</w:t>
      </w:r>
      <w:r>
        <w:rPr>
          <w:rFonts w:hint="eastAsia" w:ascii="宋体" w:hAnsi="宋体" w:eastAsia="宋体" w:cs="宋体"/>
          <w:b w:val="0"/>
          <w:bCs w:val="0"/>
          <w:sz w:val="21"/>
          <w:szCs w:val="21"/>
          <w:lang w:val="en-US" w:eastAsia="zh-CN"/>
        </w:rPr>
        <w:t>按公式（2）计算出的</w:t>
      </w:r>
      <w:r>
        <w:rPr>
          <w:rFonts w:hint="eastAsia"/>
          <w:lang w:val="en-US" w:eastAsia="zh-CN"/>
        </w:rPr>
        <w:t>凝胶理论用量</w:t>
      </w:r>
      <m:oMath>
        <m:sSub>
          <m:sSubPr>
            <m:ctrlPr>
              <w:rPr>
                <w:rFonts w:hint="default" w:ascii="Cambria Math" w:hAnsi="Cambria Math"/>
                <w:lang w:val="en-US" w:eastAsia="zh-CN"/>
              </w:rPr>
            </m:ctrlPr>
          </m:sSubPr>
          <m:e>
            <m:r>
              <m:rPr>
                <m:nor/>
                <m:sty m:val="p"/>
              </m:rPr>
              <w:rPr>
                <w:rFonts w:hint="default" w:ascii="Times New Roman" w:hAnsi="Times New Roman"/>
                <w:b w:val="0"/>
                <w:i w:val="0"/>
                <w:lang w:val="en-US" w:eastAsia="zh-CN"/>
              </w:rPr>
              <m:t>W</m:t>
            </m:r>
            <m:ctrlPr>
              <w:rPr>
                <w:rFonts w:hint="default" w:ascii="Cambria Math" w:hAnsi="Cambria Math"/>
                <w:lang w:val="en-US" w:eastAsia="zh-CN"/>
              </w:rPr>
            </m:ctrlPr>
          </m:e>
          <m:sub>
            <m:r>
              <m:rPr>
                <m:nor/>
                <m:sty m:val="p"/>
              </m:rPr>
              <w:rPr>
                <w:rFonts w:hint="default" w:ascii="Times New Roman" w:hAnsi="Times New Roman"/>
                <w:b w:val="0"/>
                <w:i w:val="0"/>
                <w:lang w:val="en-US" w:eastAsia="zh-CN"/>
              </w:rPr>
              <m:t>g</m:t>
            </m:r>
            <m:ctrlPr>
              <w:rPr>
                <w:rFonts w:hint="default" w:ascii="Cambria Math" w:hAnsi="Cambria Math"/>
                <w:lang w:val="en-US" w:eastAsia="zh-CN"/>
              </w:rPr>
            </m:ctrlPr>
          </m:sub>
        </m:sSub>
      </m:oMath>
      <w:r>
        <w:rPr>
          <w:rFonts w:hint="eastAsia" w:ascii="宋体" w:hAnsi="宋体" w:eastAsia="宋体" w:cs="宋体"/>
          <w:b w:val="0"/>
          <w:bCs w:val="0"/>
          <w:sz w:val="21"/>
          <w:szCs w:val="21"/>
          <w:lang w:val="en-US" w:eastAsia="zh-CN"/>
        </w:rPr>
        <w:t>应在表2规定的基施用量范围内</w:t>
      </w:r>
      <w:r>
        <w:rPr>
          <w:rFonts w:hint="eastAsia" w:hAnsi="宋体" w:cs="宋体"/>
          <w:b w:val="0"/>
          <w:bCs w:val="0"/>
          <w:sz w:val="21"/>
          <w:szCs w:val="21"/>
          <w:lang w:val="en-US" w:eastAsia="zh-CN"/>
        </w:rPr>
        <w:t>，</w:t>
      </w:r>
      <w:r>
        <w:rPr>
          <w:rFonts w:hint="eastAsia" w:ascii="宋体" w:hAnsi="宋体" w:eastAsia="宋体" w:cs="宋体"/>
          <w:b w:val="0"/>
          <w:bCs w:val="0"/>
          <w:sz w:val="21"/>
          <w:szCs w:val="21"/>
          <w:lang w:val="en-US" w:eastAsia="zh-CN"/>
        </w:rPr>
        <w:t>砂质土壤宜取下限，黏重土壤宜取上限，年度总用量不应超过限值。</w:t>
      </w:r>
    </w:p>
    <w:p w14:paraId="74032F46">
      <w:pPr>
        <w:pStyle w:val="263"/>
        <w:bidi w:val="0"/>
        <w:rPr>
          <w:rFonts w:hint="eastAsia"/>
          <w:lang w:val="en-US" w:eastAsia="zh-CN"/>
        </w:rPr>
      </w:pPr>
      <w:r>
        <w:rPr>
          <w:rFonts w:hint="eastAsia"/>
          <w:lang w:val="en-US" w:eastAsia="zh-CN"/>
        </w:rPr>
        <w:t>改良凝胶基准用量范围（干粉）</w:t>
      </w:r>
    </w:p>
    <w:tbl>
      <w:tblPr>
        <w:tblStyle w:val="29"/>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114"/>
        <w:gridCol w:w="1871"/>
        <w:gridCol w:w="2303"/>
        <w:gridCol w:w="2087"/>
        <w:gridCol w:w="1979"/>
      </w:tblGrid>
      <w:tr w14:paraId="6125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tblHeader/>
          <w:jc w:val="center"/>
        </w:trPr>
        <w:tc>
          <w:tcPr>
            <w:tcW w:w="0" w:type="auto"/>
            <w:shd w:val="clear" w:color="auto" w:fill="auto"/>
            <w:vAlign w:val="center"/>
          </w:tcPr>
          <w:p w14:paraId="5BA52708">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盐碱等级</w:t>
            </w:r>
          </w:p>
        </w:tc>
        <w:tc>
          <w:tcPr>
            <w:tcW w:w="0" w:type="auto"/>
            <w:shd w:val="clear" w:color="auto" w:fill="auto"/>
            <w:vAlign w:val="center"/>
          </w:tcPr>
          <w:p w14:paraId="6951621D">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基施用量（kg/亩）</w:t>
            </w:r>
          </w:p>
        </w:tc>
        <w:tc>
          <w:tcPr>
            <w:tcW w:w="0" w:type="auto"/>
            <w:shd w:val="clear" w:color="auto" w:fill="auto"/>
            <w:vAlign w:val="center"/>
          </w:tcPr>
          <w:p w14:paraId="1798E58A">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单次追施用量（kg/亩）</w:t>
            </w:r>
          </w:p>
        </w:tc>
        <w:tc>
          <w:tcPr>
            <w:tcW w:w="0" w:type="auto"/>
            <w:shd w:val="clear" w:color="auto" w:fill="auto"/>
            <w:vAlign w:val="center"/>
          </w:tcPr>
          <w:p w14:paraId="4E9718ED">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年度总上限（kg/亩）</w:t>
            </w:r>
          </w:p>
        </w:tc>
        <w:tc>
          <w:tcPr>
            <w:tcW w:w="0" w:type="auto"/>
            <w:shd w:val="clear" w:color="auto" w:fill="auto"/>
            <w:vAlign w:val="center"/>
          </w:tcPr>
          <w:p w14:paraId="5FA780D3">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年度追施频次（次）</w:t>
            </w:r>
          </w:p>
        </w:tc>
      </w:tr>
      <w:tr w14:paraId="02080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jc w:val="center"/>
        </w:trPr>
        <w:tc>
          <w:tcPr>
            <w:tcW w:w="0" w:type="auto"/>
            <w:shd w:val="clear" w:color="auto" w:fill="auto"/>
            <w:vAlign w:val="center"/>
          </w:tcPr>
          <w:p w14:paraId="1BC42C79">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轻度盐碱地</w:t>
            </w:r>
          </w:p>
        </w:tc>
        <w:tc>
          <w:tcPr>
            <w:tcW w:w="0" w:type="auto"/>
            <w:shd w:val="clear" w:color="auto" w:fill="auto"/>
            <w:vAlign w:val="center"/>
          </w:tcPr>
          <w:p w14:paraId="6D7ACEBA">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20～30</w:t>
            </w:r>
          </w:p>
        </w:tc>
        <w:tc>
          <w:tcPr>
            <w:tcW w:w="0" w:type="auto"/>
            <w:shd w:val="clear" w:color="auto" w:fill="auto"/>
            <w:vAlign w:val="center"/>
          </w:tcPr>
          <w:p w14:paraId="2ABDBA69">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5～10</w:t>
            </w:r>
          </w:p>
        </w:tc>
        <w:tc>
          <w:tcPr>
            <w:tcW w:w="0" w:type="auto"/>
            <w:shd w:val="clear" w:color="auto" w:fill="auto"/>
            <w:vAlign w:val="center"/>
          </w:tcPr>
          <w:p w14:paraId="3F4885EA">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40</w:t>
            </w:r>
          </w:p>
        </w:tc>
        <w:tc>
          <w:tcPr>
            <w:tcW w:w="0" w:type="auto"/>
            <w:shd w:val="clear" w:color="auto" w:fill="auto"/>
            <w:vAlign w:val="center"/>
          </w:tcPr>
          <w:p w14:paraId="0274FEF3">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1～2</w:t>
            </w:r>
          </w:p>
        </w:tc>
      </w:tr>
      <w:tr w14:paraId="62B3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jc w:val="center"/>
        </w:trPr>
        <w:tc>
          <w:tcPr>
            <w:tcW w:w="0" w:type="auto"/>
            <w:shd w:val="clear" w:color="auto" w:fill="auto"/>
            <w:vAlign w:val="center"/>
          </w:tcPr>
          <w:p w14:paraId="2FD7B24C">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中度盐碱地</w:t>
            </w:r>
          </w:p>
        </w:tc>
        <w:tc>
          <w:tcPr>
            <w:tcW w:w="0" w:type="auto"/>
            <w:shd w:val="clear" w:color="auto" w:fill="auto"/>
            <w:vAlign w:val="center"/>
          </w:tcPr>
          <w:p w14:paraId="6F13B3D2">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30～50</w:t>
            </w:r>
          </w:p>
        </w:tc>
        <w:tc>
          <w:tcPr>
            <w:tcW w:w="0" w:type="auto"/>
            <w:shd w:val="clear" w:color="auto" w:fill="auto"/>
            <w:vAlign w:val="center"/>
          </w:tcPr>
          <w:p w14:paraId="5DBAEC06">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8～15</w:t>
            </w:r>
          </w:p>
        </w:tc>
        <w:tc>
          <w:tcPr>
            <w:tcW w:w="0" w:type="auto"/>
            <w:shd w:val="clear" w:color="auto" w:fill="auto"/>
            <w:vAlign w:val="center"/>
          </w:tcPr>
          <w:p w14:paraId="7B66F92E">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60</w:t>
            </w:r>
          </w:p>
        </w:tc>
        <w:tc>
          <w:tcPr>
            <w:tcW w:w="0" w:type="auto"/>
            <w:shd w:val="clear" w:color="auto" w:fill="auto"/>
            <w:vAlign w:val="center"/>
          </w:tcPr>
          <w:p w14:paraId="77F65AC3">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2～3</w:t>
            </w:r>
          </w:p>
        </w:tc>
      </w:tr>
      <w:tr w14:paraId="67FF2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jc w:val="center"/>
        </w:trPr>
        <w:tc>
          <w:tcPr>
            <w:tcW w:w="0" w:type="auto"/>
            <w:shd w:val="clear" w:color="auto" w:fill="auto"/>
            <w:vAlign w:val="center"/>
          </w:tcPr>
          <w:p w14:paraId="4709654C">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重度盐碱地</w:t>
            </w:r>
          </w:p>
        </w:tc>
        <w:tc>
          <w:tcPr>
            <w:tcW w:w="0" w:type="auto"/>
            <w:shd w:val="clear" w:color="auto" w:fill="auto"/>
            <w:vAlign w:val="center"/>
          </w:tcPr>
          <w:p w14:paraId="5E9A14E6">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50～60</w:t>
            </w:r>
          </w:p>
        </w:tc>
        <w:tc>
          <w:tcPr>
            <w:tcW w:w="0" w:type="auto"/>
            <w:shd w:val="clear" w:color="auto" w:fill="auto"/>
            <w:vAlign w:val="center"/>
          </w:tcPr>
          <w:p w14:paraId="22228BDF">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10～20</w:t>
            </w:r>
          </w:p>
        </w:tc>
        <w:tc>
          <w:tcPr>
            <w:tcW w:w="0" w:type="auto"/>
            <w:shd w:val="clear" w:color="auto" w:fill="auto"/>
            <w:vAlign w:val="center"/>
          </w:tcPr>
          <w:p w14:paraId="4BD7134C">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80</w:t>
            </w:r>
          </w:p>
        </w:tc>
        <w:tc>
          <w:tcPr>
            <w:tcW w:w="0" w:type="auto"/>
            <w:shd w:val="clear" w:color="auto" w:fill="auto"/>
            <w:vAlign w:val="center"/>
          </w:tcPr>
          <w:p w14:paraId="42A54297">
            <w:pPr>
              <w:keepNext w:val="0"/>
              <w:keepLines w:val="0"/>
              <w:widowControl/>
              <w:suppressLineNumbers w:val="0"/>
              <w:spacing w:line="240" w:lineRule="auto"/>
              <w:jc w:val="center"/>
              <w:rPr>
                <w:rFonts w:hint="eastAsia" w:ascii="宋体" w:hAnsi="宋体" w:eastAsia="宋体" w:cs="宋体"/>
                <w:b w:val="0"/>
                <w:bCs w:val="0"/>
                <w:kern w:val="0"/>
                <w:sz w:val="18"/>
                <w:szCs w:val="18"/>
                <w:lang w:val="en-US" w:eastAsia="zh-CN" w:bidi="ar"/>
              </w:rPr>
            </w:pPr>
            <w:r>
              <w:rPr>
                <w:rFonts w:hint="eastAsia" w:ascii="宋体" w:hAnsi="宋体" w:eastAsia="宋体" w:cs="宋体"/>
                <w:b w:val="0"/>
                <w:bCs w:val="0"/>
                <w:kern w:val="0"/>
                <w:sz w:val="18"/>
                <w:szCs w:val="18"/>
                <w:lang w:val="en-US" w:eastAsia="zh-CN" w:bidi="ar"/>
              </w:rPr>
              <w:t>3</w:t>
            </w:r>
          </w:p>
        </w:tc>
      </w:tr>
    </w:tbl>
    <w:p w14:paraId="18DB6013">
      <w:pPr>
        <w:pStyle w:val="109"/>
        <w:spacing w:after="120" w:afterLines="50"/>
        <w:ind w:left="0"/>
        <w:jc w:val="both"/>
        <w:rPr>
          <w:rFonts w:hint="eastAsia"/>
          <w:lang w:val="en-US" w:eastAsia="zh-CN"/>
        </w:rPr>
      </w:pPr>
      <w:bookmarkStart w:id="116" w:name="_Toc30904"/>
      <w:r>
        <w:rPr>
          <w:rFonts w:hint="eastAsia"/>
          <w:lang w:val="en-US" w:eastAsia="zh-CN"/>
        </w:rPr>
        <w:t>基施</w:t>
      </w:r>
      <w:bookmarkEnd w:id="116"/>
    </w:p>
    <w:p w14:paraId="19C05815">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改良凝胶可与腐熟有机肥、腐殖酸预混，不得与高浓度磷肥、钠盐类肥料提前混配。</w:t>
      </w:r>
    </w:p>
    <w:p w14:paraId="707775B5">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eastAsia="宋体" w:cs="Times New Roman"/>
          <w:sz w:val="21"/>
          <w:lang w:val="en-US" w:eastAsia="zh-CN" w:bidi="ar-SA"/>
        </w:rPr>
        <w:t>应</w:t>
      </w:r>
      <w:r>
        <w:rPr>
          <w:rFonts w:hint="eastAsia" w:ascii="宋体" w:hAnsi="Times New Roman" w:eastAsia="宋体" w:cs="Times New Roman"/>
          <w:sz w:val="21"/>
          <w:lang w:val="en-US" w:eastAsia="zh-CN" w:bidi="ar-SA"/>
        </w:rPr>
        <w:t>采用机械或人工均匀撒施于地表。</w:t>
      </w:r>
    </w:p>
    <w:p w14:paraId="5490E1D6">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撒施后</w:t>
      </w:r>
      <w:r>
        <w:rPr>
          <w:rFonts w:hint="eastAsia" w:ascii="宋体" w:eastAsia="宋体" w:cs="Times New Roman"/>
          <w:sz w:val="21"/>
          <w:lang w:val="en-US" w:eastAsia="zh-CN" w:bidi="ar-SA"/>
        </w:rPr>
        <w:t>应</w:t>
      </w:r>
      <w:r>
        <w:rPr>
          <w:rFonts w:hint="eastAsia" w:ascii="宋体" w:hAnsi="Times New Roman" w:eastAsia="宋体" w:cs="Times New Roman"/>
          <w:sz w:val="21"/>
          <w:lang w:val="en-US" w:eastAsia="zh-CN" w:bidi="ar-SA"/>
        </w:rPr>
        <w:t>立即旋耕，使凝胶均匀分布于0 cm～25 cm土层。</w:t>
      </w:r>
    </w:p>
    <w:p w14:paraId="66CAE62B">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撒施并旋耕完成后，应根据盐碱等级确定灌水等待时间：</w:t>
      </w:r>
    </w:p>
    <w:p w14:paraId="3FBC2CEC">
      <w:pPr>
        <w:pStyle w:val="178"/>
        <w:numPr>
          <w:ilvl w:val="0"/>
          <w:numId w:val="40"/>
        </w:numPr>
        <w:bidi w:val="0"/>
        <w:rPr>
          <w:rFonts w:hint="eastAsia"/>
          <w:lang w:val="en-US" w:eastAsia="zh-CN"/>
        </w:rPr>
      </w:pPr>
      <w:r>
        <w:rPr>
          <w:rFonts w:hint="eastAsia"/>
          <w:lang w:val="en-US" w:eastAsia="zh-CN"/>
        </w:rPr>
        <w:t>轻度盐碱地：旋耕完成后30 min内灌水；</w:t>
      </w:r>
    </w:p>
    <w:p w14:paraId="5DDB5219">
      <w:pPr>
        <w:pStyle w:val="178"/>
        <w:numPr>
          <w:ilvl w:val="0"/>
          <w:numId w:val="40"/>
        </w:numPr>
        <w:bidi w:val="0"/>
        <w:rPr>
          <w:rFonts w:hint="eastAsia"/>
          <w:lang w:val="en-US" w:eastAsia="zh-CN"/>
        </w:rPr>
      </w:pPr>
      <w:r>
        <w:rPr>
          <w:rFonts w:hint="eastAsia"/>
          <w:lang w:val="en-US" w:eastAsia="zh-CN"/>
        </w:rPr>
        <w:t>中度盐碱地：旋耕完成后静置30 min～60 min，待凝胶粉末初步吸湿后再灌水；</w:t>
      </w:r>
    </w:p>
    <w:p w14:paraId="5B819833">
      <w:pPr>
        <w:pStyle w:val="178"/>
        <w:numPr>
          <w:ilvl w:val="0"/>
          <w:numId w:val="40"/>
        </w:numPr>
        <w:bidi w:val="0"/>
        <w:rPr>
          <w:rFonts w:hint="eastAsia"/>
          <w:lang w:val="en-US" w:eastAsia="zh-CN"/>
        </w:rPr>
      </w:pPr>
      <w:r>
        <w:rPr>
          <w:rFonts w:hint="eastAsia"/>
          <w:lang w:val="en-US" w:eastAsia="zh-CN"/>
        </w:rPr>
        <w:t>重度盐碱地：旋耕完成后静置不少于2 h，待凝胶充分吸水预溶胀、形成肉眼可见的凝胶碎屑后，再行灌水。</w:t>
      </w:r>
    </w:p>
    <w:p w14:paraId="1079EE85">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灌水定额宜30 m³/亩～40 m³/亩。重度盐碱地初期灌水应采用滴灌或微喷方式，避免大水漫灌造成未成型凝胶颗粒随径流流失；灌水后48 h内排盐沟不应有大量浑浊水流出（若有，应检查排盐沟出口并增设拦网）。</w:t>
      </w:r>
    </w:p>
    <w:p w14:paraId="75CAAAAC">
      <w:pPr>
        <w:pStyle w:val="109"/>
        <w:spacing w:after="120" w:afterLines="50"/>
        <w:ind w:left="0"/>
        <w:jc w:val="both"/>
        <w:rPr>
          <w:rFonts w:hint="eastAsia"/>
          <w:lang w:val="en-US" w:eastAsia="zh-CN"/>
        </w:rPr>
      </w:pPr>
      <w:bookmarkStart w:id="117" w:name="_Toc24307"/>
      <w:r>
        <w:rPr>
          <w:rFonts w:hint="eastAsia"/>
          <w:lang w:val="en-US" w:eastAsia="zh-CN"/>
        </w:rPr>
        <w:t>滴灌追施</w:t>
      </w:r>
      <w:bookmarkEnd w:id="117"/>
    </w:p>
    <w:p w14:paraId="0128B82F">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配制1%～2%凝胶悬液，同步添加配套交联组分。</w:t>
      </w:r>
    </w:p>
    <w:p w14:paraId="7E433A87">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滴灌系统清水预冲管道5 min。</w:t>
      </w:r>
    </w:p>
    <w:p w14:paraId="320458B3">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匀速加注凝胶悬液，滴灌时长宜2 h～3 h。</w:t>
      </w:r>
    </w:p>
    <w:p w14:paraId="3C1CDB4A">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加注完成后清水冲管10 min。</w:t>
      </w:r>
    </w:p>
    <w:p w14:paraId="5C320C6F">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追施宜在苗期、拔节期、膨果期实施，不应在花期施用。</w:t>
      </w:r>
    </w:p>
    <w:p w14:paraId="3D42913E">
      <w:pPr>
        <w:pStyle w:val="109"/>
        <w:spacing w:after="120" w:afterLines="50"/>
        <w:ind w:left="0"/>
        <w:jc w:val="both"/>
        <w:rPr>
          <w:rFonts w:hint="eastAsia"/>
          <w:lang w:val="en-US" w:eastAsia="zh-CN"/>
        </w:rPr>
      </w:pPr>
      <w:bookmarkStart w:id="118" w:name="_Toc4383"/>
      <w:r>
        <w:rPr>
          <w:rFonts w:hint="eastAsia"/>
          <w:lang w:val="en-US" w:eastAsia="zh-CN"/>
        </w:rPr>
        <w:t>穴施、沟施</w:t>
      </w:r>
      <w:bookmarkEnd w:id="118"/>
    </w:p>
    <w:p w14:paraId="736A6C12">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在树冠投影外侧开挖环形沟或放射穴，深度20 cm～30 cm。</w:t>
      </w:r>
    </w:p>
    <w:p w14:paraId="39A3DD67">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凝胶干粉可与穴土混匀回填，也可灌注凝胶浆液。</w:t>
      </w:r>
    </w:p>
    <w:p w14:paraId="07D9D83F">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覆土厚度不应小于5 cm，覆土后足量浇灌。单次单株干粉用量不应大于0.5 kg。</w:t>
      </w:r>
    </w:p>
    <w:p w14:paraId="66F43CED">
      <w:pPr>
        <w:pStyle w:val="109"/>
        <w:spacing w:after="120" w:afterLines="50"/>
        <w:ind w:left="0"/>
        <w:jc w:val="both"/>
        <w:rPr>
          <w:rFonts w:hint="eastAsia"/>
          <w:lang w:val="en-US" w:eastAsia="zh-CN"/>
        </w:rPr>
      </w:pPr>
      <w:bookmarkStart w:id="119" w:name="_Toc3377"/>
      <w:r>
        <w:rPr>
          <w:rFonts w:hint="eastAsia"/>
          <w:lang w:val="en-US" w:eastAsia="zh-CN"/>
        </w:rPr>
        <w:t>水田施用</w:t>
      </w:r>
      <w:bookmarkEnd w:id="119"/>
    </w:p>
    <w:p w14:paraId="793CEF21">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水相凝胶均匀泼洒，施用后保持浅水层3 d～5 d；7</w:t>
      </w:r>
      <w:r>
        <w:rPr>
          <w:rFonts w:hint="eastAsia" w:hAnsi="宋体" w:cs="宋体"/>
          <w:b w:val="0"/>
          <w:bCs w:val="0"/>
          <w:sz w:val="21"/>
          <w:szCs w:val="21"/>
          <w:lang w:val="en-US" w:eastAsia="zh-CN"/>
        </w:rPr>
        <w:t xml:space="preserve"> </w:t>
      </w:r>
      <w:r>
        <w:rPr>
          <w:rFonts w:hint="eastAsia" w:ascii="宋体" w:hAnsi="宋体" w:eastAsia="宋体" w:cs="宋体"/>
          <w:b w:val="0"/>
          <w:bCs w:val="0"/>
          <w:sz w:val="21"/>
          <w:szCs w:val="21"/>
          <w:lang w:val="en-US" w:eastAsia="zh-CN"/>
        </w:rPr>
        <w:t>d后缓慢排水淋盐，之后常规水田管理。</w:t>
      </w:r>
    </w:p>
    <w:p w14:paraId="20575460">
      <w:pPr>
        <w:pStyle w:val="108"/>
        <w:rPr>
          <w:rFonts w:hint="eastAsia"/>
          <w:lang w:val="en-US" w:eastAsia="zh-CN"/>
        </w:rPr>
      </w:pPr>
      <w:bookmarkStart w:id="120" w:name="_Toc23982"/>
      <w:r>
        <w:rPr>
          <w:rFonts w:hint="eastAsia"/>
          <w:lang w:val="en-US" w:eastAsia="zh-CN"/>
        </w:rPr>
        <w:t>配套农艺管理</w:t>
      </w:r>
      <w:bookmarkEnd w:id="120"/>
    </w:p>
    <w:p w14:paraId="3F5719F3">
      <w:pPr>
        <w:pStyle w:val="109"/>
        <w:spacing w:after="120" w:afterLines="50"/>
        <w:ind w:left="0"/>
        <w:jc w:val="both"/>
        <w:rPr>
          <w:rFonts w:hint="eastAsia"/>
          <w:lang w:val="en-US" w:eastAsia="zh-CN"/>
        </w:rPr>
      </w:pPr>
      <w:bookmarkStart w:id="121" w:name="_Toc26829"/>
      <w:r>
        <w:rPr>
          <w:rFonts w:hint="eastAsia"/>
          <w:lang w:val="en-US" w:eastAsia="zh-CN"/>
        </w:rPr>
        <w:t>灌溉管理</w:t>
      </w:r>
      <w:bookmarkEnd w:id="121"/>
    </w:p>
    <w:p w14:paraId="1D3B6C2D">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凝胶施用后45 d内宜少量多次灌溉；灌溉水矿化度不应大于1 g/L。</w:t>
      </w:r>
    </w:p>
    <w:p w14:paraId="0B1242AC">
      <w:pPr>
        <w:pStyle w:val="109"/>
        <w:spacing w:after="120" w:afterLines="50"/>
        <w:ind w:left="0"/>
        <w:jc w:val="both"/>
        <w:rPr>
          <w:rFonts w:hint="eastAsia"/>
          <w:lang w:val="en-US" w:eastAsia="zh-CN"/>
        </w:rPr>
      </w:pPr>
      <w:bookmarkStart w:id="122" w:name="_Toc12698"/>
      <w:r>
        <w:rPr>
          <w:rFonts w:hint="eastAsia"/>
          <w:lang w:val="en-US" w:eastAsia="zh-CN"/>
        </w:rPr>
        <w:t>肥料管理</w:t>
      </w:r>
      <w:bookmarkEnd w:id="122"/>
    </w:p>
    <w:p w14:paraId="666208FB">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宜配施腐殖酸、腐熟有机肥；化肥优先选用硫酸钾型肥料，不应大量施用氯化铵、硝酸钠类肥料。凝胶与肥料可同步施用，不应长期高浓度混存。</w:t>
      </w:r>
    </w:p>
    <w:p w14:paraId="2B02B9AF">
      <w:pPr>
        <w:pStyle w:val="109"/>
        <w:spacing w:after="120" w:afterLines="50"/>
        <w:ind w:left="0"/>
        <w:jc w:val="both"/>
        <w:rPr>
          <w:rFonts w:hint="eastAsia"/>
          <w:lang w:val="en-US" w:eastAsia="zh-CN"/>
        </w:rPr>
      </w:pPr>
      <w:bookmarkStart w:id="123" w:name="_Toc14564"/>
      <w:r>
        <w:rPr>
          <w:rFonts w:hint="eastAsia"/>
          <w:lang w:val="en-US" w:eastAsia="zh-CN"/>
        </w:rPr>
        <w:t>植被管理</w:t>
      </w:r>
      <w:bookmarkEnd w:id="123"/>
    </w:p>
    <w:p w14:paraId="13F76DEF">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中度盐碱地宜种植耐盐作物或先锋植物</w:t>
      </w:r>
      <w:r>
        <w:rPr>
          <w:rFonts w:hint="eastAsia" w:hAnsi="宋体" w:cs="宋体"/>
          <w:b w:val="0"/>
          <w:bCs w:val="0"/>
          <w:sz w:val="21"/>
          <w:szCs w:val="21"/>
          <w:lang w:val="en-US" w:eastAsia="zh-CN"/>
        </w:rPr>
        <w:t>（如碱蓬、紫花苜蓿、耐盐棉花、耐盐小麦）</w:t>
      </w:r>
      <w:r>
        <w:rPr>
          <w:rFonts w:hint="eastAsia" w:ascii="宋体" w:hAnsi="宋体" w:eastAsia="宋体" w:cs="宋体"/>
          <w:b w:val="0"/>
          <w:bCs w:val="0"/>
          <w:sz w:val="21"/>
          <w:szCs w:val="21"/>
          <w:lang w:val="en-US" w:eastAsia="zh-CN"/>
        </w:rPr>
        <w:t>。</w:t>
      </w:r>
    </w:p>
    <w:p w14:paraId="1C06AC63">
      <w:pPr>
        <w:pStyle w:val="109"/>
        <w:spacing w:after="120" w:afterLines="50"/>
        <w:ind w:left="0"/>
        <w:jc w:val="both"/>
        <w:rPr>
          <w:rFonts w:hint="eastAsia"/>
          <w:lang w:val="en-US" w:eastAsia="zh-CN"/>
        </w:rPr>
      </w:pPr>
      <w:bookmarkStart w:id="124" w:name="_Toc23907"/>
      <w:r>
        <w:rPr>
          <w:rFonts w:hint="eastAsia"/>
          <w:lang w:val="en-US" w:eastAsia="zh-CN"/>
        </w:rPr>
        <w:t>中耕管理</w:t>
      </w:r>
      <w:bookmarkEnd w:id="124"/>
    </w:p>
    <w:p w14:paraId="072A8462">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表层板结时宜浅中耕，深度5 cm～10 cm；不得扰动成型凝胶改良层。</w:t>
      </w:r>
    </w:p>
    <w:p w14:paraId="61000D4B">
      <w:pPr>
        <w:pStyle w:val="108"/>
        <w:rPr>
          <w:rFonts w:hint="eastAsia"/>
          <w:lang w:val="en-US" w:eastAsia="zh-CN"/>
        </w:rPr>
      </w:pPr>
      <w:bookmarkStart w:id="125" w:name="_Toc25215"/>
      <w:r>
        <w:rPr>
          <w:rFonts w:hint="eastAsia"/>
          <w:lang w:val="en-US" w:eastAsia="zh-CN"/>
        </w:rPr>
        <w:t>监测评价</w:t>
      </w:r>
      <w:bookmarkEnd w:id="125"/>
    </w:p>
    <w:p w14:paraId="494663FB">
      <w:pPr>
        <w:pStyle w:val="109"/>
        <w:spacing w:after="120" w:afterLines="50"/>
        <w:ind w:left="0"/>
        <w:jc w:val="both"/>
        <w:rPr>
          <w:rFonts w:hint="eastAsia"/>
          <w:lang w:val="en-US" w:eastAsia="zh-CN"/>
        </w:rPr>
      </w:pPr>
      <w:bookmarkStart w:id="126" w:name="_Toc22095"/>
      <w:r>
        <w:rPr>
          <w:rFonts w:hint="eastAsia"/>
          <w:lang w:val="en-US" w:eastAsia="zh-CN"/>
        </w:rPr>
        <w:t>监测频次</w:t>
      </w:r>
      <w:bookmarkEnd w:id="126"/>
    </w:p>
    <w:p w14:paraId="771EC15F">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施用前</w:t>
      </w:r>
      <w:r>
        <w:rPr>
          <w:rFonts w:hint="eastAsia" w:hAnsi="宋体" w:cs="宋体"/>
          <w:b w:val="0"/>
          <w:bCs w:val="0"/>
          <w:sz w:val="21"/>
          <w:szCs w:val="21"/>
          <w:lang w:val="en-US" w:eastAsia="zh-CN"/>
        </w:rPr>
        <w:t>应</w:t>
      </w:r>
      <w:r>
        <w:rPr>
          <w:rFonts w:hint="eastAsia" w:ascii="宋体" w:hAnsi="宋体" w:eastAsia="宋体" w:cs="宋体"/>
          <w:b w:val="0"/>
          <w:bCs w:val="0"/>
          <w:sz w:val="21"/>
          <w:szCs w:val="21"/>
          <w:lang w:val="en-US" w:eastAsia="zh-CN"/>
        </w:rPr>
        <w:t>开展本底监测；施用后30 d、60 d开展短期监测；施用后120 d、收获期、翌年春播前开展长期监测。</w:t>
      </w:r>
    </w:p>
    <w:p w14:paraId="6D597CF8">
      <w:pPr>
        <w:pStyle w:val="109"/>
        <w:spacing w:after="120" w:afterLines="50"/>
        <w:ind w:left="0"/>
        <w:jc w:val="both"/>
        <w:rPr>
          <w:rFonts w:hint="eastAsia"/>
          <w:lang w:val="en-US" w:eastAsia="zh-CN"/>
        </w:rPr>
      </w:pPr>
      <w:bookmarkStart w:id="127" w:name="_Toc8361"/>
      <w:r>
        <w:rPr>
          <w:rFonts w:hint="eastAsia"/>
          <w:lang w:val="en-US" w:eastAsia="zh-CN"/>
        </w:rPr>
        <w:t>监测指标</w:t>
      </w:r>
      <w:bookmarkEnd w:id="127"/>
    </w:p>
    <w:p w14:paraId="000C5DDC">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应检测0 cm～20 cm、20 cm～40 cm土层pH、ECe、全盐量、ESP、SAR；宜同步监测作物出苗率、株高、生物量、产量。</w:t>
      </w:r>
    </w:p>
    <w:p w14:paraId="34837B93">
      <w:pPr>
        <w:pStyle w:val="109"/>
        <w:spacing w:after="120" w:afterLines="50"/>
        <w:ind w:left="0"/>
        <w:jc w:val="both"/>
        <w:rPr>
          <w:rFonts w:hint="eastAsia"/>
          <w:lang w:val="en-US" w:eastAsia="zh-CN"/>
        </w:rPr>
      </w:pPr>
      <w:bookmarkStart w:id="128" w:name="_Toc684"/>
      <w:r>
        <w:rPr>
          <w:rFonts w:hint="eastAsia"/>
          <w:lang w:val="en-US" w:eastAsia="zh-CN"/>
        </w:rPr>
        <w:t>达标判定</w:t>
      </w:r>
      <w:bookmarkEnd w:id="128"/>
    </w:p>
    <w:p w14:paraId="65D9648A">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施用</w:t>
      </w:r>
      <w:r>
        <w:rPr>
          <w:rFonts w:hint="eastAsia" w:hAnsi="宋体" w:cs="宋体"/>
          <w:b w:val="0"/>
          <w:bCs w:val="0"/>
          <w:sz w:val="21"/>
          <w:szCs w:val="21"/>
          <w:lang w:val="en-US" w:eastAsia="zh-CN"/>
        </w:rPr>
        <w:t>9</w:t>
      </w:r>
      <w:r>
        <w:rPr>
          <w:rFonts w:hint="eastAsia" w:ascii="宋体" w:hAnsi="宋体" w:eastAsia="宋体" w:cs="宋体"/>
          <w:b w:val="0"/>
          <w:bCs w:val="0"/>
          <w:sz w:val="21"/>
          <w:szCs w:val="21"/>
          <w:lang w:val="en-US" w:eastAsia="zh-CN"/>
        </w:rPr>
        <w:t>0 d后，同时满足以下要求判定为改良达标：</w:t>
      </w:r>
    </w:p>
    <w:p w14:paraId="1D223D12">
      <w:pPr>
        <w:pStyle w:val="178"/>
        <w:numPr>
          <w:ilvl w:val="0"/>
          <w:numId w:val="41"/>
        </w:numPr>
        <w:bidi w:val="0"/>
        <w:rPr>
          <w:rFonts w:hint="eastAsia"/>
          <w:lang w:val="en-US" w:eastAsia="zh-CN"/>
        </w:rPr>
      </w:pPr>
      <w:r>
        <w:rPr>
          <w:rFonts w:hint="eastAsia"/>
          <w:lang w:val="en-US" w:eastAsia="zh-CN"/>
        </w:rPr>
        <w:t>轻度盐碱地：ECe下降≥20%，ESP下降≥15%；</w:t>
      </w:r>
    </w:p>
    <w:p w14:paraId="14C09BEF">
      <w:pPr>
        <w:pStyle w:val="178"/>
        <w:numPr>
          <w:ilvl w:val="0"/>
          <w:numId w:val="41"/>
        </w:numPr>
        <w:bidi w:val="0"/>
        <w:rPr>
          <w:rFonts w:hint="eastAsia"/>
          <w:lang w:val="en-US" w:eastAsia="zh-CN"/>
        </w:rPr>
      </w:pPr>
      <w:r>
        <w:rPr>
          <w:rFonts w:hint="eastAsia"/>
          <w:lang w:val="en-US" w:eastAsia="zh-CN"/>
        </w:rPr>
        <w:t>中度盐碱地：ECe下降≥25%，ESP下降≥20%；</w:t>
      </w:r>
    </w:p>
    <w:p w14:paraId="2B7E54B2">
      <w:pPr>
        <w:pStyle w:val="178"/>
        <w:numPr>
          <w:ilvl w:val="0"/>
          <w:numId w:val="41"/>
        </w:numPr>
        <w:bidi w:val="0"/>
        <w:rPr>
          <w:rFonts w:hint="eastAsia"/>
          <w:lang w:val="en-US" w:eastAsia="zh-CN"/>
        </w:rPr>
      </w:pPr>
      <w:r>
        <w:rPr>
          <w:rFonts w:hint="eastAsia"/>
          <w:lang w:val="en-US" w:eastAsia="zh-CN"/>
        </w:rPr>
        <w:t>土壤pH：下降≥0.3；</w:t>
      </w:r>
    </w:p>
    <w:p w14:paraId="0643B2CA">
      <w:pPr>
        <w:pStyle w:val="178"/>
        <w:numPr>
          <w:ilvl w:val="0"/>
          <w:numId w:val="41"/>
        </w:numPr>
        <w:bidi w:val="0"/>
        <w:rPr>
          <w:rFonts w:hint="eastAsia"/>
          <w:lang w:val="en-US" w:eastAsia="zh-CN"/>
        </w:rPr>
      </w:pPr>
      <w:bookmarkStart w:id="133" w:name="_GoBack"/>
      <w:bookmarkEnd w:id="133"/>
      <w:r>
        <w:rPr>
          <w:rFonts w:hint="eastAsia"/>
          <w:lang w:val="en-US" w:eastAsia="zh-CN"/>
        </w:rPr>
        <w:t>作物出苗率：较空白对照提升≥15%。</w:t>
      </w:r>
    </w:p>
    <w:p w14:paraId="3BA7248B">
      <w:pPr>
        <w:pStyle w:val="60"/>
        <w:spacing w:line="240" w:lineRule="auto"/>
        <w:rPr>
          <w:rFonts w:hint="eastAsia" w:ascii="宋体" w:hAnsi="宋体" w:eastAsia="宋体" w:cs="宋体"/>
          <w:b w:val="0"/>
          <w:bCs w:val="0"/>
          <w:sz w:val="18"/>
          <w:szCs w:val="18"/>
          <w:lang w:val="en-US" w:eastAsia="zh-CN"/>
        </w:rPr>
      </w:pPr>
      <w:r>
        <w:rPr>
          <w:rFonts w:hint="eastAsia" w:ascii="黑体" w:hAnsi="黑体" w:eastAsia="黑体" w:cs="黑体"/>
          <w:b w:val="0"/>
          <w:bCs w:val="0"/>
          <w:sz w:val="18"/>
          <w:szCs w:val="18"/>
          <w:lang w:val="en-US" w:eastAsia="zh-CN"/>
        </w:rPr>
        <w:t>注：</w:t>
      </w:r>
      <w:r>
        <w:rPr>
          <w:rFonts w:hint="eastAsia" w:ascii="宋体" w:hAnsi="宋体" w:eastAsia="宋体" w:cs="宋体"/>
          <w:b w:val="0"/>
          <w:bCs w:val="0"/>
          <w:sz w:val="18"/>
          <w:szCs w:val="18"/>
          <w:lang w:val="en-US" w:eastAsia="zh-CN"/>
        </w:rPr>
        <w:t>重度盐碱地改良达标指标应通过田间预试验确定。</w:t>
      </w:r>
    </w:p>
    <w:p w14:paraId="519405E0">
      <w:pPr>
        <w:pStyle w:val="109"/>
        <w:spacing w:after="120" w:afterLines="50"/>
        <w:ind w:left="0"/>
        <w:jc w:val="both"/>
        <w:rPr>
          <w:rFonts w:hint="eastAsia"/>
          <w:lang w:val="en-US" w:eastAsia="zh-CN"/>
        </w:rPr>
      </w:pPr>
      <w:bookmarkStart w:id="129" w:name="_Toc16923"/>
      <w:r>
        <w:rPr>
          <w:rFonts w:hint="eastAsia"/>
          <w:lang w:val="en-US" w:eastAsia="zh-CN"/>
        </w:rPr>
        <w:t>台账管理</w:t>
      </w:r>
      <w:bookmarkEnd w:id="129"/>
    </w:p>
    <w:p w14:paraId="04AEB250">
      <w:pPr>
        <w:pStyle w:val="60"/>
        <w:spacing w:line="24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监测记录、检测报告、影像资料应建立台账，台账保存期限不少于3年。</w:t>
      </w:r>
    </w:p>
    <w:p w14:paraId="385DD80C">
      <w:pPr>
        <w:pStyle w:val="108"/>
        <w:rPr>
          <w:rFonts w:hint="eastAsia"/>
          <w:lang w:val="en-US" w:eastAsia="zh-CN"/>
        </w:rPr>
      </w:pPr>
      <w:bookmarkStart w:id="130" w:name="_Toc6484"/>
      <w:r>
        <w:rPr>
          <w:rFonts w:hint="eastAsia"/>
          <w:lang w:val="en-US" w:eastAsia="zh-CN"/>
        </w:rPr>
        <w:t>质量控制</w:t>
      </w:r>
      <w:bookmarkEnd w:id="130"/>
    </w:p>
    <w:p w14:paraId="41EE018E">
      <w:pPr>
        <w:pStyle w:val="166"/>
        <w:keepNext w:val="0"/>
        <w:keepLines w:val="0"/>
        <w:pageBreakBefore w:val="0"/>
        <w:widowControl/>
        <w:kinsoku/>
        <w:wordWrap/>
        <w:overflowPunct/>
        <w:topLinePunct w:val="0"/>
        <w:autoSpaceDE/>
        <w:autoSpaceDN/>
        <w:bidi w:val="0"/>
        <w:adjustRightInd/>
        <w:snapToGrid/>
        <w:spacing w:before="0"/>
        <w:textAlignment w:val="auto"/>
        <w:rPr>
          <w:rFonts w:hint="eastAsia"/>
          <w:lang w:val="en-US" w:eastAsia="zh-CN"/>
        </w:rPr>
      </w:pPr>
      <w:r>
        <w:rPr>
          <w:rFonts w:hint="eastAsia"/>
          <w:lang w:val="en-US" w:eastAsia="zh-CN"/>
        </w:rPr>
        <w:t>施工作业应专人旁站，核查凝胶用量、分散均匀度、灌水时限，并留存施工记录。</w:t>
      </w:r>
    </w:p>
    <w:p w14:paraId="3D0CD4F5">
      <w:pPr>
        <w:pStyle w:val="166"/>
        <w:keepNext w:val="0"/>
        <w:keepLines w:val="0"/>
        <w:pageBreakBefore w:val="0"/>
        <w:widowControl/>
        <w:kinsoku/>
        <w:wordWrap/>
        <w:overflowPunct/>
        <w:topLinePunct w:val="0"/>
        <w:autoSpaceDE/>
        <w:autoSpaceDN/>
        <w:bidi w:val="0"/>
        <w:adjustRightInd/>
        <w:snapToGrid/>
        <w:spacing w:before="0"/>
        <w:textAlignment w:val="auto"/>
        <w:rPr>
          <w:rFonts w:hint="eastAsia"/>
          <w:lang w:val="en-US" w:eastAsia="zh-CN"/>
        </w:rPr>
      </w:pPr>
      <w:r>
        <w:rPr>
          <w:rFonts w:hint="eastAsia"/>
          <w:lang w:val="en-US" w:eastAsia="zh-CN"/>
        </w:rPr>
        <w:t>出现漏施、凝胶团聚堆积时应及时补料混匀。</w:t>
      </w:r>
    </w:p>
    <w:p w14:paraId="58D573A9">
      <w:pPr>
        <w:pStyle w:val="166"/>
        <w:keepNext w:val="0"/>
        <w:keepLines w:val="0"/>
        <w:pageBreakBefore w:val="0"/>
        <w:widowControl/>
        <w:kinsoku/>
        <w:wordWrap/>
        <w:overflowPunct/>
        <w:topLinePunct w:val="0"/>
        <w:autoSpaceDE/>
        <w:autoSpaceDN/>
        <w:bidi w:val="0"/>
        <w:adjustRightInd/>
        <w:snapToGrid/>
        <w:spacing w:before="0"/>
        <w:textAlignment w:val="auto"/>
        <w:rPr>
          <w:rFonts w:hint="eastAsia"/>
          <w:lang w:val="en-US" w:eastAsia="zh-CN"/>
        </w:rPr>
      </w:pPr>
      <w:r>
        <w:rPr>
          <w:rFonts w:hint="eastAsia"/>
          <w:lang w:val="en-US" w:eastAsia="zh-CN"/>
        </w:rPr>
        <w:t>监测数据异常时应复核采样及检测流程，必要时复测。</w:t>
      </w:r>
    </w:p>
    <w:p w14:paraId="6C9EF774">
      <w:pPr>
        <w:pStyle w:val="108"/>
        <w:rPr>
          <w:rFonts w:hint="eastAsia"/>
          <w:lang w:val="en-US" w:eastAsia="zh-CN"/>
        </w:rPr>
      </w:pPr>
      <w:bookmarkStart w:id="131" w:name="_Toc16714"/>
      <w:r>
        <w:rPr>
          <w:rFonts w:hint="eastAsia"/>
          <w:lang w:val="en-US" w:eastAsia="zh-CN"/>
        </w:rPr>
        <w:t>安全与环保</w:t>
      </w:r>
      <w:bookmarkEnd w:id="131"/>
    </w:p>
    <w:p w14:paraId="424AC876">
      <w:pPr>
        <w:pStyle w:val="166"/>
        <w:keepNext w:val="0"/>
        <w:keepLines w:val="0"/>
        <w:pageBreakBefore w:val="0"/>
        <w:widowControl/>
        <w:kinsoku/>
        <w:wordWrap/>
        <w:overflowPunct/>
        <w:topLinePunct w:val="0"/>
        <w:autoSpaceDE/>
        <w:autoSpaceDN/>
        <w:bidi w:val="0"/>
        <w:adjustRightInd/>
        <w:snapToGrid/>
        <w:spacing w:before="0"/>
        <w:textAlignment w:val="auto"/>
        <w:rPr>
          <w:rFonts w:hint="eastAsia"/>
          <w:lang w:val="en-US" w:eastAsia="zh-CN"/>
        </w:rPr>
      </w:pPr>
      <w:r>
        <w:rPr>
          <w:rFonts w:hint="eastAsia"/>
          <w:lang w:val="en-US" w:eastAsia="zh-CN"/>
        </w:rPr>
        <w:t>作业人员宜佩戴防尘口罩、橡胶手套，浆液接触皮肤、眼部应及时清水冲洗。</w:t>
      </w:r>
    </w:p>
    <w:p w14:paraId="24790906">
      <w:pPr>
        <w:pStyle w:val="166"/>
        <w:keepNext w:val="0"/>
        <w:keepLines w:val="0"/>
        <w:pageBreakBefore w:val="0"/>
        <w:widowControl/>
        <w:kinsoku/>
        <w:wordWrap/>
        <w:overflowPunct/>
        <w:topLinePunct w:val="0"/>
        <w:autoSpaceDE/>
        <w:autoSpaceDN/>
        <w:bidi w:val="0"/>
        <w:adjustRightInd/>
        <w:snapToGrid/>
        <w:spacing w:before="0"/>
        <w:textAlignment w:val="auto"/>
        <w:rPr>
          <w:rFonts w:hint="eastAsia"/>
          <w:lang w:val="en-US" w:eastAsia="zh-CN"/>
        </w:rPr>
      </w:pPr>
      <w:r>
        <w:rPr>
          <w:rFonts w:hint="eastAsia"/>
          <w:lang w:val="en-US" w:eastAsia="zh-CN"/>
        </w:rPr>
        <w:t>施工作业应避开强降雨时段。</w:t>
      </w:r>
    </w:p>
    <w:p w14:paraId="1618FDF4">
      <w:pPr>
        <w:pStyle w:val="166"/>
        <w:keepNext w:val="0"/>
        <w:keepLines w:val="0"/>
        <w:pageBreakBefore w:val="0"/>
        <w:widowControl/>
        <w:kinsoku/>
        <w:wordWrap/>
        <w:overflowPunct/>
        <w:topLinePunct w:val="0"/>
        <w:autoSpaceDE/>
        <w:autoSpaceDN/>
        <w:bidi w:val="0"/>
        <w:adjustRightInd/>
        <w:snapToGrid/>
        <w:spacing w:before="0"/>
        <w:textAlignment w:val="auto"/>
        <w:rPr>
          <w:rFonts w:hint="eastAsia"/>
          <w:lang w:val="en-US" w:eastAsia="zh-CN"/>
        </w:rPr>
      </w:pPr>
      <w:r>
        <w:rPr>
          <w:rFonts w:hint="eastAsia"/>
          <w:lang w:val="en-US" w:eastAsia="zh-CN"/>
        </w:rPr>
        <w:t>剩余干粉应回收密封存放，失效凝胶、废弃包装应集中处置，不得就地丢弃。</w:t>
      </w:r>
    </w:p>
    <w:p w14:paraId="4506660F">
      <w:pPr>
        <w:pStyle w:val="166"/>
        <w:keepNext w:val="0"/>
        <w:keepLines w:val="0"/>
        <w:pageBreakBefore w:val="0"/>
        <w:widowControl/>
        <w:kinsoku/>
        <w:wordWrap/>
        <w:overflowPunct/>
        <w:topLinePunct w:val="0"/>
        <w:autoSpaceDE/>
        <w:autoSpaceDN/>
        <w:bidi w:val="0"/>
        <w:adjustRightInd/>
        <w:snapToGrid/>
        <w:spacing w:before="0"/>
        <w:textAlignment w:val="auto"/>
        <w:rPr>
          <w:rFonts w:hint="eastAsia"/>
          <w:lang w:val="en-US" w:eastAsia="zh-CN"/>
        </w:rPr>
      </w:pPr>
      <w:r>
        <w:rPr>
          <w:rFonts w:hint="eastAsia"/>
          <w:lang w:val="en-US" w:eastAsia="zh-CN"/>
        </w:rPr>
        <w:t>不得直接向饮用水源保护区水体投放改良凝胶。</w:t>
      </w:r>
    </w:p>
    <w:p w14:paraId="14BF2E19">
      <w:pPr>
        <w:pStyle w:val="60"/>
        <w:spacing w:line="240" w:lineRule="auto"/>
        <w:rPr>
          <w:rFonts w:hint="eastAsia" w:ascii="宋体" w:hAnsi="宋体" w:eastAsia="宋体" w:cs="宋体"/>
          <w:b w:val="0"/>
          <w:bCs w:val="0"/>
          <w:sz w:val="21"/>
          <w:szCs w:val="21"/>
          <w:lang w:val="en-US" w:eastAsia="zh-CN"/>
        </w:rPr>
      </w:pPr>
    </w:p>
    <w:p w14:paraId="568EED44">
      <w:pPr>
        <w:pStyle w:val="60"/>
        <w:spacing w:line="240" w:lineRule="auto"/>
        <w:rPr>
          <w:rFonts w:hint="eastAsia" w:ascii="宋体" w:hAnsi="宋体" w:eastAsia="宋体" w:cs="宋体"/>
          <w:b w:val="0"/>
          <w:bCs w:val="0"/>
          <w:sz w:val="21"/>
          <w:szCs w:val="21"/>
          <w:lang w:val="en-US" w:eastAsia="zh-CN"/>
        </w:rPr>
      </w:pPr>
    </w:p>
    <w:p w14:paraId="1CC2A06A">
      <w:pPr>
        <w:pStyle w:val="60"/>
        <w:spacing w:line="240" w:lineRule="auto"/>
        <w:rPr>
          <w:rFonts w:hint="eastAsia" w:ascii="宋体" w:hAnsi="宋体" w:eastAsia="宋体" w:cs="宋体"/>
          <w:b w:val="0"/>
          <w:bCs w:val="0"/>
          <w:sz w:val="21"/>
          <w:szCs w:val="21"/>
          <w:lang w:val="en-US" w:eastAsia="zh-CN"/>
        </w:rPr>
      </w:pPr>
    </w:p>
    <w:p w14:paraId="088E261B">
      <w:pPr>
        <w:pStyle w:val="60"/>
        <w:spacing w:line="240" w:lineRule="auto"/>
        <w:rPr>
          <w:rFonts w:hint="eastAsia" w:ascii="宋体" w:hAnsi="宋体" w:eastAsia="宋体" w:cs="宋体"/>
          <w:b w:val="0"/>
          <w:bCs w:val="0"/>
          <w:sz w:val="21"/>
          <w:szCs w:val="21"/>
          <w:lang w:val="en-US" w:eastAsia="zh-CN"/>
        </w:rPr>
      </w:pPr>
    </w:p>
    <w:bookmarkEnd w:id="32"/>
    <w:bookmarkEnd w:id="78"/>
    <w:bookmarkEnd w:id="100"/>
    <w:p w14:paraId="376E0BEE">
      <w:pPr>
        <w:pStyle w:val="60"/>
        <w:ind w:firstLine="0" w:firstLineChars="0"/>
        <w:jc w:val="center"/>
      </w:pPr>
      <w:bookmarkStart w:id="132" w:name="BookMark8"/>
    </w:p>
    <w:p w14:paraId="28E3BD16">
      <w:pPr>
        <w:pStyle w:val="60"/>
        <w:ind w:firstLine="0" w:firstLineChars="0"/>
        <w:jc w:val="center"/>
      </w:pPr>
    </w:p>
    <w:p w14:paraId="78C05647">
      <w:pPr>
        <w:pStyle w:val="60"/>
        <w:ind w:firstLine="0" w:firstLineChars="0"/>
        <w:jc w:val="center"/>
        <w:sectPr>
          <w:headerReference r:id="rId16" w:type="default"/>
          <w:footerReference r:id="rId18" w:type="default"/>
          <w:headerReference r:id="rId17" w:type="even"/>
          <w:footerReference r:id="rId19" w:type="even"/>
          <w:pgSz w:w="11906" w:h="16838"/>
          <w:pgMar w:top="1928" w:right="1134" w:bottom="1134" w:left="1134" w:header="1418" w:footer="1134" w:gutter="283"/>
          <w:pgNumType w:start="1"/>
          <w:cols w:space="0" w:num="1"/>
          <w:formProt w:val="0"/>
          <w:docGrid w:linePitch="312" w:charSpace="0"/>
        </w:sectPr>
      </w:pPr>
      <w:r>
        <w:drawing>
          <wp:inline distT="0" distB="0" distL="0" distR="0">
            <wp:extent cx="1485900" cy="317500"/>
            <wp:effectExtent l="0" t="0" r="0" b="635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2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32"/>
    </w:p>
    <w:p w14:paraId="29A293D7">
      <w:pPr>
        <w:pStyle w:val="60"/>
        <w:spacing w:beforeLines="0" w:afterLines="0"/>
        <w:ind w:firstLine="420"/>
        <w:rPr>
          <w:rFonts w:hint="eastAsia"/>
          <w:sz w:val="21"/>
          <w:szCs w:val="24"/>
        </w:rPr>
      </w:pPr>
      <w:r>
        <mc:AlternateContent>
          <mc:Choice Requires="wps">
            <w:drawing>
              <wp:anchor distT="0" distB="0" distL="114300" distR="114300" simplePos="0" relativeHeight="251669504" behindDoc="0" locked="0" layoutInCell="1" allowOverlap="1">
                <wp:simplePos x="0" y="0"/>
                <wp:positionH relativeFrom="column">
                  <wp:posOffset>4298315</wp:posOffset>
                </wp:positionH>
                <wp:positionV relativeFrom="paragraph">
                  <wp:posOffset>808990</wp:posOffset>
                </wp:positionV>
                <wp:extent cx="2347595" cy="626745"/>
                <wp:effectExtent l="860425" t="0" r="0" b="0"/>
                <wp:wrapNone/>
                <wp:docPr id="343168771" name="文本框 343168771"/>
                <wp:cNvGraphicFramePr/>
                <a:graphic xmlns:a="http://schemas.openxmlformats.org/drawingml/2006/main">
                  <a:graphicData uri="http://schemas.microsoft.com/office/word/2010/wordprocessingShape">
                    <wps:wsp>
                      <wps:cNvSpPr txBox="1"/>
                      <wps:spPr>
                        <a:xfrm rot="5400000" flipV="1">
                          <a:off x="0" y="0"/>
                          <a:ext cx="2347595" cy="626745"/>
                        </a:xfrm>
                        <a:prstGeom prst="rect">
                          <a:avLst/>
                        </a:prstGeom>
                        <a:noFill/>
                        <a:ln w="6350">
                          <a:noFill/>
                        </a:ln>
                        <a:effectLst/>
                      </wps:spPr>
                      <wps:txbx>
                        <w:txbxContent>
                          <w:p w14:paraId="00CBAF44">
                            <w:pPr>
                              <w:rPr>
                                <w:rFonts w:hint="eastAsia" w:eastAsia="黑体"/>
                                <w:lang w:eastAsia="zh-CN"/>
                              </w:rPr>
                            </w:pPr>
                            <w:r>
                              <w:rPr>
                                <w:rFonts w:hint="default" w:ascii="Times New Roman" w:hAnsi="Times New Roman" w:eastAsia="黑体" w:cs="Times New Roman"/>
                                <w:b/>
                                <w:bCs w:val="0"/>
                                <w:sz w:val="32"/>
                                <w:szCs w:val="40"/>
                              </w:rPr>
                              <w:t>T/</w:t>
                            </w:r>
                            <w:r>
                              <w:rPr>
                                <w:rFonts w:hint="default" w:ascii="Times New Roman" w:hAnsi="Times New Roman" w:eastAsia="黑体" w:cs="Times New Roman"/>
                                <w:b/>
                                <w:bCs w:val="0"/>
                                <w:sz w:val="32"/>
                                <w:szCs w:val="40"/>
                                <w:lang w:val="en-US" w:eastAsia="zh-CN"/>
                              </w:rPr>
                              <w:t xml:space="preserve">CWDPA </w:t>
                            </w:r>
                            <w:r>
                              <w:rPr>
                                <w:rFonts w:hint="eastAsia" w:ascii="Times New Roman" w:hAnsi="Times New Roman" w:eastAsia="黑体" w:cs="Times New Roman"/>
                                <w:b/>
                                <w:bCs w:val="0"/>
                                <w:sz w:val="15"/>
                                <w:szCs w:val="15"/>
                                <w:lang w:val="en-US" w:eastAsia="zh-CN"/>
                              </w:rPr>
                              <w:t xml:space="preserve"> </w:t>
                            </w:r>
                            <w:r>
                              <w:rPr>
                                <w:rFonts w:hint="eastAsia" w:ascii="黑体" w:hAnsi="黑体" w:eastAsia="黑体" w:cs="黑体"/>
                                <w:sz w:val="32"/>
                                <w:szCs w:val="40"/>
                                <w:lang w:val="en-US" w:eastAsia="zh-CN"/>
                              </w:rPr>
                              <w:t>XXX</w:t>
                            </w:r>
                            <w:r>
                              <w:rPr>
                                <w:rFonts w:hint="eastAsia" w:ascii="黑体" w:hAnsi="黑体" w:eastAsia="黑体" w:cs="黑体"/>
                                <w:sz w:val="32"/>
                                <w:szCs w:val="40"/>
                              </w:rPr>
                              <w:t>—202</w:t>
                            </w:r>
                            <w:r>
                              <w:rPr>
                                <w:rFonts w:hint="eastAsia" w:ascii="黑体" w:hAnsi="黑体" w:eastAsia="黑体" w:cs="黑体"/>
                                <w:sz w:val="32"/>
                                <w:szCs w:val="40"/>
                                <w:lang w:val="en-US" w:eastAsia="zh-C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flip:y;margin-left:338.45pt;margin-top:63.7pt;height:49.35pt;width:184.85pt;rotation:-5898240f;z-index:251669504;mso-width-relative:page;mso-height-relative:page;" filled="f" stroked="f" coordsize="21600,21600" o:gfxdata="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xbX&#10;xdkAAAAMAQAADwAAAAAAAAABACAAAAAiAAAAZHJzL2Rvd25yZXYueG1sUEsBAhQAFAAAAAgAh07i&#10;QI1Y6+BaAgAAnAQAAA4AAAAAAAAAAQAgAAAAKAEAAGRycy9lMm9Eb2MueG1sUEsFBgAAAAAGAAYA&#10;WQEAAPQFAAAAAA==&#10;">
                <v:fill on="f" focussize="0,0"/>
                <v:stroke on="f" weight="0.5pt"/>
                <v:imagedata o:title=""/>
                <o:lock v:ext="edit" aspectratio="f"/>
                <v:textbox>
                  <w:txbxContent>
                    <w:p w14:paraId="00CBAF44">
                      <w:pPr>
                        <w:rPr>
                          <w:rFonts w:hint="eastAsia" w:eastAsia="黑体"/>
                          <w:lang w:eastAsia="zh-CN"/>
                        </w:rPr>
                      </w:pPr>
                      <w:r>
                        <w:rPr>
                          <w:rFonts w:hint="default" w:ascii="Times New Roman" w:hAnsi="Times New Roman" w:eastAsia="黑体" w:cs="Times New Roman"/>
                          <w:b/>
                          <w:bCs w:val="0"/>
                          <w:sz w:val="32"/>
                          <w:szCs w:val="40"/>
                        </w:rPr>
                        <w:t>T/</w:t>
                      </w:r>
                      <w:r>
                        <w:rPr>
                          <w:rFonts w:hint="default" w:ascii="Times New Roman" w:hAnsi="Times New Roman" w:eastAsia="黑体" w:cs="Times New Roman"/>
                          <w:b/>
                          <w:bCs w:val="0"/>
                          <w:sz w:val="32"/>
                          <w:szCs w:val="40"/>
                          <w:lang w:val="en-US" w:eastAsia="zh-CN"/>
                        </w:rPr>
                        <w:t xml:space="preserve">CWDPA </w:t>
                      </w:r>
                      <w:r>
                        <w:rPr>
                          <w:rFonts w:hint="eastAsia" w:ascii="Times New Roman" w:hAnsi="Times New Roman" w:eastAsia="黑体" w:cs="Times New Roman"/>
                          <w:b/>
                          <w:bCs w:val="0"/>
                          <w:sz w:val="15"/>
                          <w:szCs w:val="15"/>
                          <w:lang w:val="en-US" w:eastAsia="zh-CN"/>
                        </w:rPr>
                        <w:t xml:space="preserve"> </w:t>
                      </w:r>
                      <w:r>
                        <w:rPr>
                          <w:rFonts w:hint="eastAsia" w:ascii="黑体" w:hAnsi="黑体" w:eastAsia="黑体" w:cs="黑体"/>
                          <w:sz w:val="32"/>
                          <w:szCs w:val="40"/>
                          <w:lang w:val="en-US" w:eastAsia="zh-CN"/>
                        </w:rPr>
                        <w:t>XXX</w:t>
                      </w:r>
                      <w:r>
                        <w:rPr>
                          <w:rFonts w:hint="eastAsia" w:ascii="黑体" w:hAnsi="黑体" w:eastAsia="黑体" w:cs="黑体"/>
                          <w:sz w:val="32"/>
                          <w:szCs w:val="40"/>
                        </w:rPr>
                        <w:t>—202</w:t>
                      </w:r>
                      <w:r>
                        <w:rPr>
                          <w:rFonts w:hint="eastAsia" w:ascii="黑体" w:hAnsi="黑体" w:eastAsia="黑体" w:cs="黑体"/>
                          <w:sz w:val="32"/>
                          <w:szCs w:val="40"/>
                          <w:lang w:val="en-US" w:eastAsia="zh-CN"/>
                        </w:rPr>
                        <w:t>6</w:t>
                      </w:r>
                    </w:p>
                  </w:txbxContent>
                </v:textbox>
              </v:shape>
            </w:pict>
          </mc:Fallback>
        </mc:AlternateContent>
      </w:r>
    </w:p>
    <w:p w14:paraId="632885CD">
      <w:pPr>
        <w:pStyle w:val="60"/>
        <w:spacing w:beforeLines="0" w:afterLines="0"/>
        <w:ind w:firstLine="420"/>
        <w:rPr>
          <w:rFonts w:hint="eastAsia"/>
          <w:sz w:val="21"/>
          <w:szCs w:val="24"/>
        </w:rPr>
      </w:pPr>
    </w:p>
    <w:p w14:paraId="201829C8">
      <w:pPr>
        <w:pStyle w:val="60"/>
        <w:spacing w:beforeLines="0" w:afterLines="0"/>
        <w:ind w:firstLine="420"/>
        <w:rPr>
          <w:rFonts w:hint="eastAsia"/>
          <w:sz w:val="21"/>
          <w:szCs w:val="24"/>
        </w:rPr>
      </w:pPr>
    </w:p>
    <w:p w14:paraId="75F026A5">
      <w:pPr>
        <w:tabs>
          <w:tab w:val="left" w:pos="1110"/>
        </w:tabs>
        <w:spacing w:beforeLines="0" w:afterLines="0"/>
        <w:ind w:left="5342" w:right="1543"/>
        <w:jc w:val="left"/>
        <w:rPr>
          <w:rFonts w:hint="default"/>
          <w:sz w:val="21"/>
          <w:szCs w:val="21"/>
        </w:rPr>
      </w:pPr>
      <w:r>
        <w:rPr>
          <w:rFonts w:hint="eastAsia"/>
          <w:sz w:val="21"/>
          <w:szCs w:val="21"/>
        </w:rPr>
        <w:tab/>
      </w:r>
    </w:p>
    <w:p w14:paraId="4EAE3043">
      <w:pPr>
        <w:spacing w:beforeLines="0" w:afterLines="0"/>
        <w:ind w:left="5342" w:right="1543"/>
        <w:jc w:val="center"/>
        <w:rPr>
          <w:rFonts w:hint="default"/>
          <w:sz w:val="21"/>
          <w:szCs w:val="21"/>
        </w:rPr>
      </w:pPr>
    </w:p>
    <w:p w14:paraId="33C99B97">
      <w:pPr>
        <w:spacing w:beforeLines="0" w:afterLines="0"/>
        <w:ind w:left="5342" w:right="1543"/>
        <w:jc w:val="center"/>
        <w:rPr>
          <w:rFonts w:hint="default"/>
          <w:sz w:val="21"/>
          <w:szCs w:val="21"/>
        </w:rPr>
      </w:pPr>
    </w:p>
    <w:p w14:paraId="078749BD">
      <w:pPr>
        <w:spacing w:beforeLines="0" w:afterLines="0"/>
        <w:ind w:left="5342" w:right="1543"/>
        <w:jc w:val="center"/>
        <w:rPr>
          <w:rFonts w:hint="default"/>
          <w:sz w:val="21"/>
          <w:szCs w:val="21"/>
        </w:rPr>
      </w:pPr>
    </w:p>
    <w:p w14:paraId="1019DDC5">
      <w:pPr>
        <w:spacing w:beforeLines="0" w:afterLines="0"/>
        <w:ind w:left="5342" w:right="1543"/>
        <w:jc w:val="center"/>
        <w:rPr>
          <w:rFonts w:hint="default"/>
          <w:sz w:val="21"/>
          <w:szCs w:val="21"/>
        </w:rPr>
      </w:pPr>
    </w:p>
    <w:p w14:paraId="5823F605">
      <w:pPr>
        <w:spacing w:beforeLines="0" w:afterLines="0"/>
        <w:ind w:left="5342" w:right="1543"/>
        <w:jc w:val="center"/>
        <w:rPr>
          <w:rFonts w:hint="default"/>
          <w:sz w:val="21"/>
          <w:szCs w:val="21"/>
        </w:rPr>
      </w:pPr>
    </w:p>
    <w:p w14:paraId="21066067">
      <w:pPr>
        <w:spacing w:beforeLines="0" w:afterLines="0"/>
        <w:ind w:left="5342" w:right="1543"/>
        <w:jc w:val="center"/>
        <w:rPr>
          <w:rFonts w:hint="default"/>
          <w:sz w:val="21"/>
          <w:szCs w:val="21"/>
        </w:rPr>
      </w:pPr>
    </w:p>
    <w:p w14:paraId="3975E4E1">
      <w:pPr>
        <w:spacing w:beforeLines="0" w:afterLines="0"/>
        <w:ind w:left="5342" w:right="1543"/>
        <w:jc w:val="center"/>
        <w:rPr>
          <w:rFonts w:hint="default"/>
          <w:sz w:val="21"/>
          <w:szCs w:val="21"/>
        </w:rPr>
      </w:pPr>
    </w:p>
    <w:p w14:paraId="1D7EFF3D">
      <w:pPr>
        <w:spacing w:beforeLines="0" w:afterLines="0"/>
        <w:ind w:left="5342" w:right="1543"/>
        <w:jc w:val="center"/>
        <w:rPr>
          <w:rFonts w:hint="default"/>
          <w:sz w:val="21"/>
          <w:szCs w:val="21"/>
        </w:rPr>
      </w:pPr>
    </w:p>
    <w:p w14:paraId="48EF6844">
      <w:pPr>
        <w:spacing w:beforeLines="0" w:afterLines="0"/>
        <w:ind w:left="5342" w:right="1543"/>
        <w:jc w:val="center"/>
        <w:rPr>
          <w:rFonts w:hint="default"/>
          <w:sz w:val="21"/>
          <w:szCs w:val="21"/>
        </w:rPr>
      </w:pPr>
    </w:p>
    <w:p w14:paraId="42E46B21">
      <w:pPr>
        <w:spacing w:beforeLines="0" w:afterLines="0"/>
        <w:ind w:left="5342" w:right="1543"/>
        <w:jc w:val="center"/>
        <w:rPr>
          <w:rFonts w:hint="default"/>
          <w:sz w:val="21"/>
          <w:szCs w:val="21"/>
        </w:rPr>
      </w:pPr>
    </w:p>
    <w:p w14:paraId="674B6B69">
      <w:pPr>
        <w:spacing w:beforeLines="0" w:afterLines="0"/>
        <w:ind w:left="5342" w:right="1543"/>
        <w:jc w:val="center"/>
        <w:rPr>
          <w:rFonts w:hint="default"/>
          <w:sz w:val="21"/>
          <w:szCs w:val="21"/>
        </w:rPr>
      </w:pPr>
    </w:p>
    <w:p w14:paraId="4C12C3A9">
      <w:pPr>
        <w:spacing w:beforeLines="0" w:afterLines="0"/>
        <w:ind w:left="5342" w:right="1543"/>
        <w:jc w:val="center"/>
        <w:rPr>
          <w:rFonts w:hint="default"/>
          <w:sz w:val="21"/>
          <w:szCs w:val="21"/>
        </w:rPr>
      </w:pPr>
    </w:p>
    <w:p w14:paraId="24D573AA">
      <w:pPr>
        <w:spacing w:beforeLines="0" w:afterLines="0"/>
        <w:ind w:left="5342" w:right="1543"/>
        <w:jc w:val="center"/>
        <w:rPr>
          <w:rFonts w:hint="default"/>
          <w:sz w:val="21"/>
          <w:szCs w:val="21"/>
        </w:rPr>
      </w:pPr>
    </w:p>
    <w:p w14:paraId="035F739C">
      <w:pPr>
        <w:spacing w:beforeLines="0" w:afterLines="0"/>
        <w:ind w:left="5342" w:right="1543"/>
        <w:jc w:val="center"/>
        <w:rPr>
          <w:rFonts w:hint="default"/>
          <w:sz w:val="21"/>
          <w:szCs w:val="21"/>
        </w:rPr>
      </w:pPr>
    </w:p>
    <w:p w14:paraId="3FDCBDCE">
      <w:pPr>
        <w:spacing w:beforeLines="0" w:afterLines="0"/>
        <w:ind w:left="5342" w:right="1543"/>
        <w:jc w:val="center"/>
        <w:rPr>
          <w:rFonts w:hint="default"/>
          <w:sz w:val="21"/>
          <w:szCs w:val="21"/>
        </w:rPr>
      </w:pPr>
    </w:p>
    <w:p w14:paraId="0084A5E9">
      <w:pPr>
        <w:spacing w:beforeLines="0" w:afterLines="0"/>
        <w:ind w:right="1543"/>
        <w:rPr>
          <w:rFonts w:hint="default"/>
          <w:sz w:val="21"/>
          <w:szCs w:val="21"/>
        </w:rPr>
      </w:pPr>
    </w:p>
    <w:p w14:paraId="10579657">
      <w:pPr>
        <w:spacing w:beforeLines="0" w:afterLines="0"/>
        <w:ind w:right="1543" w:firstLine="5670" w:firstLineChars="2700"/>
        <w:rPr>
          <w:rFonts w:hint="default"/>
          <w:sz w:val="21"/>
          <w:szCs w:val="21"/>
        </w:rPr>
      </w:pPr>
      <w:r>
        <w:rPr>
          <w:rFonts w:hint="eastAsia" w:ascii="宋体"/>
          <w:sz w:val="21"/>
          <w:szCs w:val="21"/>
        </w:rPr>
        <w:t xml:space="preserve">中 华 人 民 共 和 国 </w:t>
      </w:r>
    </w:p>
    <w:p w14:paraId="4943F931">
      <w:pPr>
        <w:spacing w:beforeLines="0" w:afterLines="0"/>
        <w:ind w:right="1543" w:firstLine="6090" w:firstLineChars="2900"/>
        <w:rPr>
          <w:rFonts w:hint="default"/>
          <w:sz w:val="21"/>
          <w:szCs w:val="21"/>
        </w:rPr>
      </w:pPr>
      <w:r>
        <w:rPr>
          <w:rFonts w:hint="eastAsia" w:ascii="宋体"/>
          <w:sz w:val="21"/>
          <w:szCs w:val="21"/>
        </w:rPr>
        <w:t>团 体 标 准</w:t>
      </w:r>
    </w:p>
    <w:p w14:paraId="64DAFE38">
      <w:pPr>
        <w:spacing w:beforeLines="0" w:afterLines="0"/>
        <w:jc w:val="center"/>
        <w:rPr>
          <w:rFonts w:hint="eastAsia" w:ascii="黑体" w:eastAsia="黑体"/>
          <w:sz w:val="21"/>
          <w:szCs w:val="21"/>
        </w:rPr>
      </w:pPr>
      <w:r>
        <w:rPr>
          <w:rFonts w:hint="eastAsia" w:ascii="黑体" w:eastAsia="黑体"/>
          <w:sz w:val="21"/>
          <w:szCs w:val="21"/>
        </w:rPr>
        <w:t xml:space="preserve">                                      </w:t>
      </w:r>
      <w:r>
        <w:rPr>
          <w:rFonts w:hint="eastAsia" w:ascii="黑体" w:eastAsia="黑体"/>
          <w:sz w:val="21"/>
          <w:szCs w:val="21"/>
          <w:lang w:eastAsia="zh-CN"/>
        </w:rPr>
        <w:t>盐碱地改良凝胶田间应用技术规程</w:t>
      </w:r>
    </w:p>
    <w:p w14:paraId="134C0D46">
      <w:pPr>
        <w:spacing w:beforeLines="0" w:afterLines="0"/>
        <w:ind w:firstLine="5880" w:firstLineChars="2800"/>
        <w:jc w:val="left"/>
        <w:rPr>
          <w:rFonts w:hint="eastAsia" w:ascii="宋体" w:hAnsi="宋体" w:eastAsia="宋体" w:cs="宋体"/>
          <w:sz w:val="21"/>
          <w:szCs w:val="21"/>
          <w:lang w:val="en-US" w:eastAsia="zh-CN"/>
        </w:rPr>
      </w:pPr>
      <w:r>
        <w:rPr>
          <w:rFonts w:hint="eastAsia" w:ascii="宋体" w:hAnsi="宋体" w:cs="宋体"/>
          <w:sz w:val="21"/>
          <w:szCs w:val="21"/>
        </w:rPr>
        <w:t>T/C</w:t>
      </w:r>
      <w:r>
        <w:rPr>
          <w:rFonts w:hint="eastAsia" w:ascii="宋体" w:hAnsi="宋体" w:cs="宋体"/>
          <w:sz w:val="21"/>
          <w:szCs w:val="21"/>
          <w:lang w:val="en-US" w:eastAsia="zh-CN"/>
        </w:rPr>
        <w:t>WDPA</w:t>
      </w:r>
      <w:r>
        <w:rPr>
          <w:rFonts w:hint="eastAsia" w:ascii="宋体" w:hAnsi="宋体" w:cs="宋体"/>
          <w:sz w:val="21"/>
          <w:szCs w:val="21"/>
        </w:rPr>
        <w:t xml:space="preserve"> </w:t>
      </w:r>
      <w:r>
        <w:rPr>
          <w:rFonts w:hint="eastAsia" w:ascii="宋体" w:hAnsi="宋体" w:cs="宋体"/>
          <w:sz w:val="21"/>
          <w:szCs w:val="21"/>
          <w:lang w:val="en-US" w:eastAsia="zh-CN"/>
        </w:rPr>
        <w:t>XXX</w:t>
      </w:r>
      <w:r>
        <w:rPr>
          <w:rFonts w:hint="eastAsia" w:ascii="宋体" w:hAnsi="宋体" w:cs="宋体"/>
          <w:sz w:val="21"/>
          <w:szCs w:val="21"/>
        </w:rPr>
        <w:t>―202</w:t>
      </w:r>
      <w:r>
        <w:rPr>
          <w:rFonts w:hint="eastAsia" w:ascii="宋体" w:hAnsi="宋体" w:cs="宋体"/>
          <w:sz w:val="21"/>
          <w:szCs w:val="21"/>
          <w:lang w:val="en-US" w:eastAsia="zh-CN"/>
        </w:rPr>
        <w:t>6</w:t>
      </w:r>
    </w:p>
    <w:p w14:paraId="6332E93A">
      <w:pPr>
        <w:spacing w:beforeLines="0" w:afterLines="0"/>
        <w:ind w:left="3800"/>
        <w:jc w:val="center"/>
        <w:rPr>
          <w:rFonts w:hint="default"/>
          <w:sz w:val="21"/>
          <w:szCs w:val="21"/>
        </w:rPr>
      </w:pPr>
      <w:r>
        <w:rPr>
          <w:rFonts w:hint="default"/>
          <w:w w:val="99"/>
          <w:sz w:val="21"/>
          <w:szCs w:val="21"/>
        </w:rPr>
        <w:t>*</w:t>
      </w:r>
    </w:p>
    <w:p w14:paraId="01847B99">
      <w:pPr>
        <w:spacing w:beforeLines="0" w:afterLines="0"/>
        <w:ind w:left="5335" w:firstLine="420" w:firstLineChars="200"/>
        <w:rPr>
          <w:rFonts w:hint="default"/>
          <w:sz w:val="21"/>
          <w:szCs w:val="21"/>
        </w:rPr>
      </w:pPr>
      <w:r>
        <w:rPr>
          <w:rFonts w:hint="eastAsia" w:ascii="宋体"/>
          <w:sz w:val="21"/>
          <w:szCs w:val="21"/>
        </w:rPr>
        <w:t>中国西部开发促进会</w:t>
      </w:r>
    </w:p>
    <w:p w14:paraId="19EBF051">
      <w:pPr>
        <w:spacing w:beforeLines="0" w:afterLines="0"/>
        <w:ind w:left="4603" w:right="807"/>
        <w:jc w:val="center"/>
        <w:rPr>
          <w:rFonts w:hint="default"/>
          <w:sz w:val="21"/>
          <w:szCs w:val="21"/>
        </w:rPr>
      </w:pPr>
      <w:r>
        <w:rPr>
          <w:rFonts w:hint="eastAsia" w:ascii="宋体"/>
          <w:sz w:val="21"/>
          <w:szCs w:val="21"/>
        </w:rPr>
        <w:t xml:space="preserve">网址 </w:t>
      </w:r>
      <w:r>
        <w:rPr>
          <w:rFonts w:hint="default" w:ascii="Times New Roman" w:hAnsi="Times New Roman"/>
          <w:sz w:val="21"/>
          <w:szCs w:val="21"/>
        </w:rPr>
        <w:t>www.cwdpa.org.cn</w:t>
      </w:r>
    </w:p>
    <w:p w14:paraId="19F2B497">
      <w:pPr>
        <w:spacing w:beforeLines="0" w:afterLines="0"/>
        <w:ind w:left="3800"/>
        <w:jc w:val="center"/>
        <w:rPr>
          <w:rFonts w:hint="default"/>
          <w:sz w:val="21"/>
          <w:szCs w:val="21"/>
        </w:rPr>
      </w:pPr>
      <w:r>
        <w:rPr>
          <w:rFonts w:hint="default"/>
          <w:w w:val="99"/>
          <w:sz w:val="21"/>
          <w:szCs w:val="21"/>
        </w:rPr>
        <w:t>*</w:t>
      </w:r>
    </w:p>
    <w:p w14:paraId="2E433EE0">
      <w:pPr>
        <w:tabs>
          <w:tab w:val="left" w:pos="5426"/>
          <w:tab w:val="left" w:pos="6057"/>
          <w:tab w:val="left" w:pos="7106"/>
        </w:tabs>
        <w:spacing w:beforeLines="0" w:afterLines="0"/>
        <w:ind w:left="3799"/>
        <w:jc w:val="center"/>
        <w:rPr>
          <w:rFonts w:hint="eastAsia" w:ascii="宋体" w:hAnsi="宋体" w:cs="宋体"/>
          <w:sz w:val="21"/>
          <w:szCs w:val="21"/>
        </w:rPr>
      </w:pPr>
      <w:r>
        <w:rPr>
          <w:rFonts w:hint="eastAsia" w:ascii="宋体" w:hAnsi="宋体" w:cs="宋体"/>
          <w:sz w:val="21"/>
          <w:szCs w:val="21"/>
        </w:rPr>
        <w:t>开本 880×1230</w:t>
      </w:r>
      <w:r>
        <w:rPr>
          <w:rFonts w:hint="eastAsia" w:ascii="宋体" w:hAnsi="宋体" w:cs="宋体"/>
          <w:sz w:val="21"/>
          <w:szCs w:val="21"/>
        </w:rPr>
        <w:tab/>
      </w:r>
      <w:r>
        <w:rPr>
          <w:rFonts w:hint="eastAsia" w:ascii="宋体" w:hAnsi="宋体" w:cs="宋体"/>
          <w:sz w:val="21"/>
          <w:szCs w:val="21"/>
        </w:rPr>
        <w:t>1/6</w:t>
      </w:r>
      <w:r>
        <w:rPr>
          <w:rFonts w:hint="eastAsia" w:ascii="宋体" w:hAnsi="宋体" w:cs="宋体"/>
          <w:sz w:val="21"/>
          <w:szCs w:val="21"/>
        </w:rPr>
        <w:tab/>
      </w:r>
      <w:r>
        <w:rPr>
          <w:rFonts w:hint="eastAsia" w:ascii="宋体" w:hAnsi="宋体" w:cs="宋体"/>
          <w:sz w:val="21"/>
          <w:szCs w:val="21"/>
        </w:rPr>
        <w:t>印张1.5字数</w:t>
      </w:r>
      <w:r>
        <w:rPr>
          <w:rFonts w:hint="eastAsia" w:ascii="宋体" w:hAnsi="宋体" w:cs="宋体"/>
          <w:sz w:val="21"/>
          <w:szCs w:val="21"/>
          <w:lang w:val="en-US" w:eastAsia="zh-CN"/>
        </w:rPr>
        <w:t>3.4</w:t>
      </w:r>
      <w:r>
        <w:rPr>
          <w:rFonts w:hint="eastAsia" w:ascii="宋体" w:hAnsi="宋体" w:cs="宋体"/>
          <w:sz w:val="21"/>
          <w:szCs w:val="21"/>
        </w:rPr>
        <w:t>千字</w:t>
      </w:r>
    </w:p>
    <w:p w14:paraId="30D9D426">
      <w:pPr>
        <w:tabs>
          <w:tab w:val="left" w:pos="5846"/>
        </w:tabs>
        <w:spacing w:beforeLines="0" w:afterLines="0"/>
        <w:ind w:left="3798"/>
        <w:jc w:val="center"/>
        <w:rPr>
          <w:rFonts w:hint="eastAsia" w:ascii="宋体" w:hAnsi="宋体" w:cs="宋体"/>
          <w:sz w:val="21"/>
          <w:szCs w:val="21"/>
        </w:rPr>
      </w:pPr>
      <w:r>
        <w:rPr>
          <w:rFonts w:hint="eastAsia" w:ascii="宋体" w:hAnsi="宋体" w:cs="宋体"/>
          <w:sz w:val="21"/>
          <w:szCs w:val="21"/>
        </w:rPr>
        <w:t>202</w:t>
      </w:r>
      <w:r>
        <w:rPr>
          <w:rFonts w:hint="eastAsia" w:ascii="宋体" w:hAnsi="宋体" w:cs="宋体"/>
          <w:sz w:val="21"/>
          <w:szCs w:val="21"/>
          <w:lang w:val="en-US" w:eastAsia="zh-CN"/>
        </w:rPr>
        <w:t>6</w:t>
      </w:r>
      <w:r>
        <w:rPr>
          <w:rFonts w:hint="eastAsia" w:ascii="宋体" w:hAnsi="宋体" w:cs="宋体"/>
          <w:sz w:val="21"/>
          <w:szCs w:val="21"/>
        </w:rPr>
        <w:t>年</w:t>
      </w:r>
      <w:r>
        <w:rPr>
          <w:rFonts w:hint="eastAsia" w:ascii="宋体" w:hAnsi="宋体" w:cs="宋体"/>
          <w:sz w:val="21"/>
          <w:szCs w:val="21"/>
          <w:lang w:val="en-US" w:eastAsia="zh-CN"/>
        </w:rPr>
        <w:t>5</w:t>
      </w:r>
      <w:r>
        <w:rPr>
          <w:rFonts w:hint="eastAsia" w:ascii="宋体" w:hAnsi="宋体" w:cs="宋体"/>
          <w:sz w:val="21"/>
          <w:szCs w:val="21"/>
        </w:rPr>
        <w:t>月第一版</w:t>
      </w:r>
      <w:r>
        <w:rPr>
          <w:rFonts w:hint="eastAsia" w:ascii="宋体" w:hAnsi="宋体" w:cs="宋体"/>
          <w:sz w:val="21"/>
          <w:szCs w:val="21"/>
        </w:rPr>
        <w:tab/>
      </w:r>
      <w:r>
        <w:rPr>
          <w:rFonts w:hint="eastAsia" w:ascii="宋体" w:hAnsi="宋体" w:cs="宋体"/>
          <w:sz w:val="21"/>
          <w:szCs w:val="21"/>
        </w:rPr>
        <w:t>2026年</w:t>
      </w:r>
      <w:r>
        <w:rPr>
          <w:rFonts w:hint="eastAsia" w:ascii="宋体" w:hAnsi="宋体" w:cs="宋体"/>
          <w:sz w:val="21"/>
          <w:szCs w:val="21"/>
          <w:lang w:val="en-US" w:eastAsia="zh-CN"/>
        </w:rPr>
        <w:t>5</w:t>
      </w:r>
      <w:r>
        <w:rPr>
          <w:rFonts w:hint="eastAsia" w:ascii="宋体" w:hAnsi="宋体" w:cs="宋体"/>
          <w:sz w:val="21"/>
          <w:szCs w:val="21"/>
        </w:rPr>
        <w:t>月第一次印刷</w:t>
      </w:r>
    </w:p>
    <w:p w14:paraId="7DF6A568">
      <w:pPr>
        <w:spacing w:beforeLines="0" w:afterLines="0"/>
        <w:ind w:left="3800"/>
        <w:jc w:val="center"/>
        <w:rPr>
          <w:rFonts w:hint="default"/>
          <w:w w:val="99"/>
          <w:sz w:val="21"/>
          <w:szCs w:val="21"/>
        </w:rPr>
      </w:pPr>
      <w:r>
        <w:rPr>
          <w:rFonts w:hint="default"/>
          <w:sz w:val="21"/>
          <w:szCs w:val="21"/>
        </w:rPr>
        <w:drawing>
          <wp:anchor distT="0" distB="0" distL="114300" distR="114300" simplePos="0" relativeHeight="251666432" behindDoc="0" locked="0" layoutInCell="1" allowOverlap="1">
            <wp:simplePos x="0" y="0"/>
            <wp:positionH relativeFrom="column">
              <wp:posOffset>-67310</wp:posOffset>
            </wp:positionH>
            <wp:positionV relativeFrom="paragraph">
              <wp:posOffset>252730</wp:posOffset>
            </wp:positionV>
            <wp:extent cx="2268855" cy="601345"/>
            <wp:effectExtent l="0" t="0" r="17145" b="8255"/>
            <wp:wrapNone/>
            <wp:docPr id="16" name="图片 3" descr="C:/Users/Administrator/Desktop/tiaoxingma/脱硫废水.png脱硫废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C:/Users/Administrator/Desktop/tiaoxingma/脱硫废水.png脱硫废水"/>
                    <pic:cNvPicPr>
                      <a:picLocks noChangeAspect="1"/>
                    </pic:cNvPicPr>
                  </pic:nvPicPr>
                  <pic:blipFill>
                    <a:blip r:embed="rId26"/>
                    <a:srcRect l="528" r="528"/>
                    <a:stretch>
                      <a:fillRect/>
                    </a:stretch>
                  </pic:blipFill>
                  <pic:spPr>
                    <a:xfrm>
                      <a:off x="0" y="0"/>
                      <a:ext cx="2268855" cy="601345"/>
                    </a:xfrm>
                    <a:prstGeom prst="rect">
                      <a:avLst/>
                    </a:prstGeom>
                    <a:noFill/>
                    <a:ln>
                      <a:noFill/>
                    </a:ln>
                  </pic:spPr>
                </pic:pic>
              </a:graphicData>
            </a:graphic>
          </wp:anchor>
        </w:drawing>
      </w:r>
      <w:r>
        <w:rPr>
          <w:rFonts w:hint="default"/>
          <w:w w:val="99"/>
          <w:sz w:val="21"/>
          <w:szCs w:val="21"/>
        </w:rPr>
        <w:t>*</w:t>
      </w:r>
    </w:p>
    <w:p w14:paraId="210934C4">
      <w:pPr>
        <w:spacing w:beforeLines="0" w:afterLines="0"/>
        <w:ind w:left="3800"/>
        <w:jc w:val="center"/>
        <w:rPr>
          <w:rFonts w:hint="eastAsia" w:ascii="黑体" w:eastAsia="黑体"/>
          <w:spacing w:val="-12"/>
          <w:sz w:val="21"/>
          <w:szCs w:val="21"/>
        </w:rPr>
      </w:pPr>
      <w:r>
        <w:rPr>
          <w:rFonts w:hint="eastAsia" w:ascii="黑体" w:eastAsia="黑体"/>
          <w:sz w:val="21"/>
          <w:szCs w:val="21"/>
        </w:rPr>
        <w:t>如有印装差错</w:t>
      </w:r>
      <w:r>
        <w:rPr>
          <w:rFonts w:hint="eastAsia" w:ascii="黑体" w:eastAsia="黑体"/>
          <w:sz w:val="21"/>
          <w:szCs w:val="21"/>
        </w:rPr>
        <w:tab/>
      </w:r>
      <w:r>
        <w:rPr>
          <w:rFonts w:hint="eastAsia" w:ascii="黑体" w:eastAsia="黑体"/>
          <w:sz w:val="21"/>
          <w:szCs w:val="21"/>
        </w:rPr>
        <w:t>由中国西部开发促进会调</w:t>
      </w:r>
      <w:r>
        <w:rPr>
          <w:rFonts w:hint="eastAsia" w:ascii="黑体" w:eastAsia="黑体"/>
          <w:spacing w:val="-12"/>
          <w:sz w:val="21"/>
          <w:szCs w:val="21"/>
        </w:rPr>
        <w:t>换</w:t>
      </w:r>
    </w:p>
    <w:p w14:paraId="0003FC36">
      <w:pPr>
        <w:tabs>
          <w:tab w:val="left" w:pos="5551"/>
          <w:tab w:val="left" w:pos="5971"/>
        </w:tabs>
        <w:spacing w:beforeLines="0" w:afterLines="0"/>
        <w:ind w:left="4502" w:right="703"/>
        <w:jc w:val="center"/>
        <w:rPr>
          <w:rFonts w:hint="eastAsia" w:ascii="黑体" w:eastAsia="黑体"/>
          <w:sz w:val="21"/>
          <w:szCs w:val="21"/>
        </w:rPr>
      </w:pPr>
      <w:r>
        <mc:AlternateContent>
          <mc:Choice Requires="wps">
            <w:drawing>
              <wp:anchor distT="0" distB="0" distL="114300" distR="114300" simplePos="0" relativeHeight="251670528" behindDoc="0" locked="0" layoutInCell="1" allowOverlap="1">
                <wp:simplePos x="0" y="0"/>
                <wp:positionH relativeFrom="column">
                  <wp:posOffset>245110</wp:posOffset>
                </wp:positionH>
                <wp:positionV relativeFrom="paragraph">
                  <wp:posOffset>234315</wp:posOffset>
                </wp:positionV>
                <wp:extent cx="1631315" cy="328295"/>
                <wp:effectExtent l="0" t="0" r="0" b="0"/>
                <wp:wrapNone/>
                <wp:docPr id="107758860" name="文本框 107758860"/>
                <wp:cNvGraphicFramePr/>
                <a:graphic xmlns:a="http://schemas.openxmlformats.org/drawingml/2006/main">
                  <a:graphicData uri="http://schemas.microsoft.com/office/word/2010/wordprocessingShape">
                    <wps:wsp>
                      <wps:cNvSpPr txBox="1"/>
                      <wps:spPr>
                        <a:xfrm>
                          <a:off x="0" y="0"/>
                          <a:ext cx="1631315" cy="328295"/>
                        </a:xfrm>
                        <a:prstGeom prst="rect">
                          <a:avLst/>
                        </a:prstGeom>
                        <a:noFill/>
                        <a:ln w="6350">
                          <a:noFill/>
                        </a:ln>
                        <a:effectLst/>
                      </wps:spPr>
                      <wps:txbx>
                        <w:txbxContent>
                          <w:p w14:paraId="74F6995D">
                            <w:pPr>
                              <w:ind w:firstLine="210" w:firstLineChars="100"/>
                              <w:rPr>
                                <w:rFonts w:hint="eastAsia" w:ascii="黑体" w:hAnsi="黑体" w:eastAsia="黑体" w:cs="黑体"/>
                                <w:lang w:eastAsia="zh-CN"/>
                              </w:rPr>
                            </w:pPr>
                            <w:r>
                              <w:rPr>
                                <w:rFonts w:hint="eastAsia" w:ascii="黑体" w:hAnsi="黑体" w:eastAsia="黑体" w:cs="黑体"/>
                              </w:rPr>
                              <w:t>T/C</w:t>
                            </w:r>
                            <w:r>
                              <w:rPr>
                                <w:rFonts w:hint="eastAsia" w:ascii="黑体" w:hAnsi="黑体" w:eastAsia="黑体" w:cs="黑体"/>
                                <w:lang w:val="en-US" w:eastAsia="zh-CN"/>
                              </w:rPr>
                              <w:t>WDPA</w:t>
                            </w:r>
                            <w:r>
                              <w:rPr>
                                <w:rFonts w:hint="eastAsia" w:ascii="黑体" w:hAnsi="黑体" w:eastAsia="黑体" w:cs="黑体"/>
                              </w:rPr>
                              <w:t xml:space="preserve"> </w:t>
                            </w:r>
                            <w:r>
                              <w:rPr>
                                <w:rFonts w:hint="eastAsia" w:ascii="黑体" w:hAnsi="黑体" w:eastAsia="黑体" w:cs="黑体"/>
                                <w:lang w:val="en-US" w:eastAsia="zh-CN"/>
                              </w:rPr>
                              <w:t>XXX</w:t>
                            </w:r>
                            <w:r>
                              <w:rPr>
                                <w:rFonts w:hint="eastAsia" w:ascii="黑体" w:hAnsi="黑体" w:eastAsia="黑体" w:cs="黑体"/>
                              </w:rPr>
                              <w:t>—202</w:t>
                            </w:r>
                            <w:r>
                              <w:rPr>
                                <w:rFonts w:hint="eastAsia" w:ascii="黑体" w:hAnsi="黑体" w:eastAsia="黑体" w:cs="黑体"/>
                                <w:lang w:val="en-US" w:eastAsia="zh-C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pt;margin-top:18.45pt;height:25.85pt;width:128.45pt;z-index:251670528;mso-width-relative:page;mso-height-relative:page;" filled="f" stroked="f" coordsize="21600,21600" o:gfxdata="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C7BTVNgAAAAIAQAADwAAAAAAAAAB&#10;ACAAAAAiAAAAZHJzL2Rvd25yZXYueG1sUEsBAhQAFAAAAAgAh07iQG26ivZJAgAAhAQAAA4AAAAA&#10;AAAAAQAgAAAAJwEAAGRycy9lMm9Eb2MueG1sUEsFBgAAAAAGAAYAWQEAAOIFAAAAAA==&#10;">
                <v:fill on="f" focussize="0,0"/>
                <v:stroke on="f" weight="0.5pt"/>
                <v:imagedata o:title=""/>
                <o:lock v:ext="edit" aspectratio="f"/>
                <v:textbox>
                  <w:txbxContent>
                    <w:p w14:paraId="74F6995D">
                      <w:pPr>
                        <w:ind w:firstLine="210" w:firstLineChars="100"/>
                        <w:rPr>
                          <w:rFonts w:hint="eastAsia" w:ascii="黑体" w:hAnsi="黑体" w:eastAsia="黑体" w:cs="黑体"/>
                          <w:lang w:eastAsia="zh-CN"/>
                        </w:rPr>
                      </w:pPr>
                      <w:r>
                        <w:rPr>
                          <w:rFonts w:hint="eastAsia" w:ascii="黑体" w:hAnsi="黑体" w:eastAsia="黑体" w:cs="黑体"/>
                        </w:rPr>
                        <w:t>T/C</w:t>
                      </w:r>
                      <w:r>
                        <w:rPr>
                          <w:rFonts w:hint="eastAsia" w:ascii="黑体" w:hAnsi="黑体" w:eastAsia="黑体" w:cs="黑体"/>
                          <w:lang w:val="en-US" w:eastAsia="zh-CN"/>
                        </w:rPr>
                        <w:t>WDPA</w:t>
                      </w:r>
                      <w:r>
                        <w:rPr>
                          <w:rFonts w:hint="eastAsia" w:ascii="黑体" w:hAnsi="黑体" w:eastAsia="黑体" w:cs="黑体"/>
                        </w:rPr>
                        <w:t xml:space="preserve"> </w:t>
                      </w:r>
                      <w:r>
                        <w:rPr>
                          <w:rFonts w:hint="eastAsia" w:ascii="黑体" w:hAnsi="黑体" w:eastAsia="黑体" w:cs="黑体"/>
                          <w:lang w:val="en-US" w:eastAsia="zh-CN"/>
                        </w:rPr>
                        <w:t>XXX</w:t>
                      </w:r>
                      <w:r>
                        <w:rPr>
                          <w:rFonts w:hint="eastAsia" w:ascii="黑体" w:hAnsi="黑体" w:eastAsia="黑体" w:cs="黑体"/>
                        </w:rPr>
                        <w:t>—202</w:t>
                      </w:r>
                      <w:r>
                        <w:rPr>
                          <w:rFonts w:hint="eastAsia" w:ascii="黑体" w:hAnsi="黑体" w:eastAsia="黑体" w:cs="黑体"/>
                          <w:lang w:val="en-US" w:eastAsia="zh-CN"/>
                        </w:rPr>
                        <w:t>6</w:t>
                      </w:r>
                    </w:p>
                  </w:txbxContent>
                </v:textbox>
              </v:shape>
            </w:pict>
          </mc:Fallback>
        </mc:AlternateContent>
      </w:r>
      <w:r>
        <w:rPr>
          <w:rFonts w:hint="eastAsia" w:ascii="黑体" w:eastAsia="黑体"/>
          <w:sz w:val="21"/>
          <w:szCs w:val="21"/>
        </w:rPr>
        <w:t>版权专有</w:t>
      </w:r>
      <w:r>
        <w:rPr>
          <w:rFonts w:hint="eastAsia" w:ascii="黑体" w:eastAsia="黑体"/>
          <w:sz w:val="21"/>
          <w:szCs w:val="21"/>
        </w:rPr>
        <w:tab/>
      </w:r>
      <w:r>
        <w:rPr>
          <w:rFonts w:hint="eastAsia" w:ascii="黑体" w:eastAsia="黑体"/>
          <w:sz w:val="21"/>
          <w:szCs w:val="21"/>
        </w:rPr>
        <w:t>侵权必究</w:t>
      </w:r>
    </w:p>
    <w:p w14:paraId="705206D4">
      <w:pPr>
        <w:spacing w:beforeLines="0" w:afterLines="0"/>
        <w:ind w:left="4604" w:right="807"/>
        <w:jc w:val="center"/>
        <w:rPr>
          <w:rFonts w:hint="default" w:eastAsia="黑体"/>
          <w:sz w:val="21"/>
          <w:szCs w:val="21"/>
          <w:lang w:val="en-US" w:eastAsia="zh-CN"/>
        </w:rPr>
      </w:pPr>
      <w:r>
        <w:rPr>
          <w:rFonts w:hint="eastAsia" w:ascii="黑体" w:eastAsia="黑体"/>
          <w:sz w:val="21"/>
          <w:szCs w:val="21"/>
        </w:rPr>
        <w:t>举报电话：010―6</w:t>
      </w:r>
      <w:r>
        <w:rPr>
          <w:rFonts w:hint="eastAsia" w:ascii="黑体" w:eastAsia="黑体"/>
          <w:sz w:val="21"/>
          <w:szCs w:val="21"/>
          <w:lang w:val="en-US" w:eastAsia="zh-CN"/>
        </w:rPr>
        <w:t>5919503</w:t>
      </w:r>
    </w:p>
    <w:p w14:paraId="149F45AF">
      <w:pPr>
        <w:pStyle w:val="178"/>
        <w:numPr>
          <w:ilvl w:val="0"/>
          <w:numId w:val="0"/>
        </w:numPr>
        <w:snapToGrid w:val="0"/>
        <w:rPr>
          <w:rFonts w:hint="default" w:hAnsi="Times New Roman" w:cs="Times New Roman"/>
          <w:highlight w:val="none"/>
          <w:lang w:val="en-US" w:eastAsia="zh-CN"/>
        </w:rPr>
      </w:pPr>
    </w:p>
    <w:sectPr>
      <w:headerReference r:id="rId20" w:type="default"/>
      <w:footerReference r:id="rId22" w:type="default"/>
      <w:headerReference r:id="rId21" w:type="even"/>
      <w:footerReference r:id="rId23" w:type="even"/>
      <w:pgSz w:w="11906" w:h="16838"/>
      <w:pgMar w:top="1928" w:right="1134" w:bottom="1134" w:left="1134" w:header="1418" w:footer="1134" w:gutter="283"/>
      <w:pgNumType w:start="1"/>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306F9">
    <w:pPr>
      <w:pStyle w:val="1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86D476">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D86D476">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0F63B">
    <w:pPr>
      <w:pStyle w:val="18"/>
      <w:jc w:val="left"/>
    </w:pPr>
    <w: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63133">
                          <w:pPr>
                            <w:pStyle w:val="18"/>
                            <w:jc w:val="left"/>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6DB63133">
                    <w:pPr>
                      <w:pStyle w:val="18"/>
                      <w:jc w:val="left"/>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4F1F7">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EC389">
    <w:pPr>
      <w:pStyle w:val="18"/>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7525CB7D">
                              <w:pPr>
                                <w:pStyle w:val="18"/>
                              </w:pPr>
                              <w:r>
                                <w:fldChar w:fldCharType="begin"/>
                              </w:r>
                              <w:r>
                                <w:instrText xml:space="preserve">PAGE   \* MERGEFORMAT</w:instrText>
                              </w:r>
                              <w:r>
                                <w:fldChar w:fldCharType="separate"/>
                              </w:r>
                              <w:r>
                                <w:rPr>
                                  <w:lang w:val="zh-CN"/>
                                </w:rPr>
                                <w:t>I</w:t>
                              </w:r>
                              <w:r>
                                <w:fldChar w:fldCharType="end"/>
                              </w:r>
                            </w:p>
                          </w:sdtContent>
                        </w:sdt>
                        <w:p w14:paraId="2540FC8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65338391"/>
                    </w:sdtPr>
                    <w:sdtContent>
                      <w:p w14:paraId="7525CB7D">
                        <w:pPr>
                          <w:pStyle w:val="18"/>
                        </w:pPr>
                        <w:r>
                          <w:fldChar w:fldCharType="begin"/>
                        </w:r>
                        <w:r>
                          <w:instrText xml:space="preserve">PAGE   \* MERGEFORMAT</w:instrText>
                        </w:r>
                        <w:r>
                          <w:fldChar w:fldCharType="separate"/>
                        </w:r>
                        <w:r>
                          <w:rPr>
                            <w:lang w:val="zh-CN"/>
                          </w:rPr>
                          <w:t>I</w:t>
                        </w:r>
                        <w:r>
                          <w:fldChar w:fldCharType="end"/>
                        </w:r>
                      </w:p>
                    </w:sdtContent>
                  </w:sdt>
                  <w:p w14:paraId="2540FC8A"/>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7EAF1">
    <w:pPr>
      <w:pStyle w:val="18"/>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71A30">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C771A30">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B6B1C">
    <w:pPr>
      <w:pStyle w:val="18"/>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0C2DE962">
                              <w:pPr>
                                <w:pStyle w:val="18"/>
                              </w:pPr>
                              <w:r>
                                <w:fldChar w:fldCharType="begin"/>
                              </w:r>
                              <w:r>
                                <w:instrText xml:space="preserve">PAGE   \* MERGEFORMAT</w:instrText>
                              </w:r>
                              <w:r>
                                <w:fldChar w:fldCharType="separate"/>
                              </w:r>
                              <w:r>
                                <w:rPr>
                                  <w:lang w:val="zh-CN"/>
                                </w:rPr>
                                <w:t>2</w:t>
                              </w:r>
                              <w:r>
                                <w:fldChar w:fldCharType="end"/>
                              </w:r>
                            </w:p>
                          </w:sdtContent>
                        </w:sdt>
                        <w:p w14:paraId="1B6F78D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2008709746"/>
                    </w:sdtPr>
                    <w:sdtContent>
                      <w:p w14:paraId="0C2DE962">
                        <w:pPr>
                          <w:pStyle w:val="18"/>
                        </w:pPr>
                        <w:r>
                          <w:fldChar w:fldCharType="begin"/>
                        </w:r>
                        <w:r>
                          <w:instrText xml:space="preserve">PAGE   \* MERGEFORMAT</w:instrText>
                        </w:r>
                        <w:r>
                          <w:fldChar w:fldCharType="separate"/>
                        </w:r>
                        <w:r>
                          <w:rPr>
                            <w:lang w:val="zh-CN"/>
                          </w:rPr>
                          <w:t>2</w:t>
                        </w:r>
                        <w:r>
                          <w:fldChar w:fldCharType="end"/>
                        </w:r>
                      </w:p>
                    </w:sdtContent>
                  </w:sdt>
                  <w:p w14:paraId="1B6F78DD"/>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B5364">
    <w:pPr>
      <w:pStyle w:val="18"/>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C0834">
                          <w:pPr>
                            <w:pStyle w:val="18"/>
                          </w:pPr>
                          <w:r>
                            <w:fldChar w:fldCharType="begin"/>
                          </w:r>
                          <w:r>
                            <w:instrText xml:space="preserve">PAGE   \* MERGEFORMAT</w:instrText>
                          </w:r>
                          <w:r>
                            <w:fldChar w:fldCharType="separate"/>
                          </w:r>
                          <w:r>
                            <w:rPr>
                              <w:lang w:val="zh-CN"/>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9AC0834">
                    <w:pPr>
                      <w:pStyle w:val="18"/>
                    </w:pPr>
                    <w:r>
                      <w:fldChar w:fldCharType="begin"/>
                    </w:r>
                    <w:r>
                      <w:instrText xml:space="preserve">PAGE   \* MERGEFORMAT</w:instrText>
                    </w:r>
                    <w:r>
                      <w:fldChar w:fldCharType="separate"/>
                    </w:r>
                    <w:r>
                      <w:rPr>
                        <w:lang w:val="zh-CN"/>
                      </w:rPr>
                      <w:t>II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F63A5">
    <w:pPr>
      <w:pStyle w:val="56"/>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E5F0A7">
                          <w:pPr>
                            <w:pStyle w:val="56"/>
                          </w:pPr>
                          <w:r>
                            <w:fldChar w:fldCharType="begin"/>
                          </w:r>
                          <w:r>
                            <w:instrText xml:space="preserve">PAGE   \* MERGEFORMAT</w:instrText>
                          </w:r>
                          <w:r>
                            <w:fldChar w:fldCharType="separate"/>
                          </w:r>
                          <w:r>
                            <w:rPr>
                              <w:lang w:val="zh-CN"/>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6E5F0A7">
                    <w:pPr>
                      <w:pStyle w:val="56"/>
                    </w:pPr>
                    <w:r>
                      <w:fldChar w:fldCharType="begin"/>
                    </w:r>
                    <w:r>
                      <w:instrText xml:space="preserve">PAGE   \* MERGEFORMAT</w:instrText>
                    </w:r>
                    <w:r>
                      <w:fldChar w:fldCharType="separate"/>
                    </w:r>
                    <w:r>
                      <w:rPr>
                        <w:lang w:val="zh-CN"/>
                      </w:rP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E686E">
    <w:pPr>
      <w:pStyle w:val="18"/>
      <w:jc w:val="left"/>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D8D980">
                          <w:pPr>
                            <w:pStyle w:val="18"/>
                            <w:jc w:val="left"/>
                          </w:pPr>
                          <w:r>
                            <w:fldChar w:fldCharType="begin"/>
                          </w:r>
                          <w:r>
                            <w:instrText xml:space="preserve">PAGE   \* MERGEFORMAT</w:instrText>
                          </w:r>
                          <w:r>
                            <w:fldChar w:fldCharType="separate"/>
                          </w:r>
                          <w:r>
                            <w:rPr>
                              <w:lang w:val="zh-CN"/>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0D8D980">
                    <w:pPr>
                      <w:pStyle w:val="18"/>
                      <w:jc w:val="left"/>
                    </w:pPr>
                    <w:r>
                      <w:fldChar w:fldCharType="begin"/>
                    </w:r>
                    <w:r>
                      <w:instrText xml:space="preserve">PAGE   \* MERGEFORMAT</w:instrText>
                    </w:r>
                    <w:r>
                      <w:fldChar w:fldCharType="separate"/>
                    </w:r>
                    <w:r>
                      <w:rPr>
                        <w:lang w:val="zh-CN"/>
                      </w:rPr>
                      <w:t>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24E43">
    <w:pPr>
      <w:pStyle w:val="56"/>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E9E8D">
                          <w:pPr>
                            <w:pStyle w:val="5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728E9E8D">
                    <w:pPr>
                      <w:pStyle w:val="56"/>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6807F">
    <w:pPr>
      <w:pStyle w:val="19"/>
      <w:jc w:val="right"/>
      <w:rPr>
        <w:rFonts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1A20">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C7A75">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XXX—2026</w:t>
    </w:r>
    <w:r>
      <w:rPr>
        <w:rFonts w:ascii="黑体" w:hAnsi="黑体" w:eastAsia="黑体"/>
        <w:sz w:val="21"/>
        <w:szCs w:val="21"/>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B859D">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XXX—2026</w:t>
    </w:r>
    <w:r>
      <w:rPr>
        <w:rFonts w:ascii="黑体" w:hAnsi="黑体" w:eastAsia="黑体"/>
        <w:sz w:val="21"/>
        <w:szCs w:val="21"/>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9877A">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XXX—2026</w:t>
    </w:r>
    <w:r>
      <w:rPr>
        <w:rFonts w:ascii="黑体" w:hAnsi="黑体" w:eastAsia="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331DB">
    <w:pPr>
      <w:pStyle w:val="65"/>
      <w:rPr>
        <w:rFonts w:hAnsi="黑体" w:cs="黑体"/>
      </w:rPr>
    </w:pPr>
    <w:r>
      <w:rPr>
        <w:rFonts w:hint="eastAsia" w:hAnsi="黑体" w:cs="黑体"/>
      </w:rPr>
      <w:fldChar w:fldCharType="begin"/>
    </w:r>
    <w:r>
      <w:rPr>
        <w:rFonts w:hint="eastAsia" w:hAnsi="黑体" w:cs="黑体"/>
      </w:rPr>
      <w:instrText xml:space="preserve"> STYLEREF  标准文件_文件编号  \* MERGEFORMAT </w:instrText>
    </w:r>
    <w:r>
      <w:rPr>
        <w:rFonts w:hint="eastAsia" w:hAnsi="黑体" w:cs="黑体"/>
      </w:rPr>
      <w:fldChar w:fldCharType="separate"/>
    </w:r>
    <w:r>
      <w:rPr>
        <w:rFonts w:hint="eastAsia" w:hAnsi="黑体" w:cs="黑体"/>
      </w:rPr>
      <w:t>T/CWDPA XXX—2026</w:t>
    </w:r>
    <w:r>
      <w:rPr>
        <w:rFonts w:hint="eastAsia" w:hAnsi="黑体" w:cs="黑体"/>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7A6F6">
    <w:pPr>
      <w:pStyle w:val="19"/>
      <w:jc w:val="lef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XXX—2026</w:t>
    </w:r>
    <w:r>
      <w:rPr>
        <w:rFonts w:ascii="黑体" w:hAnsi="黑体" w:eastAsia="黑体"/>
        <w:sz w:val="21"/>
        <w:szCs w:val="21"/>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98910">
    <w:pPr>
      <w:pStyle w:val="65"/>
      <w:rPr>
        <w:rFonts w:hint="eastAsia" w:hAnsi="黑体" w:cs="黑体"/>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A282A">
    <w:pPr>
      <w:pStyle w:val="19"/>
      <w:jc w:val="left"/>
      <w:rPr>
        <w:rFonts w:hint="eastAsia"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XXX—2026</w:t>
    </w:r>
    <w:r>
      <w:rPr>
        <w:rFonts w:ascii="黑体" w:hAnsi="黑体" w:eastAsia="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1FB4A"/>
    <w:multiLevelType w:val="multilevel"/>
    <w:tmpl w:val="EFD1FB4A"/>
    <w:lvl w:ilvl="0" w:tentative="0">
      <w:start w:val="1"/>
      <w:numFmt w:val="decimal"/>
      <w:pStyle w:val="116"/>
      <w:suff w:val="nothing"/>
      <w:lvlText w:val="表%1　"/>
      <w:lvlJc w:val="left"/>
      <w:pPr>
        <w:ind w:left="3570" w:firstLine="0"/>
      </w:pPr>
    </w:lvl>
    <w:lvl w:ilvl="1" w:tentative="0">
      <w:start w:val="1"/>
      <w:numFmt w:val="decimal"/>
      <w:lvlText w:val="%1.%2"/>
      <w:lvlJc w:val="left"/>
      <w:pPr>
        <w:tabs>
          <w:tab w:val="left" w:pos="992"/>
        </w:tabs>
        <w:ind w:left="1302" w:hanging="567"/>
      </w:pPr>
    </w:lvl>
    <w:lvl w:ilvl="2" w:tentative="0">
      <w:start w:val="1"/>
      <w:numFmt w:val="decimal"/>
      <w:lvlText w:val="%1.%2.%3"/>
      <w:lvlJc w:val="left"/>
      <w:pPr>
        <w:tabs>
          <w:tab w:val="left" w:pos="1417"/>
        </w:tabs>
        <w:ind w:left="1727" w:hanging="567"/>
      </w:pPr>
    </w:lvl>
    <w:lvl w:ilvl="3" w:tentative="0">
      <w:start w:val="1"/>
      <w:numFmt w:val="decimal"/>
      <w:lvlText w:val="%1.%2.%3.%4"/>
      <w:lvlJc w:val="left"/>
      <w:pPr>
        <w:tabs>
          <w:tab w:val="left" w:pos="1984"/>
        </w:tabs>
        <w:ind w:left="2294" w:hanging="708"/>
      </w:pPr>
    </w:lvl>
    <w:lvl w:ilvl="4" w:tentative="0">
      <w:start w:val="1"/>
      <w:numFmt w:val="decimal"/>
      <w:lvlText w:val="%1.%2.%3.%4.%5"/>
      <w:lvlJc w:val="left"/>
      <w:pPr>
        <w:tabs>
          <w:tab w:val="left" w:pos="2551"/>
        </w:tabs>
        <w:ind w:left="2861" w:hanging="850"/>
      </w:pPr>
    </w:lvl>
    <w:lvl w:ilvl="5" w:tentative="0">
      <w:start w:val="1"/>
      <w:numFmt w:val="decimal"/>
      <w:lvlText w:val="%1.%2.%3.%4.%5.%6"/>
      <w:lvlJc w:val="left"/>
      <w:pPr>
        <w:tabs>
          <w:tab w:val="left" w:pos="3260"/>
        </w:tabs>
        <w:ind w:left="3570" w:hanging="1134"/>
      </w:pPr>
    </w:lvl>
    <w:lvl w:ilvl="6" w:tentative="0">
      <w:start w:val="1"/>
      <w:numFmt w:val="decimal"/>
      <w:lvlText w:val="%1.%2.%3.%4.%5.%6.%7"/>
      <w:lvlJc w:val="left"/>
      <w:pPr>
        <w:tabs>
          <w:tab w:val="left" w:pos="3827"/>
        </w:tabs>
        <w:ind w:left="4137" w:hanging="1276"/>
      </w:pPr>
    </w:lvl>
    <w:lvl w:ilvl="7" w:tentative="0">
      <w:start w:val="1"/>
      <w:numFmt w:val="decimal"/>
      <w:lvlText w:val="%1.%2.%3.%4.%5.%6.%7.%8"/>
      <w:lvlJc w:val="left"/>
      <w:pPr>
        <w:tabs>
          <w:tab w:val="left" w:pos="4394"/>
        </w:tabs>
        <w:ind w:left="4704" w:hanging="1418"/>
      </w:pPr>
    </w:lvl>
    <w:lvl w:ilvl="8" w:tentative="0">
      <w:start w:val="1"/>
      <w:numFmt w:val="decimal"/>
      <w:lvlText w:val="%1.%2.%3.%4.%5.%6.%7.%8.%9"/>
      <w:lvlJc w:val="left"/>
      <w:pPr>
        <w:tabs>
          <w:tab w:val="left" w:pos="5102"/>
        </w:tabs>
        <w:ind w:left="5412" w:hanging="1700"/>
      </w:pPr>
    </w:lvl>
  </w:abstractNum>
  <w:abstractNum w:abstractNumId="1">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86B1D6A"/>
    <w:multiLevelType w:val="multilevel"/>
    <w:tmpl w:val="086B1D6A"/>
    <w:lvl w:ilvl="0" w:tentative="0">
      <w:start w:val="1"/>
      <w:numFmt w:val="lowerLetter"/>
      <w:pStyle w:val="245"/>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6">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263"/>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rPr>
    </w:lvl>
    <w:lvl w:ilvl="2" w:tentative="0">
      <w:start w:val="1"/>
      <w:numFmt w:val="none"/>
      <w:suff w:val="nothing"/>
      <w:lvlText w:val="%1表%2　"/>
      <w:lvlJc w:val="left"/>
      <w:pPr>
        <w:ind w:left="0" w:firstLine="0"/>
      </w:pPr>
      <w:rPr>
        <w:rFonts w:hint="eastAsia" w:ascii="黑体" w:hAnsi="黑体" w:eastAsia="黑体" w:cs="Times New Roman"/>
        <w:b w:val="0"/>
        <w:bCs w:val="0"/>
        <w:i w:val="0"/>
        <w:iCs w:val="0"/>
        <w:caps w:val="0"/>
        <w:smallCaps w:val="0"/>
        <w:strike w:val="0"/>
        <w:dstrike w:val="0"/>
        <w:snapToGrid w:val="0"/>
        <w:vanish w:val="0"/>
        <w:spacing w:val="0"/>
        <w:w w:val="10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7">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8">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0">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2">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3">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6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2A8F7113"/>
    <w:multiLevelType w:val="multilevel"/>
    <w:tmpl w:val="2A8F7113"/>
    <w:lvl w:ilvl="0" w:tentative="0">
      <w:start w:val="1"/>
      <w:numFmt w:val="upperLetter"/>
      <w:suff w:val="space"/>
      <w:lvlText w:val="%1"/>
      <w:lvlJc w:val="left"/>
      <w:pPr>
        <w:ind w:left="0" w:firstLine="0"/>
      </w:pPr>
      <w:rPr>
        <w:rFonts w:hint="eastAsia"/>
      </w:rPr>
    </w:lvl>
    <w:lvl w:ilvl="1" w:tentative="0">
      <w:start w:val="1"/>
      <w:numFmt w:val="decimal"/>
      <w:pStyle w:val="271"/>
      <w:suff w:val="nothing"/>
      <w:lvlText w:val="图%1.%2　"/>
      <w:lvlJc w:val="left"/>
      <w:pPr>
        <w:ind w:left="0" w:firstLine="0"/>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5">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6">
    <w:nsid w:val="316938D5"/>
    <w:multiLevelType w:val="multilevel"/>
    <w:tmpl w:val="316938D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8">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9">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0">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1">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2">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3">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4">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5">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5A8D1887"/>
    <w:multiLevelType w:val="multilevel"/>
    <w:tmpl w:val="5A8D1887"/>
    <w:lvl w:ilvl="0" w:tentative="0">
      <w:start w:val="1"/>
      <w:numFmt w:val="decimal"/>
      <w:pStyle w:val="244"/>
      <w:suff w:val="space"/>
      <w:lvlText w:val="（%1）"/>
      <w:lvlJc w:val="left"/>
      <w:pPr>
        <w:ind w:left="113" w:hanging="113"/>
      </w:pPr>
      <w:rPr>
        <w:rFonts w:hint="default" w:ascii="Times New Roman" w:hAnsi="Times New Roman" w:cs="Times New Roman"/>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8">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9">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0">
    <w:nsid w:val="681DD817"/>
    <w:multiLevelType w:val="multilevel"/>
    <w:tmpl w:val="681DD817"/>
    <w:lvl w:ilvl="0" w:tentative="0">
      <w:start w:val="1"/>
      <w:numFmt w:val="lowerLetter"/>
      <w:pStyle w:val="268"/>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72"/>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1">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2">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6DBF04F4"/>
    <w:multiLevelType w:val="multilevel"/>
    <w:tmpl w:val="6DBF04F4"/>
    <w:lvl w:ilvl="0" w:tentative="0">
      <w:start w:val="1"/>
      <w:numFmt w:val="none"/>
      <w:pStyle w:val="265"/>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5">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6">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16"/>
  </w:num>
  <w:num w:numId="3">
    <w:abstractNumId w:val="8"/>
  </w:num>
  <w:num w:numId="4">
    <w:abstractNumId w:val="29"/>
  </w:num>
  <w:num w:numId="5">
    <w:abstractNumId w:val="24"/>
  </w:num>
  <w:num w:numId="6">
    <w:abstractNumId w:val="19"/>
  </w:num>
  <w:num w:numId="7">
    <w:abstractNumId w:val="11"/>
  </w:num>
  <w:num w:numId="8">
    <w:abstractNumId w:val="4"/>
  </w:num>
  <w:num w:numId="9">
    <w:abstractNumId w:val="12"/>
  </w:num>
  <w:num w:numId="10">
    <w:abstractNumId w:val="22"/>
  </w:num>
  <w:num w:numId="11">
    <w:abstractNumId w:val="32"/>
  </w:num>
  <w:num w:numId="12">
    <w:abstractNumId w:val="17"/>
  </w:num>
  <w:num w:numId="13">
    <w:abstractNumId w:val="18"/>
  </w:num>
  <w:num w:numId="14">
    <w:abstractNumId w:val="10"/>
  </w:num>
  <w:num w:numId="15">
    <w:abstractNumId w:val="25"/>
  </w:num>
  <w:num w:numId="16">
    <w:abstractNumId w:val="0"/>
  </w:num>
  <w:num w:numId="17">
    <w:abstractNumId w:val="23"/>
  </w:num>
  <w:num w:numId="18">
    <w:abstractNumId w:val="35"/>
  </w:num>
  <w:num w:numId="19">
    <w:abstractNumId w:val="21"/>
  </w:num>
  <w:num w:numId="20">
    <w:abstractNumId w:val="2"/>
  </w:num>
  <w:num w:numId="21">
    <w:abstractNumId w:val="15"/>
  </w:num>
  <w:num w:numId="22">
    <w:abstractNumId w:val="36"/>
  </w:num>
  <w:num w:numId="23">
    <w:abstractNumId w:val="27"/>
  </w:num>
  <w:num w:numId="24">
    <w:abstractNumId w:val="9"/>
  </w:num>
  <w:num w:numId="25">
    <w:abstractNumId w:val="33"/>
  </w:num>
  <w:num w:numId="26">
    <w:abstractNumId w:val="3"/>
  </w:num>
  <w:num w:numId="27">
    <w:abstractNumId w:val="7"/>
  </w:num>
  <w:num w:numId="28">
    <w:abstractNumId w:val="20"/>
  </w:num>
  <w:num w:numId="29">
    <w:abstractNumId w:val="31"/>
  </w:num>
  <w:num w:numId="30">
    <w:abstractNumId w:val="28"/>
  </w:num>
  <w:num w:numId="31">
    <w:abstractNumId w:val="26"/>
  </w:num>
  <w:num w:numId="32">
    <w:abstractNumId w:val="5"/>
  </w:num>
  <w:num w:numId="33">
    <w:abstractNumId w:val="6"/>
  </w:num>
  <w:num w:numId="34">
    <w:abstractNumId w:val="34"/>
  </w:num>
  <w:num w:numId="35">
    <w:abstractNumId w:val="13"/>
  </w:num>
  <w:num w:numId="36">
    <w:abstractNumId w:val="30"/>
  </w:num>
  <w:num w:numId="37">
    <w:abstractNumId w:val="14"/>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mirrorMargins w:val="1"/>
  <w:bordersDoNotSurroundHeader w:val="0"/>
  <w:bordersDoNotSurroundFooter w:val="0"/>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4ZDdmYjY2NDkyZjIzNDhmODIzZWE0NTA3ZGVjNGEifQ=="/>
  </w:docVars>
  <w:rsids>
    <w:rsidRoot w:val="00172A27"/>
    <w:rsid w:val="0000040A"/>
    <w:rsid w:val="00000A94"/>
    <w:rsid w:val="00001972"/>
    <w:rsid w:val="00001B6E"/>
    <w:rsid w:val="00001D9A"/>
    <w:rsid w:val="0000562C"/>
    <w:rsid w:val="00007B3A"/>
    <w:rsid w:val="00007D8D"/>
    <w:rsid w:val="000107E0"/>
    <w:rsid w:val="0001164F"/>
    <w:rsid w:val="00011FDE"/>
    <w:rsid w:val="00012FFD"/>
    <w:rsid w:val="00014162"/>
    <w:rsid w:val="00014340"/>
    <w:rsid w:val="00016A9C"/>
    <w:rsid w:val="00022184"/>
    <w:rsid w:val="00022762"/>
    <w:rsid w:val="000238E0"/>
    <w:rsid w:val="000249DB"/>
    <w:rsid w:val="0002595E"/>
    <w:rsid w:val="00027FAE"/>
    <w:rsid w:val="000303C3"/>
    <w:rsid w:val="000331D3"/>
    <w:rsid w:val="00033588"/>
    <w:rsid w:val="000346A5"/>
    <w:rsid w:val="00035948"/>
    <w:rsid w:val="000359C3"/>
    <w:rsid w:val="00035A7D"/>
    <w:rsid w:val="000365DA"/>
    <w:rsid w:val="000365ED"/>
    <w:rsid w:val="00036905"/>
    <w:rsid w:val="00041F81"/>
    <w:rsid w:val="0004249A"/>
    <w:rsid w:val="00043282"/>
    <w:rsid w:val="00044286"/>
    <w:rsid w:val="00044869"/>
    <w:rsid w:val="00047175"/>
    <w:rsid w:val="00047F28"/>
    <w:rsid w:val="000503AA"/>
    <w:rsid w:val="000506A1"/>
    <w:rsid w:val="000515DD"/>
    <w:rsid w:val="0005265A"/>
    <w:rsid w:val="000539DD"/>
    <w:rsid w:val="00053BD3"/>
    <w:rsid w:val="000556ED"/>
    <w:rsid w:val="00055FE2"/>
    <w:rsid w:val="0005616F"/>
    <w:rsid w:val="000606F4"/>
    <w:rsid w:val="00060C2E"/>
    <w:rsid w:val="00061033"/>
    <w:rsid w:val="00061151"/>
    <w:rsid w:val="000619E9"/>
    <w:rsid w:val="000622D4"/>
    <w:rsid w:val="0006357D"/>
    <w:rsid w:val="00067F1E"/>
    <w:rsid w:val="00070DF6"/>
    <w:rsid w:val="00071CC0"/>
    <w:rsid w:val="00071CFC"/>
    <w:rsid w:val="00073C8C"/>
    <w:rsid w:val="00077B64"/>
    <w:rsid w:val="00080A1C"/>
    <w:rsid w:val="00082317"/>
    <w:rsid w:val="00083D2C"/>
    <w:rsid w:val="00086AA1"/>
    <w:rsid w:val="00087A77"/>
    <w:rsid w:val="00087E9E"/>
    <w:rsid w:val="00090CA6"/>
    <w:rsid w:val="000919AB"/>
    <w:rsid w:val="00092B8A"/>
    <w:rsid w:val="00092FB0"/>
    <w:rsid w:val="000934C5"/>
    <w:rsid w:val="00093D25"/>
    <w:rsid w:val="00093DAB"/>
    <w:rsid w:val="00094D73"/>
    <w:rsid w:val="00096D63"/>
    <w:rsid w:val="000A0B60"/>
    <w:rsid w:val="000A0EB8"/>
    <w:rsid w:val="000A19FC"/>
    <w:rsid w:val="000A296B"/>
    <w:rsid w:val="000A345F"/>
    <w:rsid w:val="000A35DC"/>
    <w:rsid w:val="000A72EA"/>
    <w:rsid w:val="000A7311"/>
    <w:rsid w:val="000B060F"/>
    <w:rsid w:val="000B1065"/>
    <w:rsid w:val="000B1592"/>
    <w:rsid w:val="000B1FF2"/>
    <w:rsid w:val="000B3CDA"/>
    <w:rsid w:val="000B3CE4"/>
    <w:rsid w:val="000B6A0B"/>
    <w:rsid w:val="000C0F6C"/>
    <w:rsid w:val="000C11DB"/>
    <w:rsid w:val="000C1492"/>
    <w:rsid w:val="000C2430"/>
    <w:rsid w:val="000C2FBD"/>
    <w:rsid w:val="000C4B41"/>
    <w:rsid w:val="000C57D6"/>
    <w:rsid w:val="000C6362"/>
    <w:rsid w:val="000C7666"/>
    <w:rsid w:val="000D0A9C"/>
    <w:rsid w:val="000D1795"/>
    <w:rsid w:val="000D1C44"/>
    <w:rsid w:val="000D329A"/>
    <w:rsid w:val="000D4B9C"/>
    <w:rsid w:val="000D4EB6"/>
    <w:rsid w:val="000D6597"/>
    <w:rsid w:val="000D753B"/>
    <w:rsid w:val="000E0E54"/>
    <w:rsid w:val="000E13BC"/>
    <w:rsid w:val="000E1D2A"/>
    <w:rsid w:val="000E217F"/>
    <w:rsid w:val="000E4C9E"/>
    <w:rsid w:val="000E6FD7"/>
    <w:rsid w:val="000F06E1"/>
    <w:rsid w:val="000F0E3C"/>
    <w:rsid w:val="000F19D5"/>
    <w:rsid w:val="000F4050"/>
    <w:rsid w:val="000F4AEA"/>
    <w:rsid w:val="000F57E0"/>
    <w:rsid w:val="000F67E9"/>
    <w:rsid w:val="000F6930"/>
    <w:rsid w:val="00104926"/>
    <w:rsid w:val="00110ADB"/>
    <w:rsid w:val="00113B1E"/>
    <w:rsid w:val="00114E4E"/>
    <w:rsid w:val="0011711C"/>
    <w:rsid w:val="00121BBD"/>
    <w:rsid w:val="00124E4F"/>
    <w:rsid w:val="0012503B"/>
    <w:rsid w:val="001260B7"/>
    <w:rsid w:val="001265CB"/>
    <w:rsid w:val="001321C6"/>
    <w:rsid w:val="001325C4"/>
    <w:rsid w:val="00132DFA"/>
    <w:rsid w:val="00133010"/>
    <w:rsid w:val="001338EE"/>
    <w:rsid w:val="00133AAE"/>
    <w:rsid w:val="00135323"/>
    <w:rsid w:val="001356C4"/>
    <w:rsid w:val="00137565"/>
    <w:rsid w:val="00140052"/>
    <w:rsid w:val="00140FB2"/>
    <w:rsid w:val="00141114"/>
    <w:rsid w:val="00141FE6"/>
    <w:rsid w:val="00142969"/>
    <w:rsid w:val="001446C2"/>
    <w:rsid w:val="001457E7"/>
    <w:rsid w:val="00145D9D"/>
    <w:rsid w:val="00146388"/>
    <w:rsid w:val="00150AF0"/>
    <w:rsid w:val="001529E5"/>
    <w:rsid w:val="00152B20"/>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67C6F"/>
    <w:rsid w:val="00167E5D"/>
    <w:rsid w:val="00170804"/>
    <w:rsid w:val="001708E9"/>
    <w:rsid w:val="00172A27"/>
    <w:rsid w:val="00172E5F"/>
    <w:rsid w:val="0017340B"/>
    <w:rsid w:val="0017370A"/>
    <w:rsid w:val="00173FB1"/>
    <w:rsid w:val="00176DFD"/>
    <w:rsid w:val="0018198D"/>
    <w:rsid w:val="0018268C"/>
    <w:rsid w:val="00182883"/>
    <w:rsid w:val="00183994"/>
    <w:rsid w:val="001852C9"/>
    <w:rsid w:val="00187A0B"/>
    <w:rsid w:val="00190087"/>
    <w:rsid w:val="001913C4"/>
    <w:rsid w:val="0019348F"/>
    <w:rsid w:val="00193A07"/>
    <w:rsid w:val="00193A89"/>
    <w:rsid w:val="001940AA"/>
    <w:rsid w:val="00194492"/>
    <w:rsid w:val="00194C95"/>
    <w:rsid w:val="00195C34"/>
    <w:rsid w:val="00196EF5"/>
    <w:rsid w:val="001A01BB"/>
    <w:rsid w:val="001A0898"/>
    <w:rsid w:val="001A1A53"/>
    <w:rsid w:val="001A1D26"/>
    <w:rsid w:val="001A234A"/>
    <w:rsid w:val="001A4CF3"/>
    <w:rsid w:val="001A6696"/>
    <w:rsid w:val="001B06E8"/>
    <w:rsid w:val="001B0C02"/>
    <w:rsid w:val="001B18BF"/>
    <w:rsid w:val="001B2C46"/>
    <w:rsid w:val="001B3381"/>
    <w:rsid w:val="001B5E1E"/>
    <w:rsid w:val="001B6527"/>
    <w:rsid w:val="001B71D0"/>
    <w:rsid w:val="001B71EE"/>
    <w:rsid w:val="001C04A8"/>
    <w:rsid w:val="001C2C03"/>
    <w:rsid w:val="001C42F7"/>
    <w:rsid w:val="001C49E5"/>
    <w:rsid w:val="001C680C"/>
    <w:rsid w:val="001C7FEA"/>
    <w:rsid w:val="001D0499"/>
    <w:rsid w:val="001D0BBE"/>
    <w:rsid w:val="001D0ED4"/>
    <w:rsid w:val="001D156F"/>
    <w:rsid w:val="001D212F"/>
    <w:rsid w:val="001D29D7"/>
    <w:rsid w:val="001D2DE7"/>
    <w:rsid w:val="001D411C"/>
    <w:rsid w:val="001E17A5"/>
    <w:rsid w:val="001E1B6A"/>
    <w:rsid w:val="001E2484"/>
    <w:rsid w:val="001E3CC4"/>
    <w:rsid w:val="001E4882"/>
    <w:rsid w:val="001E73AB"/>
    <w:rsid w:val="001F092D"/>
    <w:rsid w:val="001F143A"/>
    <w:rsid w:val="001F1605"/>
    <w:rsid w:val="001F1E9C"/>
    <w:rsid w:val="001F2508"/>
    <w:rsid w:val="001F4816"/>
    <w:rsid w:val="001F490F"/>
    <w:rsid w:val="001F69B4"/>
    <w:rsid w:val="001F77C7"/>
    <w:rsid w:val="00200183"/>
    <w:rsid w:val="00200333"/>
    <w:rsid w:val="0020107D"/>
    <w:rsid w:val="00202AA4"/>
    <w:rsid w:val="002031F7"/>
    <w:rsid w:val="002040E6"/>
    <w:rsid w:val="00204EDD"/>
    <w:rsid w:val="0020527B"/>
    <w:rsid w:val="002056A4"/>
    <w:rsid w:val="00205F2C"/>
    <w:rsid w:val="00210B15"/>
    <w:rsid w:val="002142EA"/>
    <w:rsid w:val="00215ADD"/>
    <w:rsid w:val="002204BB"/>
    <w:rsid w:val="00221B79"/>
    <w:rsid w:val="00221C6B"/>
    <w:rsid w:val="00221F5B"/>
    <w:rsid w:val="002253A1"/>
    <w:rsid w:val="00225CF8"/>
    <w:rsid w:val="0022794E"/>
    <w:rsid w:val="00233D64"/>
    <w:rsid w:val="00234325"/>
    <w:rsid w:val="0023482A"/>
    <w:rsid w:val="002359CB"/>
    <w:rsid w:val="00243540"/>
    <w:rsid w:val="0024497B"/>
    <w:rsid w:val="0024515B"/>
    <w:rsid w:val="00246021"/>
    <w:rsid w:val="0024666E"/>
    <w:rsid w:val="00247F52"/>
    <w:rsid w:val="00250B25"/>
    <w:rsid w:val="00250BBE"/>
    <w:rsid w:val="00251590"/>
    <w:rsid w:val="002515C2"/>
    <w:rsid w:val="0025194F"/>
    <w:rsid w:val="00253C23"/>
    <w:rsid w:val="002543A0"/>
    <w:rsid w:val="0026148A"/>
    <w:rsid w:val="002616CE"/>
    <w:rsid w:val="00262696"/>
    <w:rsid w:val="00263D25"/>
    <w:rsid w:val="002643C3"/>
    <w:rsid w:val="00264936"/>
    <w:rsid w:val="00264A0C"/>
    <w:rsid w:val="00266EEB"/>
    <w:rsid w:val="00267CA4"/>
    <w:rsid w:val="00267EF4"/>
    <w:rsid w:val="00270CB8"/>
    <w:rsid w:val="00272B08"/>
    <w:rsid w:val="00281BB8"/>
    <w:rsid w:val="00281E9E"/>
    <w:rsid w:val="00282276"/>
    <w:rsid w:val="00282405"/>
    <w:rsid w:val="00282EA0"/>
    <w:rsid w:val="00285170"/>
    <w:rsid w:val="00285361"/>
    <w:rsid w:val="002922E7"/>
    <w:rsid w:val="00292D60"/>
    <w:rsid w:val="00293B30"/>
    <w:rsid w:val="00294D34"/>
    <w:rsid w:val="00294E3B"/>
    <w:rsid w:val="00296193"/>
    <w:rsid w:val="00296C66"/>
    <w:rsid w:val="00296EBE"/>
    <w:rsid w:val="002974E3"/>
    <w:rsid w:val="002A084B"/>
    <w:rsid w:val="002A1260"/>
    <w:rsid w:val="002A1589"/>
    <w:rsid w:val="002A1608"/>
    <w:rsid w:val="002A25DC"/>
    <w:rsid w:val="002A2620"/>
    <w:rsid w:val="002A3AAB"/>
    <w:rsid w:val="002A4CEA"/>
    <w:rsid w:val="002A5977"/>
    <w:rsid w:val="002A5A13"/>
    <w:rsid w:val="002A757F"/>
    <w:rsid w:val="002A7F44"/>
    <w:rsid w:val="002B0C40"/>
    <w:rsid w:val="002B1966"/>
    <w:rsid w:val="002B4508"/>
    <w:rsid w:val="002B5002"/>
    <w:rsid w:val="002B5779"/>
    <w:rsid w:val="002B6E30"/>
    <w:rsid w:val="002B7332"/>
    <w:rsid w:val="002B7F51"/>
    <w:rsid w:val="002C09E7"/>
    <w:rsid w:val="002C1E06"/>
    <w:rsid w:val="002C3F07"/>
    <w:rsid w:val="002C5278"/>
    <w:rsid w:val="002C7EBB"/>
    <w:rsid w:val="002D06C1"/>
    <w:rsid w:val="002D093E"/>
    <w:rsid w:val="002D42B5"/>
    <w:rsid w:val="002D4F1A"/>
    <w:rsid w:val="002D6EC6"/>
    <w:rsid w:val="002D79AC"/>
    <w:rsid w:val="002E039D"/>
    <w:rsid w:val="002E064C"/>
    <w:rsid w:val="002E4D5A"/>
    <w:rsid w:val="002E6326"/>
    <w:rsid w:val="002F29B7"/>
    <w:rsid w:val="002F30E0"/>
    <w:rsid w:val="002F35E4"/>
    <w:rsid w:val="002F3730"/>
    <w:rsid w:val="002F38E1"/>
    <w:rsid w:val="002F7AF6"/>
    <w:rsid w:val="00300E63"/>
    <w:rsid w:val="00302F5F"/>
    <w:rsid w:val="0030441D"/>
    <w:rsid w:val="00306063"/>
    <w:rsid w:val="00306B40"/>
    <w:rsid w:val="00307CBB"/>
    <w:rsid w:val="00313B85"/>
    <w:rsid w:val="00317717"/>
    <w:rsid w:val="00317988"/>
    <w:rsid w:val="003221B4"/>
    <w:rsid w:val="0032258D"/>
    <w:rsid w:val="00322E62"/>
    <w:rsid w:val="00324D13"/>
    <w:rsid w:val="00324EDD"/>
    <w:rsid w:val="00326722"/>
    <w:rsid w:val="003331E4"/>
    <w:rsid w:val="003338B9"/>
    <w:rsid w:val="00336C64"/>
    <w:rsid w:val="00337162"/>
    <w:rsid w:val="0034194F"/>
    <w:rsid w:val="00341D11"/>
    <w:rsid w:val="00342649"/>
    <w:rsid w:val="003443AC"/>
    <w:rsid w:val="00344605"/>
    <w:rsid w:val="00345162"/>
    <w:rsid w:val="003474AA"/>
    <w:rsid w:val="00350D1D"/>
    <w:rsid w:val="00351CB3"/>
    <w:rsid w:val="00352C83"/>
    <w:rsid w:val="00352F1A"/>
    <w:rsid w:val="0036107C"/>
    <w:rsid w:val="003615D2"/>
    <w:rsid w:val="0036429C"/>
    <w:rsid w:val="00364A53"/>
    <w:rsid w:val="003654CB"/>
    <w:rsid w:val="00365AA9"/>
    <w:rsid w:val="00365F86"/>
    <w:rsid w:val="00365F87"/>
    <w:rsid w:val="00365FA7"/>
    <w:rsid w:val="00366E89"/>
    <w:rsid w:val="00366F3A"/>
    <w:rsid w:val="003670EC"/>
    <w:rsid w:val="003705F4"/>
    <w:rsid w:val="00370D58"/>
    <w:rsid w:val="00371316"/>
    <w:rsid w:val="00373140"/>
    <w:rsid w:val="003747A0"/>
    <w:rsid w:val="00376713"/>
    <w:rsid w:val="00380890"/>
    <w:rsid w:val="003816B8"/>
    <w:rsid w:val="00381815"/>
    <w:rsid w:val="003819AF"/>
    <w:rsid w:val="003820E9"/>
    <w:rsid w:val="00382DE7"/>
    <w:rsid w:val="00383353"/>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201A"/>
    <w:rsid w:val="003A3681"/>
    <w:rsid w:val="003A3D9C"/>
    <w:rsid w:val="003A3E64"/>
    <w:rsid w:val="003A4077"/>
    <w:rsid w:val="003A4AA7"/>
    <w:rsid w:val="003B09AD"/>
    <w:rsid w:val="003B1F18"/>
    <w:rsid w:val="003B5BF0"/>
    <w:rsid w:val="003B60BF"/>
    <w:rsid w:val="003B6BE3"/>
    <w:rsid w:val="003C010C"/>
    <w:rsid w:val="003C0A6C"/>
    <w:rsid w:val="003C0BED"/>
    <w:rsid w:val="003C14F8"/>
    <w:rsid w:val="003C53FA"/>
    <w:rsid w:val="003C5A43"/>
    <w:rsid w:val="003C7AF6"/>
    <w:rsid w:val="003D0519"/>
    <w:rsid w:val="003D0FF6"/>
    <w:rsid w:val="003D262C"/>
    <w:rsid w:val="003D3110"/>
    <w:rsid w:val="003D35C9"/>
    <w:rsid w:val="003D6D61"/>
    <w:rsid w:val="003E091D"/>
    <w:rsid w:val="003E1C53"/>
    <w:rsid w:val="003E2A69"/>
    <w:rsid w:val="003E2D49"/>
    <w:rsid w:val="003E2FD4"/>
    <w:rsid w:val="003E49F6"/>
    <w:rsid w:val="003E660F"/>
    <w:rsid w:val="003F0841"/>
    <w:rsid w:val="003F1E41"/>
    <w:rsid w:val="003F23D3"/>
    <w:rsid w:val="003F336F"/>
    <w:rsid w:val="003F3F08"/>
    <w:rsid w:val="003F44AF"/>
    <w:rsid w:val="003F49F1"/>
    <w:rsid w:val="003F6272"/>
    <w:rsid w:val="00400101"/>
    <w:rsid w:val="00400E72"/>
    <w:rsid w:val="00401400"/>
    <w:rsid w:val="00404869"/>
    <w:rsid w:val="00405884"/>
    <w:rsid w:val="00405CC8"/>
    <w:rsid w:val="0040789C"/>
    <w:rsid w:val="00407D39"/>
    <w:rsid w:val="00413441"/>
    <w:rsid w:val="0041477A"/>
    <w:rsid w:val="004167A3"/>
    <w:rsid w:val="00422E3B"/>
    <w:rsid w:val="00423EF1"/>
    <w:rsid w:val="0043080E"/>
    <w:rsid w:val="00432DAA"/>
    <w:rsid w:val="00434305"/>
    <w:rsid w:val="00435DF7"/>
    <w:rsid w:val="0044083F"/>
    <w:rsid w:val="00441AE7"/>
    <w:rsid w:val="00441B1A"/>
    <w:rsid w:val="004430AB"/>
    <w:rsid w:val="00445574"/>
    <w:rsid w:val="00445B36"/>
    <w:rsid w:val="0044638D"/>
    <w:rsid w:val="004467FB"/>
    <w:rsid w:val="00452AE4"/>
    <w:rsid w:val="00452D6B"/>
    <w:rsid w:val="00454484"/>
    <w:rsid w:val="0045517B"/>
    <w:rsid w:val="00456AA9"/>
    <w:rsid w:val="0046062B"/>
    <w:rsid w:val="0046241D"/>
    <w:rsid w:val="00463B77"/>
    <w:rsid w:val="00463C7B"/>
    <w:rsid w:val="004644A6"/>
    <w:rsid w:val="00465694"/>
    <w:rsid w:val="004659BD"/>
    <w:rsid w:val="00470775"/>
    <w:rsid w:val="00470F2D"/>
    <w:rsid w:val="004736C8"/>
    <w:rsid w:val="004746B1"/>
    <w:rsid w:val="0047583F"/>
    <w:rsid w:val="00475DE8"/>
    <w:rsid w:val="00481C44"/>
    <w:rsid w:val="00482CEC"/>
    <w:rsid w:val="00484936"/>
    <w:rsid w:val="00485C89"/>
    <w:rsid w:val="00486BE3"/>
    <w:rsid w:val="00487836"/>
    <w:rsid w:val="004905E4"/>
    <w:rsid w:val="00490A89"/>
    <w:rsid w:val="00490AB4"/>
    <w:rsid w:val="00492F02"/>
    <w:rsid w:val="00493538"/>
    <w:rsid w:val="004939AE"/>
    <w:rsid w:val="004A118B"/>
    <w:rsid w:val="004A12DF"/>
    <w:rsid w:val="004A1BA8"/>
    <w:rsid w:val="004A4B57"/>
    <w:rsid w:val="004A63FA"/>
    <w:rsid w:val="004A6A3D"/>
    <w:rsid w:val="004B0272"/>
    <w:rsid w:val="004B1D47"/>
    <w:rsid w:val="004B2701"/>
    <w:rsid w:val="004B2E1B"/>
    <w:rsid w:val="004B3AA8"/>
    <w:rsid w:val="004B3E93"/>
    <w:rsid w:val="004B5059"/>
    <w:rsid w:val="004B7E19"/>
    <w:rsid w:val="004C1FBC"/>
    <w:rsid w:val="004C25A2"/>
    <w:rsid w:val="004C3F1D"/>
    <w:rsid w:val="004C458D"/>
    <w:rsid w:val="004C7556"/>
    <w:rsid w:val="004C7C9D"/>
    <w:rsid w:val="004C7E8B"/>
    <w:rsid w:val="004C7E9D"/>
    <w:rsid w:val="004C7F67"/>
    <w:rsid w:val="004D076D"/>
    <w:rsid w:val="004D0EF1"/>
    <w:rsid w:val="004D2253"/>
    <w:rsid w:val="004D2BD5"/>
    <w:rsid w:val="004D4406"/>
    <w:rsid w:val="004D5EED"/>
    <w:rsid w:val="004D7C42"/>
    <w:rsid w:val="004E0465"/>
    <w:rsid w:val="004E127B"/>
    <w:rsid w:val="004E133B"/>
    <w:rsid w:val="004E1992"/>
    <w:rsid w:val="004E1C0A"/>
    <w:rsid w:val="004E26C3"/>
    <w:rsid w:val="004E30C5"/>
    <w:rsid w:val="004E4AA5"/>
    <w:rsid w:val="004E4AEE"/>
    <w:rsid w:val="004E59E3"/>
    <w:rsid w:val="004E67C0"/>
    <w:rsid w:val="004E6ED4"/>
    <w:rsid w:val="004F09F0"/>
    <w:rsid w:val="004F0A99"/>
    <w:rsid w:val="004F391A"/>
    <w:rsid w:val="004F3CFB"/>
    <w:rsid w:val="004F43C4"/>
    <w:rsid w:val="004F4887"/>
    <w:rsid w:val="004F5345"/>
    <w:rsid w:val="004F6456"/>
    <w:rsid w:val="004F696E"/>
    <w:rsid w:val="004F6C3F"/>
    <w:rsid w:val="004F6C71"/>
    <w:rsid w:val="004F76F5"/>
    <w:rsid w:val="00501139"/>
    <w:rsid w:val="0050211E"/>
    <w:rsid w:val="0050363E"/>
    <w:rsid w:val="005039BC"/>
    <w:rsid w:val="005043BB"/>
    <w:rsid w:val="00504A3D"/>
    <w:rsid w:val="00505767"/>
    <w:rsid w:val="005073F0"/>
    <w:rsid w:val="00507E07"/>
    <w:rsid w:val="00510A7B"/>
    <w:rsid w:val="0051206D"/>
    <w:rsid w:val="00512F6E"/>
    <w:rsid w:val="00513038"/>
    <w:rsid w:val="00514174"/>
    <w:rsid w:val="0051479F"/>
    <w:rsid w:val="00516088"/>
    <w:rsid w:val="00516B0B"/>
    <w:rsid w:val="005174FA"/>
    <w:rsid w:val="00517A1A"/>
    <w:rsid w:val="005220EC"/>
    <w:rsid w:val="00523F95"/>
    <w:rsid w:val="00524D65"/>
    <w:rsid w:val="00525B16"/>
    <w:rsid w:val="005304B2"/>
    <w:rsid w:val="00533097"/>
    <w:rsid w:val="00533D04"/>
    <w:rsid w:val="00534804"/>
    <w:rsid w:val="00534A94"/>
    <w:rsid w:val="00534BDF"/>
    <w:rsid w:val="005354EA"/>
    <w:rsid w:val="0053585F"/>
    <w:rsid w:val="00535EC4"/>
    <w:rsid w:val="00535ED9"/>
    <w:rsid w:val="0053692B"/>
    <w:rsid w:val="00540492"/>
    <w:rsid w:val="00540DD0"/>
    <w:rsid w:val="00541853"/>
    <w:rsid w:val="00543BDA"/>
    <w:rsid w:val="005441CC"/>
    <w:rsid w:val="0054694D"/>
    <w:rsid w:val="00547307"/>
    <w:rsid w:val="005479DA"/>
    <w:rsid w:val="00547BCC"/>
    <w:rsid w:val="0055013B"/>
    <w:rsid w:val="00551F6F"/>
    <w:rsid w:val="00555044"/>
    <w:rsid w:val="005558BD"/>
    <w:rsid w:val="00556477"/>
    <w:rsid w:val="00561475"/>
    <w:rsid w:val="00562308"/>
    <w:rsid w:val="0056278E"/>
    <w:rsid w:val="0056487B"/>
    <w:rsid w:val="00564FB9"/>
    <w:rsid w:val="005737CC"/>
    <w:rsid w:val="00573D9E"/>
    <w:rsid w:val="005801E3"/>
    <w:rsid w:val="00581802"/>
    <w:rsid w:val="005822AB"/>
    <w:rsid w:val="005836A8"/>
    <w:rsid w:val="00583A9A"/>
    <w:rsid w:val="0058409C"/>
    <w:rsid w:val="005840D5"/>
    <w:rsid w:val="00584262"/>
    <w:rsid w:val="00586630"/>
    <w:rsid w:val="00587ADD"/>
    <w:rsid w:val="00592C59"/>
    <w:rsid w:val="00593A49"/>
    <w:rsid w:val="00596160"/>
    <w:rsid w:val="005962E1"/>
    <w:rsid w:val="005966E2"/>
    <w:rsid w:val="00597007"/>
    <w:rsid w:val="0059727A"/>
    <w:rsid w:val="005A0966"/>
    <w:rsid w:val="005A11B7"/>
    <w:rsid w:val="005A1960"/>
    <w:rsid w:val="005A260B"/>
    <w:rsid w:val="005A347B"/>
    <w:rsid w:val="005A4A1B"/>
    <w:rsid w:val="005A7830"/>
    <w:rsid w:val="005A7FCE"/>
    <w:rsid w:val="005B0F3F"/>
    <w:rsid w:val="005B191C"/>
    <w:rsid w:val="005B4903"/>
    <w:rsid w:val="005B51CE"/>
    <w:rsid w:val="005B5885"/>
    <w:rsid w:val="005B5CD7"/>
    <w:rsid w:val="005B6CF6"/>
    <w:rsid w:val="005B7422"/>
    <w:rsid w:val="005C0647"/>
    <w:rsid w:val="005C0EB2"/>
    <w:rsid w:val="005C29B8"/>
    <w:rsid w:val="005C2CDF"/>
    <w:rsid w:val="005C5F21"/>
    <w:rsid w:val="005C7156"/>
    <w:rsid w:val="005D076E"/>
    <w:rsid w:val="005D0C75"/>
    <w:rsid w:val="005D4171"/>
    <w:rsid w:val="005D5660"/>
    <w:rsid w:val="005D6A95"/>
    <w:rsid w:val="005D6B2C"/>
    <w:rsid w:val="005D6D9C"/>
    <w:rsid w:val="005E2335"/>
    <w:rsid w:val="005E34CA"/>
    <w:rsid w:val="005E3C18"/>
    <w:rsid w:val="005E4250"/>
    <w:rsid w:val="005E6812"/>
    <w:rsid w:val="005E7881"/>
    <w:rsid w:val="005E78E0"/>
    <w:rsid w:val="005F0D9C"/>
    <w:rsid w:val="005F284E"/>
    <w:rsid w:val="005F33AF"/>
    <w:rsid w:val="005F3C24"/>
    <w:rsid w:val="006015CE"/>
    <w:rsid w:val="00604784"/>
    <w:rsid w:val="00606419"/>
    <w:rsid w:val="00607D29"/>
    <w:rsid w:val="00611FD9"/>
    <w:rsid w:val="00612952"/>
    <w:rsid w:val="00614CC1"/>
    <w:rsid w:val="00615A9D"/>
    <w:rsid w:val="00617387"/>
    <w:rsid w:val="00617499"/>
    <w:rsid w:val="006205D6"/>
    <w:rsid w:val="006252D8"/>
    <w:rsid w:val="006259BC"/>
    <w:rsid w:val="0062636B"/>
    <w:rsid w:val="00632182"/>
    <w:rsid w:val="00632AE0"/>
    <w:rsid w:val="00633C17"/>
    <w:rsid w:val="00634D9E"/>
    <w:rsid w:val="006369EE"/>
    <w:rsid w:val="00636E3E"/>
    <w:rsid w:val="006379F7"/>
    <w:rsid w:val="00637BF8"/>
    <w:rsid w:val="00637E4D"/>
    <w:rsid w:val="00640620"/>
    <w:rsid w:val="00641A1F"/>
    <w:rsid w:val="00645904"/>
    <w:rsid w:val="00645CAD"/>
    <w:rsid w:val="00646D3D"/>
    <w:rsid w:val="00651ACB"/>
    <w:rsid w:val="00651C47"/>
    <w:rsid w:val="00652AB2"/>
    <w:rsid w:val="00653FED"/>
    <w:rsid w:val="00654292"/>
    <w:rsid w:val="00654EC0"/>
    <w:rsid w:val="0065525B"/>
    <w:rsid w:val="006552A2"/>
    <w:rsid w:val="00655D4F"/>
    <w:rsid w:val="00656D29"/>
    <w:rsid w:val="00657245"/>
    <w:rsid w:val="00660ECF"/>
    <w:rsid w:val="006640E5"/>
    <w:rsid w:val="006646F1"/>
    <w:rsid w:val="00664929"/>
    <w:rsid w:val="00664F62"/>
    <w:rsid w:val="006655E1"/>
    <w:rsid w:val="00672060"/>
    <w:rsid w:val="00672BFD"/>
    <w:rsid w:val="006735F9"/>
    <w:rsid w:val="00673868"/>
    <w:rsid w:val="006770F4"/>
    <w:rsid w:val="00677A84"/>
    <w:rsid w:val="00677FD0"/>
    <w:rsid w:val="0068026D"/>
    <w:rsid w:val="00680A27"/>
    <w:rsid w:val="006816A4"/>
    <w:rsid w:val="006819B8"/>
    <w:rsid w:val="006840A6"/>
    <w:rsid w:val="006850CD"/>
    <w:rsid w:val="00685115"/>
    <w:rsid w:val="00685AAB"/>
    <w:rsid w:val="006873EF"/>
    <w:rsid w:val="00687EC8"/>
    <w:rsid w:val="006909B5"/>
    <w:rsid w:val="00691564"/>
    <w:rsid w:val="00692C7E"/>
    <w:rsid w:val="00693DB1"/>
    <w:rsid w:val="00694EAA"/>
    <w:rsid w:val="006966E6"/>
    <w:rsid w:val="00696B87"/>
    <w:rsid w:val="006A07AA"/>
    <w:rsid w:val="006A0DDB"/>
    <w:rsid w:val="006A25E5"/>
    <w:rsid w:val="006A2B46"/>
    <w:rsid w:val="006A336D"/>
    <w:rsid w:val="006A37B9"/>
    <w:rsid w:val="006B103D"/>
    <w:rsid w:val="006B2672"/>
    <w:rsid w:val="006B3EDE"/>
    <w:rsid w:val="006B400D"/>
    <w:rsid w:val="006B54BF"/>
    <w:rsid w:val="006B5F44"/>
    <w:rsid w:val="006B5F90"/>
    <w:rsid w:val="006B62E4"/>
    <w:rsid w:val="006C1BBA"/>
    <w:rsid w:val="006C2079"/>
    <w:rsid w:val="006C5A62"/>
    <w:rsid w:val="006C5BF5"/>
    <w:rsid w:val="006C5D68"/>
    <w:rsid w:val="006C61C8"/>
    <w:rsid w:val="006C6976"/>
    <w:rsid w:val="006C6DD0"/>
    <w:rsid w:val="006D04EA"/>
    <w:rsid w:val="006D16C4"/>
    <w:rsid w:val="006D3C3E"/>
    <w:rsid w:val="006D3E96"/>
    <w:rsid w:val="006D4515"/>
    <w:rsid w:val="006D4BB1"/>
    <w:rsid w:val="006D6593"/>
    <w:rsid w:val="006D7841"/>
    <w:rsid w:val="006E264D"/>
    <w:rsid w:val="006E33AD"/>
    <w:rsid w:val="006E640E"/>
    <w:rsid w:val="006F03A8"/>
    <w:rsid w:val="006F0978"/>
    <w:rsid w:val="006F1F26"/>
    <w:rsid w:val="006F2ACA"/>
    <w:rsid w:val="006F2ADC"/>
    <w:rsid w:val="006F2BFE"/>
    <w:rsid w:val="006F31E9"/>
    <w:rsid w:val="006F40C3"/>
    <w:rsid w:val="006F43D2"/>
    <w:rsid w:val="006F47B3"/>
    <w:rsid w:val="006F6284"/>
    <w:rsid w:val="007002C5"/>
    <w:rsid w:val="00704387"/>
    <w:rsid w:val="007071CA"/>
    <w:rsid w:val="00707669"/>
    <w:rsid w:val="0071041E"/>
    <w:rsid w:val="00711839"/>
    <w:rsid w:val="00711CBA"/>
    <w:rsid w:val="00711FB5"/>
    <w:rsid w:val="00712A01"/>
    <w:rsid w:val="00713842"/>
    <w:rsid w:val="00714F58"/>
    <w:rsid w:val="00717A8E"/>
    <w:rsid w:val="00722FBF"/>
    <w:rsid w:val="00722FC2"/>
    <w:rsid w:val="00724E1B"/>
    <w:rsid w:val="00725949"/>
    <w:rsid w:val="00727FA2"/>
    <w:rsid w:val="0073106C"/>
    <w:rsid w:val="007322D9"/>
    <w:rsid w:val="00732BC0"/>
    <w:rsid w:val="00732E87"/>
    <w:rsid w:val="00735475"/>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D11"/>
    <w:rsid w:val="00755402"/>
    <w:rsid w:val="007560F0"/>
    <w:rsid w:val="00756B26"/>
    <w:rsid w:val="00756EDF"/>
    <w:rsid w:val="007600E3"/>
    <w:rsid w:val="00760EF4"/>
    <w:rsid w:val="007621F7"/>
    <w:rsid w:val="00763BD8"/>
    <w:rsid w:val="00764574"/>
    <w:rsid w:val="00765C43"/>
    <w:rsid w:val="00765EFB"/>
    <w:rsid w:val="007671CA"/>
    <w:rsid w:val="00767C61"/>
    <w:rsid w:val="0077008A"/>
    <w:rsid w:val="00773C1F"/>
    <w:rsid w:val="00774DA4"/>
    <w:rsid w:val="007755D8"/>
    <w:rsid w:val="00776599"/>
    <w:rsid w:val="007778D0"/>
    <w:rsid w:val="0078114B"/>
    <w:rsid w:val="00781DD2"/>
    <w:rsid w:val="00783ECF"/>
    <w:rsid w:val="0078413A"/>
    <w:rsid w:val="00785BF6"/>
    <w:rsid w:val="007959E8"/>
    <w:rsid w:val="00795E9C"/>
    <w:rsid w:val="00796127"/>
    <w:rsid w:val="007961E0"/>
    <w:rsid w:val="007A0521"/>
    <w:rsid w:val="007A2E12"/>
    <w:rsid w:val="007A3475"/>
    <w:rsid w:val="007A41C8"/>
    <w:rsid w:val="007A46A8"/>
    <w:rsid w:val="007A54CE"/>
    <w:rsid w:val="007A6FD9"/>
    <w:rsid w:val="007A7FFA"/>
    <w:rsid w:val="007B04EB"/>
    <w:rsid w:val="007B0D4F"/>
    <w:rsid w:val="007B1961"/>
    <w:rsid w:val="007B3D43"/>
    <w:rsid w:val="007B4785"/>
    <w:rsid w:val="007B5A3D"/>
    <w:rsid w:val="007B5B95"/>
    <w:rsid w:val="007B5C56"/>
    <w:rsid w:val="007B6032"/>
    <w:rsid w:val="007B68EA"/>
    <w:rsid w:val="007B7453"/>
    <w:rsid w:val="007C2D89"/>
    <w:rsid w:val="007C4593"/>
    <w:rsid w:val="007C5309"/>
    <w:rsid w:val="007C6069"/>
    <w:rsid w:val="007D06C4"/>
    <w:rsid w:val="007D1352"/>
    <w:rsid w:val="007D219E"/>
    <w:rsid w:val="007D2508"/>
    <w:rsid w:val="007D2AA2"/>
    <w:rsid w:val="007D346A"/>
    <w:rsid w:val="007D39CB"/>
    <w:rsid w:val="007D42D2"/>
    <w:rsid w:val="007D6518"/>
    <w:rsid w:val="007D76BD"/>
    <w:rsid w:val="007E0BF1"/>
    <w:rsid w:val="007E16F6"/>
    <w:rsid w:val="007E6972"/>
    <w:rsid w:val="007F05C3"/>
    <w:rsid w:val="007F0ED8"/>
    <w:rsid w:val="007F0F63"/>
    <w:rsid w:val="007F16B5"/>
    <w:rsid w:val="007F34F7"/>
    <w:rsid w:val="007F417E"/>
    <w:rsid w:val="007F75CE"/>
    <w:rsid w:val="008013A4"/>
    <w:rsid w:val="008027CE"/>
    <w:rsid w:val="00802F42"/>
    <w:rsid w:val="00804383"/>
    <w:rsid w:val="008045E7"/>
    <w:rsid w:val="00804BB7"/>
    <w:rsid w:val="00804D41"/>
    <w:rsid w:val="00806A87"/>
    <w:rsid w:val="0080716C"/>
    <w:rsid w:val="00810257"/>
    <w:rsid w:val="008104F5"/>
    <w:rsid w:val="00811072"/>
    <w:rsid w:val="00811369"/>
    <w:rsid w:val="008139CE"/>
    <w:rsid w:val="00815419"/>
    <w:rsid w:val="008163C8"/>
    <w:rsid w:val="00816452"/>
    <w:rsid w:val="008164A1"/>
    <w:rsid w:val="00817325"/>
    <w:rsid w:val="00817353"/>
    <w:rsid w:val="008209E6"/>
    <w:rsid w:val="00823303"/>
    <w:rsid w:val="008233B2"/>
    <w:rsid w:val="00823A9F"/>
    <w:rsid w:val="00823C85"/>
    <w:rsid w:val="00825138"/>
    <w:rsid w:val="00826173"/>
    <w:rsid w:val="008269DD"/>
    <w:rsid w:val="00827AD2"/>
    <w:rsid w:val="00830621"/>
    <w:rsid w:val="0083348C"/>
    <w:rsid w:val="00834692"/>
    <w:rsid w:val="008354CF"/>
    <w:rsid w:val="00835B9A"/>
    <w:rsid w:val="008373D3"/>
    <w:rsid w:val="00840617"/>
    <w:rsid w:val="00840F84"/>
    <w:rsid w:val="00842903"/>
    <w:rsid w:val="00842A47"/>
    <w:rsid w:val="0084341A"/>
    <w:rsid w:val="00843C13"/>
    <w:rsid w:val="008454F8"/>
    <w:rsid w:val="00845E27"/>
    <w:rsid w:val="00846636"/>
    <w:rsid w:val="0085173A"/>
    <w:rsid w:val="00851F4E"/>
    <w:rsid w:val="0085405F"/>
    <w:rsid w:val="008563AD"/>
    <w:rsid w:val="008603CE"/>
    <w:rsid w:val="008620FC"/>
    <w:rsid w:val="0086213F"/>
    <w:rsid w:val="008627A5"/>
    <w:rsid w:val="00863E05"/>
    <w:rsid w:val="008652F7"/>
    <w:rsid w:val="00865ACA"/>
    <w:rsid w:val="00865D28"/>
    <w:rsid w:val="00865F85"/>
    <w:rsid w:val="008666AA"/>
    <w:rsid w:val="00867C10"/>
    <w:rsid w:val="00870439"/>
    <w:rsid w:val="008707EA"/>
    <w:rsid w:val="00870DA1"/>
    <w:rsid w:val="00875486"/>
    <w:rsid w:val="008754C9"/>
    <w:rsid w:val="00883AAB"/>
    <w:rsid w:val="00883F93"/>
    <w:rsid w:val="00884DB3"/>
    <w:rsid w:val="00885A9D"/>
    <w:rsid w:val="00885CA5"/>
    <w:rsid w:val="00885F95"/>
    <w:rsid w:val="008864F6"/>
    <w:rsid w:val="00886F8E"/>
    <w:rsid w:val="0089049D"/>
    <w:rsid w:val="008928C9"/>
    <w:rsid w:val="008930CB"/>
    <w:rsid w:val="008938DC"/>
    <w:rsid w:val="00893FD1"/>
    <w:rsid w:val="00894836"/>
    <w:rsid w:val="00894FCF"/>
    <w:rsid w:val="00895172"/>
    <w:rsid w:val="00895680"/>
    <w:rsid w:val="00896DFF"/>
    <w:rsid w:val="0089762C"/>
    <w:rsid w:val="008A1315"/>
    <w:rsid w:val="008A173B"/>
    <w:rsid w:val="008A1893"/>
    <w:rsid w:val="008A3FAB"/>
    <w:rsid w:val="008A57E6"/>
    <w:rsid w:val="008A67A5"/>
    <w:rsid w:val="008A6F81"/>
    <w:rsid w:val="008A769A"/>
    <w:rsid w:val="008B01DD"/>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4808"/>
    <w:rsid w:val="008D53AD"/>
    <w:rsid w:val="008D562B"/>
    <w:rsid w:val="008D5733"/>
    <w:rsid w:val="008D622B"/>
    <w:rsid w:val="008D666C"/>
    <w:rsid w:val="008D6F18"/>
    <w:rsid w:val="008D7B54"/>
    <w:rsid w:val="008E0C9D"/>
    <w:rsid w:val="008E1648"/>
    <w:rsid w:val="008E1B3E"/>
    <w:rsid w:val="008E2319"/>
    <w:rsid w:val="008E4BB6"/>
    <w:rsid w:val="008E540B"/>
    <w:rsid w:val="008E5518"/>
    <w:rsid w:val="008E6A84"/>
    <w:rsid w:val="008F0CDC"/>
    <w:rsid w:val="008F17A3"/>
    <w:rsid w:val="008F1ED3"/>
    <w:rsid w:val="008F2DEA"/>
    <w:rsid w:val="008F35DB"/>
    <w:rsid w:val="008F4C29"/>
    <w:rsid w:val="008F6B41"/>
    <w:rsid w:val="008F70BD"/>
    <w:rsid w:val="008F788F"/>
    <w:rsid w:val="008F7EA2"/>
    <w:rsid w:val="00902722"/>
    <w:rsid w:val="009027BC"/>
    <w:rsid w:val="009062E6"/>
    <w:rsid w:val="009077E5"/>
    <w:rsid w:val="009112AD"/>
    <w:rsid w:val="00911BE5"/>
    <w:rsid w:val="00912A95"/>
    <w:rsid w:val="00913CA9"/>
    <w:rsid w:val="009145AE"/>
    <w:rsid w:val="009146CE"/>
    <w:rsid w:val="00914CA7"/>
    <w:rsid w:val="00915C3E"/>
    <w:rsid w:val="009161A8"/>
    <w:rsid w:val="0092032F"/>
    <w:rsid w:val="00923A47"/>
    <w:rsid w:val="009245AE"/>
    <w:rsid w:val="009245F5"/>
    <w:rsid w:val="009249EC"/>
    <w:rsid w:val="009273B3"/>
    <w:rsid w:val="00927992"/>
    <w:rsid w:val="009305B5"/>
    <w:rsid w:val="009378DD"/>
    <w:rsid w:val="009419E8"/>
    <w:rsid w:val="009429D5"/>
    <w:rsid w:val="00942BF1"/>
    <w:rsid w:val="00945180"/>
    <w:rsid w:val="00945428"/>
    <w:rsid w:val="00945675"/>
    <w:rsid w:val="0094607B"/>
    <w:rsid w:val="00953604"/>
    <w:rsid w:val="0095496B"/>
    <w:rsid w:val="00957636"/>
    <w:rsid w:val="00960F1E"/>
    <w:rsid w:val="009610DC"/>
    <w:rsid w:val="00961490"/>
    <w:rsid w:val="009624B7"/>
    <w:rsid w:val="0096381A"/>
    <w:rsid w:val="00965E04"/>
    <w:rsid w:val="009664F0"/>
    <w:rsid w:val="00966BCD"/>
    <w:rsid w:val="009674AD"/>
    <w:rsid w:val="00970CDC"/>
    <w:rsid w:val="009736FC"/>
    <w:rsid w:val="00975727"/>
    <w:rsid w:val="00975A46"/>
    <w:rsid w:val="00977010"/>
    <w:rsid w:val="00977D02"/>
    <w:rsid w:val="00977FF9"/>
    <w:rsid w:val="009809BB"/>
    <w:rsid w:val="0098364B"/>
    <w:rsid w:val="009849A7"/>
    <w:rsid w:val="009908A3"/>
    <w:rsid w:val="009911AF"/>
    <w:rsid w:val="00991538"/>
    <w:rsid w:val="00991875"/>
    <w:rsid w:val="00991F92"/>
    <w:rsid w:val="00991FBA"/>
    <w:rsid w:val="00992985"/>
    <w:rsid w:val="00993889"/>
    <w:rsid w:val="0099551B"/>
    <w:rsid w:val="00996BD2"/>
    <w:rsid w:val="00996CF8"/>
    <w:rsid w:val="00997BF1"/>
    <w:rsid w:val="009A089C"/>
    <w:rsid w:val="009A118E"/>
    <w:rsid w:val="009A12FA"/>
    <w:rsid w:val="009A21CD"/>
    <w:rsid w:val="009A278C"/>
    <w:rsid w:val="009A2BC2"/>
    <w:rsid w:val="009A42C1"/>
    <w:rsid w:val="009A5429"/>
    <w:rsid w:val="009A72AD"/>
    <w:rsid w:val="009B09E0"/>
    <w:rsid w:val="009B0BC5"/>
    <w:rsid w:val="009B1247"/>
    <w:rsid w:val="009B6029"/>
    <w:rsid w:val="009B6971"/>
    <w:rsid w:val="009C0370"/>
    <w:rsid w:val="009C27F1"/>
    <w:rsid w:val="009C2C41"/>
    <w:rsid w:val="009C2F41"/>
    <w:rsid w:val="009C3152"/>
    <w:rsid w:val="009C3257"/>
    <w:rsid w:val="009C4CFA"/>
    <w:rsid w:val="009C5070"/>
    <w:rsid w:val="009C5A9D"/>
    <w:rsid w:val="009C5E24"/>
    <w:rsid w:val="009C64D7"/>
    <w:rsid w:val="009C7724"/>
    <w:rsid w:val="009D112C"/>
    <w:rsid w:val="009D1385"/>
    <w:rsid w:val="009D47FA"/>
    <w:rsid w:val="009D4C5B"/>
    <w:rsid w:val="009D50D2"/>
    <w:rsid w:val="009D64A4"/>
    <w:rsid w:val="009D6BCA"/>
    <w:rsid w:val="009E0F62"/>
    <w:rsid w:val="009E4A58"/>
    <w:rsid w:val="009E5844"/>
    <w:rsid w:val="009E5A2D"/>
    <w:rsid w:val="009E5AB2"/>
    <w:rsid w:val="009E6219"/>
    <w:rsid w:val="009F03B3"/>
    <w:rsid w:val="009F16BF"/>
    <w:rsid w:val="009F3728"/>
    <w:rsid w:val="009F42B0"/>
    <w:rsid w:val="00A0096C"/>
    <w:rsid w:val="00A01667"/>
    <w:rsid w:val="00A01757"/>
    <w:rsid w:val="00A028C0"/>
    <w:rsid w:val="00A02BAE"/>
    <w:rsid w:val="00A03BA7"/>
    <w:rsid w:val="00A06A6B"/>
    <w:rsid w:val="00A07E47"/>
    <w:rsid w:val="00A110A1"/>
    <w:rsid w:val="00A129D0"/>
    <w:rsid w:val="00A12C33"/>
    <w:rsid w:val="00A138BA"/>
    <w:rsid w:val="00A14C8E"/>
    <w:rsid w:val="00A153D9"/>
    <w:rsid w:val="00A15F09"/>
    <w:rsid w:val="00A169B6"/>
    <w:rsid w:val="00A21A39"/>
    <w:rsid w:val="00A2262F"/>
    <w:rsid w:val="00A2271D"/>
    <w:rsid w:val="00A237D5"/>
    <w:rsid w:val="00A25009"/>
    <w:rsid w:val="00A25B02"/>
    <w:rsid w:val="00A278BB"/>
    <w:rsid w:val="00A27B20"/>
    <w:rsid w:val="00A30EFC"/>
    <w:rsid w:val="00A31984"/>
    <w:rsid w:val="00A32637"/>
    <w:rsid w:val="00A32D73"/>
    <w:rsid w:val="00A3367B"/>
    <w:rsid w:val="00A3597D"/>
    <w:rsid w:val="00A366E9"/>
    <w:rsid w:val="00A36DD1"/>
    <w:rsid w:val="00A37B29"/>
    <w:rsid w:val="00A4006C"/>
    <w:rsid w:val="00A40091"/>
    <w:rsid w:val="00A4030F"/>
    <w:rsid w:val="00A41C79"/>
    <w:rsid w:val="00A41CB5"/>
    <w:rsid w:val="00A42CDF"/>
    <w:rsid w:val="00A4452E"/>
    <w:rsid w:val="00A4472C"/>
    <w:rsid w:val="00A44E69"/>
    <w:rsid w:val="00A4661E"/>
    <w:rsid w:val="00A50885"/>
    <w:rsid w:val="00A51D2A"/>
    <w:rsid w:val="00A5329B"/>
    <w:rsid w:val="00A54046"/>
    <w:rsid w:val="00A55BD6"/>
    <w:rsid w:val="00A55D50"/>
    <w:rsid w:val="00A56618"/>
    <w:rsid w:val="00A57142"/>
    <w:rsid w:val="00A6098A"/>
    <w:rsid w:val="00A617B6"/>
    <w:rsid w:val="00A641F0"/>
    <w:rsid w:val="00A648CD"/>
    <w:rsid w:val="00A6537A"/>
    <w:rsid w:val="00A67866"/>
    <w:rsid w:val="00A70B07"/>
    <w:rsid w:val="00A71A60"/>
    <w:rsid w:val="00A723F8"/>
    <w:rsid w:val="00A776F3"/>
    <w:rsid w:val="00A77CCB"/>
    <w:rsid w:val="00A807D9"/>
    <w:rsid w:val="00A83D8D"/>
    <w:rsid w:val="00A8446B"/>
    <w:rsid w:val="00A8473F"/>
    <w:rsid w:val="00A84D76"/>
    <w:rsid w:val="00A85997"/>
    <w:rsid w:val="00A862D6"/>
    <w:rsid w:val="00A870A0"/>
    <w:rsid w:val="00A8715E"/>
    <w:rsid w:val="00A87B15"/>
    <w:rsid w:val="00A91678"/>
    <w:rsid w:val="00A91F70"/>
    <w:rsid w:val="00A92713"/>
    <w:rsid w:val="00A9295B"/>
    <w:rsid w:val="00A92E27"/>
    <w:rsid w:val="00A93B09"/>
    <w:rsid w:val="00A952D7"/>
    <w:rsid w:val="00A963F7"/>
    <w:rsid w:val="00A96AD8"/>
    <w:rsid w:val="00AA052C"/>
    <w:rsid w:val="00AA1E45"/>
    <w:rsid w:val="00AA2620"/>
    <w:rsid w:val="00AA3E7A"/>
    <w:rsid w:val="00AA3FAC"/>
    <w:rsid w:val="00AA4286"/>
    <w:rsid w:val="00AA456B"/>
    <w:rsid w:val="00AA57F5"/>
    <w:rsid w:val="00AA672E"/>
    <w:rsid w:val="00AA6EC9"/>
    <w:rsid w:val="00AA7714"/>
    <w:rsid w:val="00AB0028"/>
    <w:rsid w:val="00AB01E8"/>
    <w:rsid w:val="00AB0DDC"/>
    <w:rsid w:val="00AB14C7"/>
    <w:rsid w:val="00AB325C"/>
    <w:rsid w:val="00AB4DB3"/>
    <w:rsid w:val="00AB6309"/>
    <w:rsid w:val="00AB6AD8"/>
    <w:rsid w:val="00AB6C5F"/>
    <w:rsid w:val="00AB7129"/>
    <w:rsid w:val="00AC27A6"/>
    <w:rsid w:val="00AC30F7"/>
    <w:rsid w:val="00AC3A5A"/>
    <w:rsid w:val="00AC4D95"/>
    <w:rsid w:val="00AC5601"/>
    <w:rsid w:val="00AC5DF4"/>
    <w:rsid w:val="00AD0AEF"/>
    <w:rsid w:val="00AD11B7"/>
    <w:rsid w:val="00AD12D2"/>
    <w:rsid w:val="00AD1A94"/>
    <w:rsid w:val="00AD1C05"/>
    <w:rsid w:val="00AD1EDA"/>
    <w:rsid w:val="00AD2E25"/>
    <w:rsid w:val="00AD4126"/>
    <w:rsid w:val="00AD421C"/>
    <w:rsid w:val="00AD4232"/>
    <w:rsid w:val="00AD44FA"/>
    <w:rsid w:val="00AE070A"/>
    <w:rsid w:val="00AE101C"/>
    <w:rsid w:val="00AE1B73"/>
    <w:rsid w:val="00AE2A69"/>
    <w:rsid w:val="00AE37E5"/>
    <w:rsid w:val="00AE3A64"/>
    <w:rsid w:val="00AE5EB4"/>
    <w:rsid w:val="00AF0C18"/>
    <w:rsid w:val="00AF1C99"/>
    <w:rsid w:val="00AF3ED9"/>
    <w:rsid w:val="00AF47C5"/>
    <w:rsid w:val="00AF5398"/>
    <w:rsid w:val="00AF53E8"/>
    <w:rsid w:val="00B00800"/>
    <w:rsid w:val="00B01F1F"/>
    <w:rsid w:val="00B049AF"/>
    <w:rsid w:val="00B07242"/>
    <w:rsid w:val="00B10534"/>
    <w:rsid w:val="00B113DB"/>
    <w:rsid w:val="00B11C94"/>
    <w:rsid w:val="00B11D8A"/>
    <w:rsid w:val="00B12981"/>
    <w:rsid w:val="00B147DD"/>
    <w:rsid w:val="00B14882"/>
    <w:rsid w:val="00B156FD"/>
    <w:rsid w:val="00B16FD1"/>
    <w:rsid w:val="00B204C6"/>
    <w:rsid w:val="00B21F61"/>
    <w:rsid w:val="00B23E3E"/>
    <w:rsid w:val="00B261F1"/>
    <w:rsid w:val="00B265BC"/>
    <w:rsid w:val="00B27D86"/>
    <w:rsid w:val="00B31FB1"/>
    <w:rsid w:val="00B329BD"/>
    <w:rsid w:val="00B33952"/>
    <w:rsid w:val="00B33C5E"/>
    <w:rsid w:val="00B342F4"/>
    <w:rsid w:val="00B34369"/>
    <w:rsid w:val="00B34DC2"/>
    <w:rsid w:val="00B378E5"/>
    <w:rsid w:val="00B42AEF"/>
    <w:rsid w:val="00B4346D"/>
    <w:rsid w:val="00B440F4"/>
    <w:rsid w:val="00B447A5"/>
    <w:rsid w:val="00B4654C"/>
    <w:rsid w:val="00B466AB"/>
    <w:rsid w:val="00B47293"/>
    <w:rsid w:val="00B47391"/>
    <w:rsid w:val="00B50E50"/>
    <w:rsid w:val="00B5148E"/>
    <w:rsid w:val="00B52120"/>
    <w:rsid w:val="00B53C41"/>
    <w:rsid w:val="00B54ABC"/>
    <w:rsid w:val="00B56FBE"/>
    <w:rsid w:val="00B60ACF"/>
    <w:rsid w:val="00B61006"/>
    <w:rsid w:val="00B62B58"/>
    <w:rsid w:val="00B65149"/>
    <w:rsid w:val="00B66567"/>
    <w:rsid w:val="00B66F52"/>
    <w:rsid w:val="00B66FE5"/>
    <w:rsid w:val="00B72880"/>
    <w:rsid w:val="00B758BF"/>
    <w:rsid w:val="00B75B30"/>
    <w:rsid w:val="00B773DC"/>
    <w:rsid w:val="00B77EC8"/>
    <w:rsid w:val="00B8018E"/>
    <w:rsid w:val="00B8077C"/>
    <w:rsid w:val="00B827A6"/>
    <w:rsid w:val="00B831CE"/>
    <w:rsid w:val="00B84C1C"/>
    <w:rsid w:val="00B86677"/>
    <w:rsid w:val="00B87131"/>
    <w:rsid w:val="00B872BC"/>
    <w:rsid w:val="00B939B1"/>
    <w:rsid w:val="00B96D40"/>
    <w:rsid w:val="00B970AF"/>
    <w:rsid w:val="00B97386"/>
    <w:rsid w:val="00BA263B"/>
    <w:rsid w:val="00BA42B2"/>
    <w:rsid w:val="00BA58D4"/>
    <w:rsid w:val="00BA5B9E"/>
    <w:rsid w:val="00BA7C9A"/>
    <w:rsid w:val="00BB1A0C"/>
    <w:rsid w:val="00BB5F8F"/>
    <w:rsid w:val="00BB657A"/>
    <w:rsid w:val="00BB6852"/>
    <w:rsid w:val="00BC1A4E"/>
    <w:rsid w:val="00BC46AB"/>
    <w:rsid w:val="00BC5DC7"/>
    <w:rsid w:val="00BC6B8B"/>
    <w:rsid w:val="00BC6F12"/>
    <w:rsid w:val="00BC73D8"/>
    <w:rsid w:val="00BD52D7"/>
    <w:rsid w:val="00BD5AD2"/>
    <w:rsid w:val="00BE0E3A"/>
    <w:rsid w:val="00BE22F3"/>
    <w:rsid w:val="00BE3E42"/>
    <w:rsid w:val="00BE5B52"/>
    <w:rsid w:val="00BE7B8D"/>
    <w:rsid w:val="00BF0993"/>
    <w:rsid w:val="00BF10A9"/>
    <w:rsid w:val="00BF1703"/>
    <w:rsid w:val="00BF231C"/>
    <w:rsid w:val="00BF51E5"/>
    <w:rsid w:val="00BF74A6"/>
    <w:rsid w:val="00C00DE9"/>
    <w:rsid w:val="00C013AD"/>
    <w:rsid w:val="00C0186C"/>
    <w:rsid w:val="00C041B5"/>
    <w:rsid w:val="00C04904"/>
    <w:rsid w:val="00C056B3"/>
    <w:rsid w:val="00C103E5"/>
    <w:rsid w:val="00C121C9"/>
    <w:rsid w:val="00C12348"/>
    <w:rsid w:val="00C13319"/>
    <w:rsid w:val="00C13EE9"/>
    <w:rsid w:val="00C15CB9"/>
    <w:rsid w:val="00C16542"/>
    <w:rsid w:val="00C17B4B"/>
    <w:rsid w:val="00C21540"/>
    <w:rsid w:val="00C21906"/>
    <w:rsid w:val="00C21BFA"/>
    <w:rsid w:val="00C24C8D"/>
    <w:rsid w:val="00C25FE2"/>
    <w:rsid w:val="00C260B1"/>
    <w:rsid w:val="00C26B53"/>
    <w:rsid w:val="00C279B2"/>
    <w:rsid w:val="00C27B99"/>
    <w:rsid w:val="00C31E02"/>
    <w:rsid w:val="00C33E50"/>
    <w:rsid w:val="00C34C20"/>
    <w:rsid w:val="00C35A3E"/>
    <w:rsid w:val="00C42130"/>
    <w:rsid w:val="00C423A4"/>
    <w:rsid w:val="00C423E3"/>
    <w:rsid w:val="00C434DB"/>
    <w:rsid w:val="00C44BF5"/>
    <w:rsid w:val="00C46029"/>
    <w:rsid w:val="00C477C9"/>
    <w:rsid w:val="00C521D6"/>
    <w:rsid w:val="00C529C2"/>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87E3E"/>
    <w:rsid w:val="00C905FC"/>
    <w:rsid w:val="00C91433"/>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991"/>
    <w:rsid w:val="00CB49F7"/>
    <w:rsid w:val="00CB517D"/>
    <w:rsid w:val="00CB583A"/>
    <w:rsid w:val="00CC038D"/>
    <w:rsid w:val="00CC08DB"/>
    <w:rsid w:val="00CC39FF"/>
    <w:rsid w:val="00CC3C2F"/>
    <w:rsid w:val="00CC4AC8"/>
    <w:rsid w:val="00CC5233"/>
    <w:rsid w:val="00CC5DE6"/>
    <w:rsid w:val="00CC6E4E"/>
    <w:rsid w:val="00CC6FE8"/>
    <w:rsid w:val="00CC7202"/>
    <w:rsid w:val="00CD1F58"/>
    <w:rsid w:val="00CD2808"/>
    <w:rsid w:val="00CD28BF"/>
    <w:rsid w:val="00CD3C75"/>
    <w:rsid w:val="00CD4092"/>
    <w:rsid w:val="00CD4A20"/>
    <w:rsid w:val="00CD50A1"/>
    <w:rsid w:val="00CD519E"/>
    <w:rsid w:val="00CE0C4F"/>
    <w:rsid w:val="00CE18DD"/>
    <w:rsid w:val="00CE30EA"/>
    <w:rsid w:val="00CE3E3F"/>
    <w:rsid w:val="00CF048A"/>
    <w:rsid w:val="00CF155A"/>
    <w:rsid w:val="00CF2947"/>
    <w:rsid w:val="00CF686F"/>
    <w:rsid w:val="00CF6E60"/>
    <w:rsid w:val="00CF7BCA"/>
    <w:rsid w:val="00D00259"/>
    <w:rsid w:val="00D008FD"/>
    <w:rsid w:val="00D0321C"/>
    <w:rsid w:val="00D035EC"/>
    <w:rsid w:val="00D05DFB"/>
    <w:rsid w:val="00D06AB1"/>
    <w:rsid w:val="00D06FC1"/>
    <w:rsid w:val="00D072C2"/>
    <w:rsid w:val="00D072ED"/>
    <w:rsid w:val="00D07A16"/>
    <w:rsid w:val="00D1067E"/>
    <w:rsid w:val="00D10F50"/>
    <w:rsid w:val="00D11272"/>
    <w:rsid w:val="00D126F5"/>
    <w:rsid w:val="00D1489E"/>
    <w:rsid w:val="00D1721A"/>
    <w:rsid w:val="00D20737"/>
    <w:rsid w:val="00D21CEC"/>
    <w:rsid w:val="00D21E81"/>
    <w:rsid w:val="00D223DE"/>
    <w:rsid w:val="00D25E37"/>
    <w:rsid w:val="00D2661A"/>
    <w:rsid w:val="00D26947"/>
    <w:rsid w:val="00D27582"/>
    <w:rsid w:val="00D27EC4"/>
    <w:rsid w:val="00D32719"/>
    <w:rsid w:val="00D33333"/>
    <w:rsid w:val="00D34B95"/>
    <w:rsid w:val="00D352A2"/>
    <w:rsid w:val="00D36543"/>
    <w:rsid w:val="00D4162B"/>
    <w:rsid w:val="00D4514F"/>
    <w:rsid w:val="00D451E2"/>
    <w:rsid w:val="00D45E89"/>
    <w:rsid w:val="00D45E8D"/>
    <w:rsid w:val="00D46520"/>
    <w:rsid w:val="00D466AE"/>
    <w:rsid w:val="00D4734F"/>
    <w:rsid w:val="00D51BF3"/>
    <w:rsid w:val="00D558D5"/>
    <w:rsid w:val="00D5787B"/>
    <w:rsid w:val="00D57D22"/>
    <w:rsid w:val="00D608B9"/>
    <w:rsid w:val="00D66846"/>
    <w:rsid w:val="00D675FB"/>
    <w:rsid w:val="00D71CF4"/>
    <w:rsid w:val="00D71F25"/>
    <w:rsid w:val="00D72A9C"/>
    <w:rsid w:val="00D73419"/>
    <w:rsid w:val="00D73ADC"/>
    <w:rsid w:val="00D74150"/>
    <w:rsid w:val="00D74B16"/>
    <w:rsid w:val="00D77031"/>
    <w:rsid w:val="00D83D00"/>
    <w:rsid w:val="00D84941"/>
    <w:rsid w:val="00D84FA1"/>
    <w:rsid w:val="00D851F0"/>
    <w:rsid w:val="00D86CCC"/>
    <w:rsid w:val="00D86DB7"/>
    <w:rsid w:val="00D87BF5"/>
    <w:rsid w:val="00D90721"/>
    <w:rsid w:val="00D926D0"/>
    <w:rsid w:val="00D93030"/>
    <w:rsid w:val="00D950E1"/>
    <w:rsid w:val="00D952A6"/>
    <w:rsid w:val="00D96A99"/>
    <w:rsid w:val="00D9723A"/>
    <w:rsid w:val="00D97F99"/>
    <w:rsid w:val="00DA1E08"/>
    <w:rsid w:val="00DA24F8"/>
    <w:rsid w:val="00DA28E8"/>
    <w:rsid w:val="00DA2D33"/>
    <w:rsid w:val="00DA38D3"/>
    <w:rsid w:val="00DA3932"/>
    <w:rsid w:val="00DA3AF0"/>
    <w:rsid w:val="00DA3AFC"/>
    <w:rsid w:val="00DA44B9"/>
    <w:rsid w:val="00DA64F8"/>
    <w:rsid w:val="00DA6C15"/>
    <w:rsid w:val="00DA7408"/>
    <w:rsid w:val="00DA7A64"/>
    <w:rsid w:val="00DB0258"/>
    <w:rsid w:val="00DB1C74"/>
    <w:rsid w:val="00DB38EE"/>
    <w:rsid w:val="00DB46E7"/>
    <w:rsid w:val="00DB498B"/>
    <w:rsid w:val="00DB66CA"/>
    <w:rsid w:val="00DB6BCA"/>
    <w:rsid w:val="00DB6F54"/>
    <w:rsid w:val="00DB73F7"/>
    <w:rsid w:val="00DC0321"/>
    <w:rsid w:val="00DC3067"/>
    <w:rsid w:val="00DC370B"/>
    <w:rsid w:val="00DC516C"/>
    <w:rsid w:val="00DC5B90"/>
    <w:rsid w:val="00DC6243"/>
    <w:rsid w:val="00DC6D24"/>
    <w:rsid w:val="00DC73DF"/>
    <w:rsid w:val="00DD00FF"/>
    <w:rsid w:val="00DD0619"/>
    <w:rsid w:val="00DD07FB"/>
    <w:rsid w:val="00DD0A8B"/>
    <w:rsid w:val="00DD25C6"/>
    <w:rsid w:val="00DD28C9"/>
    <w:rsid w:val="00DD4422"/>
    <w:rsid w:val="00DD4FE5"/>
    <w:rsid w:val="00DD54B0"/>
    <w:rsid w:val="00DD57EE"/>
    <w:rsid w:val="00DD6BCC"/>
    <w:rsid w:val="00DE01FB"/>
    <w:rsid w:val="00DE0A4B"/>
    <w:rsid w:val="00DE2410"/>
    <w:rsid w:val="00DE2939"/>
    <w:rsid w:val="00DE6E81"/>
    <w:rsid w:val="00DE703F"/>
    <w:rsid w:val="00DE7595"/>
    <w:rsid w:val="00DF1961"/>
    <w:rsid w:val="00DF44DE"/>
    <w:rsid w:val="00E002E8"/>
    <w:rsid w:val="00E01138"/>
    <w:rsid w:val="00E02DFB"/>
    <w:rsid w:val="00E030F9"/>
    <w:rsid w:val="00E0311A"/>
    <w:rsid w:val="00E03138"/>
    <w:rsid w:val="00E037C7"/>
    <w:rsid w:val="00E04B9B"/>
    <w:rsid w:val="00E06404"/>
    <w:rsid w:val="00E07589"/>
    <w:rsid w:val="00E11A85"/>
    <w:rsid w:val="00E12495"/>
    <w:rsid w:val="00E15CCD"/>
    <w:rsid w:val="00E15F05"/>
    <w:rsid w:val="00E202EF"/>
    <w:rsid w:val="00E210B5"/>
    <w:rsid w:val="00E21855"/>
    <w:rsid w:val="00E232C0"/>
    <w:rsid w:val="00E24A5A"/>
    <w:rsid w:val="00E2552F"/>
    <w:rsid w:val="00E2798F"/>
    <w:rsid w:val="00E3137A"/>
    <w:rsid w:val="00E3259B"/>
    <w:rsid w:val="00E32CCF"/>
    <w:rsid w:val="00E34A98"/>
    <w:rsid w:val="00E34B68"/>
    <w:rsid w:val="00E35D1E"/>
    <w:rsid w:val="00E364F9"/>
    <w:rsid w:val="00E365FA"/>
    <w:rsid w:val="00E36789"/>
    <w:rsid w:val="00E37FBB"/>
    <w:rsid w:val="00E44A83"/>
    <w:rsid w:val="00E45242"/>
    <w:rsid w:val="00E477D6"/>
    <w:rsid w:val="00E502C1"/>
    <w:rsid w:val="00E502DD"/>
    <w:rsid w:val="00E50D3A"/>
    <w:rsid w:val="00E51387"/>
    <w:rsid w:val="00E51E68"/>
    <w:rsid w:val="00E52EFD"/>
    <w:rsid w:val="00E5408A"/>
    <w:rsid w:val="00E56800"/>
    <w:rsid w:val="00E578A3"/>
    <w:rsid w:val="00E60AFA"/>
    <w:rsid w:val="00E60C63"/>
    <w:rsid w:val="00E626F7"/>
    <w:rsid w:val="00E62FF9"/>
    <w:rsid w:val="00E635D6"/>
    <w:rsid w:val="00E639BC"/>
    <w:rsid w:val="00E65AFE"/>
    <w:rsid w:val="00E664CC"/>
    <w:rsid w:val="00E66D71"/>
    <w:rsid w:val="00E70388"/>
    <w:rsid w:val="00E70F92"/>
    <w:rsid w:val="00E74313"/>
    <w:rsid w:val="00E744CA"/>
    <w:rsid w:val="00E74B9F"/>
    <w:rsid w:val="00E74C54"/>
    <w:rsid w:val="00E75275"/>
    <w:rsid w:val="00E753BF"/>
    <w:rsid w:val="00E7656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1E9"/>
    <w:rsid w:val="00EA033C"/>
    <w:rsid w:val="00EA24A3"/>
    <w:rsid w:val="00EA5289"/>
    <w:rsid w:val="00EA58D1"/>
    <w:rsid w:val="00EA61BC"/>
    <w:rsid w:val="00EA681A"/>
    <w:rsid w:val="00EA735B"/>
    <w:rsid w:val="00EB1E69"/>
    <w:rsid w:val="00EB2086"/>
    <w:rsid w:val="00EB31ED"/>
    <w:rsid w:val="00EB4874"/>
    <w:rsid w:val="00EB5EDF"/>
    <w:rsid w:val="00EB60FE"/>
    <w:rsid w:val="00EB74DB"/>
    <w:rsid w:val="00EB77EB"/>
    <w:rsid w:val="00EC5359"/>
    <w:rsid w:val="00EC562A"/>
    <w:rsid w:val="00ED067A"/>
    <w:rsid w:val="00ED126D"/>
    <w:rsid w:val="00ED1575"/>
    <w:rsid w:val="00ED2B50"/>
    <w:rsid w:val="00ED3AB8"/>
    <w:rsid w:val="00ED5BBC"/>
    <w:rsid w:val="00EE0249"/>
    <w:rsid w:val="00EE0350"/>
    <w:rsid w:val="00EE0719"/>
    <w:rsid w:val="00EE0E80"/>
    <w:rsid w:val="00EE3E43"/>
    <w:rsid w:val="00EE613F"/>
    <w:rsid w:val="00EE7295"/>
    <w:rsid w:val="00EE7869"/>
    <w:rsid w:val="00EE7FEB"/>
    <w:rsid w:val="00EF054A"/>
    <w:rsid w:val="00EF3235"/>
    <w:rsid w:val="00EF3341"/>
    <w:rsid w:val="00EF40A0"/>
    <w:rsid w:val="00EF49A0"/>
    <w:rsid w:val="00EF6424"/>
    <w:rsid w:val="00EF75B0"/>
    <w:rsid w:val="00EF7637"/>
    <w:rsid w:val="00EF7E72"/>
    <w:rsid w:val="00F00967"/>
    <w:rsid w:val="00F030FB"/>
    <w:rsid w:val="00F06D1D"/>
    <w:rsid w:val="00F06D37"/>
    <w:rsid w:val="00F078B7"/>
    <w:rsid w:val="00F07B9D"/>
    <w:rsid w:val="00F1091D"/>
    <w:rsid w:val="00F11586"/>
    <w:rsid w:val="00F1183B"/>
    <w:rsid w:val="00F11C9F"/>
    <w:rsid w:val="00F12263"/>
    <w:rsid w:val="00F1409D"/>
    <w:rsid w:val="00F14214"/>
    <w:rsid w:val="00F14674"/>
    <w:rsid w:val="00F157A9"/>
    <w:rsid w:val="00F16F00"/>
    <w:rsid w:val="00F20AC4"/>
    <w:rsid w:val="00F21C86"/>
    <w:rsid w:val="00F23C5A"/>
    <w:rsid w:val="00F23F44"/>
    <w:rsid w:val="00F242C9"/>
    <w:rsid w:val="00F2477C"/>
    <w:rsid w:val="00F254A9"/>
    <w:rsid w:val="00F25BB6"/>
    <w:rsid w:val="00F26B7E"/>
    <w:rsid w:val="00F27A3B"/>
    <w:rsid w:val="00F32506"/>
    <w:rsid w:val="00F33817"/>
    <w:rsid w:val="00F33D01"/>
    <w:rsid w:val="00F401AB"/>
    <w:rsid w:val="00F420D5"/>
    <w:rsid w:val="00F451EA"/>
    <w:rsid w:val="00F45447"/>
    <w:rsid w:val="00F456C6"/>
    <w:rsid w:val="00F4577B"/>
    <w:rsid w:val="00F46496"/>
    <w:rsid w:val="00F474D0"/>
    <w:rsid w:val="00F47B4A"/>
    <w:rsid w:val="00F50179"/>
    <w:rsid w:val="00F50B5E"/>
    <w:rsid w:val="00F515EE"/>
    <w:rsid w:val="00F539A2"/>
    <w:rsid w:val="00F54942"/>
    <w:rsid w:val="00F56511"/>
    <w:rsid w:val="00F6194E"/>
    <w:rsid w:val="00F623AC"/>
    <w:rsid w:val="00F62F55"/>
    <w:rsid w:val="00F63674"/>
    <w:rsid w:val="00F6412A"/>
    <w:rsid w:val="00F65893"/>
    <w:rsid w:val="00F66A4A"/>
    <w:rsid w:val="00F67655"/>
    <w:rsid w:val="00F71E22"/>
    <w:rsid w:val="00F72142"/>
    <w:rsid w:val="00F72AE7"/>
    <w:rsid w:val="00F72CAF"/>
    <w:rsid w:val="00F7633D"/>
    <w:rsid w:val="00F833BA"/>
    <w:rsid w:val="00F83574"/>
    <w:rsid w:val="00F84FD0"/>
    <w:rsid w:val="00F859A8"/>
    <w:rsid w:val="00F86D87"/>
    <w:rsid w:val="00F9108B"/>
    <w:rsid w:val="00F91349"/>
    <w:rsid w:val="00F9384E"/>
    <w:rsid w:val="00F93A8A"/>
    <w:rsid w:val="00F95248"/>
    <w:rsid w:val="00F956A9"/>
    <w:rsid w:val="00F963ED"/>
    <w:rsid w:val="00F966CF"/>
    <w:rsid w:val="00F96CAE"/>
    <w:rsid w:val="00F97C99"/>
    <w:rsid w:val="00FA662D"/>
    <w:rsid w:val="00FA6BB7"/>
    <w:rsid w:val="00FA73B1"/>
    <w:rsid w:val="00FB0C33"/>
    <w:rsid w:val="00FB0CB9"/>
    <w:rsid w:val="00FB19F9"/>
    <w:rsid w:val="00FB208D"/>
    <w:rsid w:val="00FB231D"/>
    <w:rsid w:val="00FB2B5A"/>
    <w:rsid w:val="00FB2CDF"/>
    <w:rsid w:val="00FB45F1"/>
    <w:rsid w:val="00FB4A72"/>
    <w:rsid w:val="00FB54E8"/>
    <w:rsid w:val="00FB7054"/>
    <w:rsid w:val="00FC17B7"/>
    <w:rsid w:val="00FC1E68"/>
    <w:rsid w:val="00FC2CB7"/>
    <w:rsid w:val="00FC3515"/>
    <w:rsid w:val="00FC352C"/>
    <w:rsid w:val="00FC4090"/>
    <w:rsid w:val="00FC532F"/>
    <w:rsid w:val="00FC55B4"/>
    <w:rsid w:val="00FD00E6"/>
    <w:rsid w:val="00FD09A1"/>
    <w:rsid w:val="00FD1941"/>
    <w:rsid w:val="00FD2A7C"/>
    <w:rsid w:val="00FD39D7"/>
    <w:rsid w:val="00FD59EB"/>
    <w:rsid w:val="00FD7299"/>
    <w:rsid w:val="00FE1FBE"/>
    <w:rsid w:val="00FE3901"/>
    <w:rsid w:val="00FE39D3"/>
    <w:rsid w:val="00FE4BCE"/>
    <w:rsid w:val="00FE54AE"/>
    <w:rsid w:val="00FE576A"/>
    <w:rsid w:val="00FE7E79"/>
    <w:rsid w:val="00FF1B32"/>
    <w:rsid w:val="00FF365A"/>
    <w:rsid w:val="00FF3E7D"/>
    <w:rsid w:val="00FF5B99"/>
    <w:rsid w:val="00FF70FA"/>
    <w:rsid w:val="00FF730C"/>
    <w:rsid w:val="00FF73F4"/>
    <w:rsid w:val="00FF7CE4"/>
    <w:rsid w:val="00FF7E39"/>
    <w:rsid w:val="01005C04"/>
    <w:rsid w:val="0125635D"/>
    <w:rsid w:val="01565C22"/>
    <w:rsid w:val="01BF5A52"/>
    <w:rsid w:val="01CC3898"/>
    <w:rsid w:val="01D95F0B"/>
    <w:rsid w:val="01FC640B"/>
    <w:rsid w:val="021F0A6D"/>
    <w:rsid w:val="02471B37"/>
    <w:rsid w:val="02535CBD"/>
    <w:rsid w:val="025B4F1C"/>
    <w:rsid w:val="025F7408"/>
    <w:rsid w:val="02906263"/>
    <w:rsid w:val="02A76E81"/>
    <w:rsid w:val="02C31095"/>
    <w:rsid w:val="02DC3198"/>
    <w:rsid w:val="02F44E37"/>
    <w:rsid w:val="02FA1FE6"/>
    <w:rsid w:val="032C2C0D"/>
    <w:rsid w:val="03443777"/>
    <w:rsid w:val="0357767E"/>
    <w:rsid w:val="03946435"/>
    <w:rsid w:val="03C10461"/>
    <w:rsid w:val="03E2177F"/>
    <w:rsid w:val="03FD209E"/>
    <w:rsid w:val="045029FB"/>
    <w:rsid w:val="045A77D7"/>
    <w:rsid w:val="046048F9"/>
    <w:rsid w:val="04AE18D1"/>
    <w:rsid w:val="04D05CEB"/>
    <w:rsid w:val="04DF0901"/>
    <w:rsid w:val="04F66143"/>
    <w:rsid w:val="04FE13F4"/>
    <w:rsid w:val="052676B9"/>
    <w:rsid w:val="052A026E"/>
    <w:rsid w:val="052C0B14"/>
    <w:rsid w:val="055E62CD"/>
    <w:rsid w:val="056A1C9B"/>
    <w:rsid w:val="057B5A67"/>
    <w:rsid w:val="059F29D4"/>
    <w:rsid w:val="05A17A72"/>
    <w:rsid w:val="05BD626F"/>
    <w:rsid w:val="05DE7F94"/>
    <w:rsid w:val="05DF5861"/>
    <w:rsid w:val="05FF17A6"/>
    <w:rsid w:val="060C4B01"/>
    <w:rsid w:val="061F2A86"/>
    <w:rsid w:val="06417867"/>
    <w:rsid w:val="064A5F1B"/>
    <w:rsid w:val="06537525"/>
    <w:rsid w:val="06574AB8"/>
    <w:rsid w:val="06672D9E"/>
    <w:rsid w:val="06754A83"/>
    <w:rsid w:val="06C867AC"/>
    <w:rsid w:val="06E17D3B"/>
    <w:rsid w:val="06F15AA5"/>
    <w:rsid w:val="07150B15"/>
    <w:rsid w:val="071F7EBF"/>
    <w:rsid w:val="073F0F06"/>
    <w:rsid w:val="073F557B"/>
    <w:rsid w:val="07460E92"/>
    <w:rsid w:val="076B1CFB"/>
    <w:rsid w:val="07795030"/>
    <w:rsid w:val="07C24B58"/>
    <w:rsid w:val="07C4574A"/>
    <w:rsid w:val="07CF32A0"/>
    <w:rsid w:val="07ED677E"/>
    <w:rsid w:val="081418BF"/>
    <w:rsid w:val="08365E65"/>
    <w:rsid w:val="089D5934"/>
    <w:rsid w:val="08B84ACC"/>
    <w:rsid w:val="08F41D87"/>
    <w:rsid w:val="08F74A5F"/>
    <w:rsid w:val="09095984"/>
    <w:rsid w:val="09192547"/>
    <w:rsid w:val="09376339"/>
    <w:rsid w:val="09390D12"/>
    <w:rsid w:val="094C583B"/>
    <w:rsid w:val="09694269"/>
    <w:rsid w:val="098215A1"/>
    <w:rsid w:val="09A65662"/>
    <w:rsid w:val="09A82EAE"/>
    <w:rsid w:val="09C86F91"/>
    <w:rsid w:val="09F47D86"/>
    <w:rsid w:val="09FB64A3"/>
    <w:rsid w:val="0A00672A"/>
    <w:rsid w:val="0A0E4391"/>
    <w:rsid w:val="0A167B17"/>
    <w:rsid w:val="0A2B694C"/>
    <w:rsid w:val="0AD927F5"/>
    <w:rsid w:val="0AE53B72"/>
    <w:rsid w:val="0AF47B08"/>
    <w:rsid w:val="0B41054B"/>
    <w:rsid w:val="0B51447D"/>
    <w:rsid w:val="0BE277A8"/>
    <w:rsid w:val="0C404922"/>
    <w:rsid w:val="0C49645E"/>
    <w:rsid w:val="0CD755C5"/>
    <w:rsid w:val="0CE20369"/>
    <w:rsid w:val="0D154730"/>
    <w:rsid w:val="0D6D5E4C"/>
    <w:rsid w:val="0D9F2963"/>
    <w:rsid w:val="0DAE46EF"/>
    <w:rsid w:val="0DC25855"/>
    <w:rsid w:val="0DE7165B"/>
    <w:rsid w:val="0DF92677"/>
    <w:rsid w:val="0DF972A0"/>
    <w:rsid w:val="0E0F33E0"/>
    <w:rsid w:val="0E172295"/>
    <w:rsid w:val="0E2A3543"/>
    <w:rsid w:val="0E325320"/>
    <w:rsid w:val="0E335347"/>
    <w:rsid w:val="0E3F3599"/>
    <w:rsid w:val="0E5500A8"/>
    <w:rsid w:val="0E721A6C"/>
    <w:rsid w:val="0E8F26AA"/>
    <w:rsid w:val="0E9A5B52"/>
    <w:rsid w:val="0EB65F51"/>
    <w:rsid w:val="0EFA3E86"/>
    <w:rsid w:val="0F1A3C80"/>
    <w:rsid w:val="0F1D7D7F"/>
    <w:rsid w:val="0F207E9C"/>
    <w:rsid w:val="0F22328B"/>
    <w:rsid w:val="0F2904D1"/>
    <w:rsid w:val="0F7B6853"/>
    <w:rsid w:val="0F7C616D"/>
    <w:rsid w:val="0FB60BC5"/>
    <w:rsid w:val="0FC053D7"/>
    <w:rsid w:val="0FE200C5"/>
    <w:rsid w:val="0FED7751"/>
    <w:rsid w:val="106628A7"/>
    <w:rsid w:val="1066305F"/>
    <w:rsid w:val="10703EDE"/>
    <w:rsid w:val="112B173D"/>
    <w:rsid w:val="112C7269"/>
    <w:rsid w:val="11AA3420"/>
    <w:rsid w:val="11BD5E31"/>
    <w:rsid w:val="11BE3BDB"/>
    <w:rsid w:val="11E85CAC"/>
    <w:rsid w:val="12104465"/>
    <w:rsid w:val="126B3D39"/>
    <w:rsid w:val="128122DC"/>
    <w:rsid w:val="12ED62C5"/>
    <w:rsid w:val="12F71599"/>
    <w:rsid w:val="130628D8"/>
    <w:rsid w:val="1312127D"/>
    <w:rsid w:val="13160D6D"/>
    <w:rsid w:val="13204ECA"/>
    <w:rsid w:val="136E0BA9"/>
    <w:rsid w:val="13DE3B8C"/>
    <w:rsid w:val="13F66909"/>
    <w:rsid w:val="142C0D80"/>
    <w:rsid w:val="143A0E43"/>
    <w:rsid w:val="145F1258"/>
    <w:rsid w:val="14983A03"/>
    <w:rsid w:val="14A016C2"/>
    <w:rsid w:val="14D507B4"/>
    <w:rsid w:val="15192D96"/>
    <w:rsid w:val="1521464F"/>
    <w:rsid w:val="15237DE9"/>
    <w:rsid w:val="15A94E95"/>
    <w:rsid w:val="15E52C78"/>
    <w:rsid w:val="15F15EE9"/>
    <w:rsid w:val="15FC7BB6"/>
    <w:rsid w:val="15FE40E3"/>
    <w:rsid w:val="16055728"/>
    <w:rsid w:val="160A4EEC"/>
    <w:rsid w:val="162D54D7"/>
    <w:rsid w:val="163C6EA9"/>
    <w:rsid w:val="16A63835"/>
    <w:rsid w:val="16C07E56"/>
    <w:rsid w:val="16E3540A"/>
    <w:rsid w:val="174F6F43"/>
    <w:rsid w:val="17671E03"/>
    <w:rsid w:val="17771FF6"/>
    <w:rsid w:val="17796000"/>
    <w:rsid w:val="17842753"/>
    <w:rsid w:val="17852965"/>
    <w:rsid w:val="17BB0135"/>
    <w:rsid w:val="17C67150"/>
    <w:rsid w:val="17F453F5"/>
    <w:rsid w:val="17FF1243"/>
    <w:rsid w:val="1853531D"/>
    <w:rsid w:val="187059FC"/>
    <w:rsid w:val="18A1557C"/>
    <w:rsid w:val="18E526BB"/>
    <w:rsid w:val="18F60753"/>
    <w:rsid w:val="19215E2D"/>
    <w:rsid w:val="192C3B89"/>
    <w:rsid w:val="19992F43"/>
    <w:rsid w:val="19C05ED6"/>
    <w:rsid w:val="19CB486B"/>
    <w:rsid w:val="1A064859"/>
    <w:rsid w:val="1A0D279E"/>
    <w:rsid w:val="1A2308F8"/>
    <w:rsid w:val="1A8268CC"/>
    <w:rsid w:val="1ABD41C4"/>
    <w:rsid w:val="1AD87250"/>
    <w:rsid w:val="1ADF42B2"/>
    <w:rsid w:val="1AEC0ACF"/>
    <w:rsid w:val="1B03673C"/>
    <w:rsid w:val="1B375D24"/>
    <w:rsid w:val="1B570174"/>
    <w:rsid w:val="1B7E2538"/>
    <w:rsid w:val="1B886580"/>
    <w:rsid w:val="1BBE4697"/>
    <w:rsid w:val="1BC42B10"/>
    <w:rsid w:val="1BE73A14"/>
    <w:rsid w:val="1BFB3FD6"/>
    <w:rsid w:val="1BFB4FA4"/>
    <w:rsid w:val="1BFB594B"/>
    <w:rsid w:val="1CB36B43"/>
    <w:rsid w:val="1CBA14B4"/>
    <w:rsid w:val="1CC849BD"/>
    <w:rsid w:val="1D247334"/>
    <w:rsid w:val="1DB042FE"/>
    <w:rsid w:val="1DDE2DCF"/>
    <w:rsid w:val="1E042157"/>
    <w:rsid w:val="1E783D88"/>
    <w:rsid w:val="1F086C28"/>
    <w:rsid w:val="1F0C54D7"/>
    <w:rsid w:val="1F185E6D"/>
    <w:rsid w:val="1F37674D"/>
    <w:rsid w:val="1F6E1F30"/>
    <w:rsid w:val="1FBA6AEA"/>
    <w:rsid w:val="1FC14756"/>
    <w:rsid w:val="1FC617AE"/>
    <w:rsid w:val="1FCA360B"/>
    <w:rsid w:val="1FDA6DBE"/>
    <w:rsid w:val="1FE225D0"/>
    <w:rsid w:val="20705BE9"/>
    <w:rsid w:val="20745325"/>
    <w:rsid w:val="20E4055B"/>
    <w:rsid w:val="20EE1C1F"/>
    <w:rsid w:val="210B5C89"/>
    <w:rsid w:val="2110329F"/>
    <w:rsid w:val="2115671A"/>
    <w:rsid w:val="211B1C44"/>
    <w:rsid w:val="21470C8B"/>
    <w:rsid w:val="219A0DBB"/>
    <w:rsid w:val="21D30729"/>
    <w:rsid w:val="21ED21C6"/>
    <w:rsid w:val="22082616"/>
    <w:rsid w:val="22116A3F"/>
    <w:rsid w:val="228644BC"/>
    <w:rsid w:val="22A4640E"/>
    <w:rsid w:val="22BA5BB9"/>
    <w:rsid w:val="22D57BA3"/>
    <w:rsid w:val="22D87DED"/>
    <w:rsid w:val="233E67E2"/>
    <w:rsid w:val="23735D67"/>
    <w:rsid w:val="238C6E29"/>
    <w:rsid w:val="23952182"/>
    <w:rsid w:val="23C40371"/>
    <w:rsid w:val="23D305B4"/>
    <w:rsid w:val="23F5050A"/>
    <w:rsid w:val="245D2C8D"/>
    <w:rsid w:val="249935AC"/>
    <w:rsid w:val="249944D1"/>
    <w:rsid w:val="24BC310B"/>
    <w:rsid w:val="24D60635"/>
    <w:rsid w:val="24FE4191"/>
    <w:rsid w:val="25096CBD"/>
    <w:rsid w:val="25247077"/>
    <w:rsid w:val="256E7D73"/>
    <w:rsid w:val="256F74FA"/>
    <w:rsid w:val="257B0F03"/>
    <w:rsid w:val="25D74FC3"/>
    <w:rsid w:val="25E31261"/>
    <w:rsid w:val="261C4494"/>
    <w:rsid w:val="26213859"/>
    <w:rsid w:val="263E265D"/>
    <w:rsid w:val="26410247"/>
    <w:rsid w:val="264D0C35"/>
    <w:rsid w:val="265E685B"/>
    <w:rsid w:val="26915FCA"/>
    <w:rsid w:val="269234BA"/>
    <w:rsid w:val="26956186"/>
    <w:rsid w:val="26F6389B"/>
    <w:rsid w:val="271474CA"/>
    <w:rsid w:val="2750627A"/>
    <w:rsid w:val="276D746E"/>
    <w:rsid w:val="27765E26"/>
    <w:rsid w:val="27962024"/>
    <w:rsid w:val="27990BFF"/>
    <w:rsid w:val="27DA0163"/>
    <w:rsid w:val="27E370C7"/>
    <w:rsid w:val="27E55EA8"/>
    <w:rsid w:val="27ED736F"/>
    <w:rsid w:val="27F03E2A"/>
    <w:rsid w:val="2811743C"/>
    <w:rsid w:val="283A0353"/>
    <w:rsid w:val="285C326E"/>
    <w:rsid w:val="28602E72"/>
    <w:rsid w:val="28874A54"/>
    <w:rsid w:val="2892582B"/>
    <w:rsid w:val="28B730AF"/>
    <w:rsid w:val="28C50E13"/>
    <w:rsid w:val="28D252DE"/>
    <w:rsid w:val="28E374EB"/>
    <w:rsid w:val="28F039B6"/>
    <w:rsid w:val="29291515"/>
    <w:rsid w:val="292A336C"/>
    <w:rsid w:val="294E1641"/>
    <w:rsid w:val="29522056"/>
    <w:rsid w:val="298D533F"/>
    <w:rsid w:val="299747A6"/>
    <w:rsid w:val="2A402EB4"/>
    <w:rsid w:val="2A554419"/>
    <w:rsid w:val="2A8D1997"/>
    <w:rsid w:val="2AA44A58"/>
    <w:rsid w:val="2AB80867"/>
    <w:rsid w:val="2AE578A2"/>
    <w:rsid w:val="2AF27EBA"/>
    <w:rsid w:val="2B0752C2"/>
    <w:rsid w:val="2B281991"/>
    <w:rsid w:val="2B7B0FC3"/>
    <w:rsid w:val="2BB13233"/>
    <w:rsid w:val="2BB74432"/>
    <w:rsid w:val="2BCC070B"/>
    <w:rsid w:val="2C7D116F"/>
    <w:rsid w:val="2C8E4833"/>
    <w:rsid w:val="2D5B4C0F"/>
    <w:rsid w:val="2D766591"/>
    <w:rsid w:val="2DB96A6D"/>
    <w:rsid w:val="2DDE0F45"/>
    <w:rsid w:val="2DDE64D3"/>
    <w:rsid w:val="2DEA595F"/>
    <w:rsid w:val="2E0028ED"/>
    <w:rsid w:val="2E5B2F02"/>
    <w:rsid w:val="2E80527A"/>
    <w:rsid w:val="2EE6563F"/>
    <w:rsid w:val="2F486004"/>
    <w:rsid w:val="2F9B7DD2"/>
    <w:rsid w:val="2FA86D99"/>
    <w:rsid w:val="2FB57729"/>
    <w:rsid w:val="2FC021F3"/>
    <w:rsid w:val="30040748"/>
    <w:rsid w:val="307D1FD3"/>
    <w:rsid w:val="30A31CD5"/>
    <w:rsid w:val="30DA1187"/>
    <w:rsid w:val="30E96AAE"/>
    <w:rsid w:val="31097764"/>
    <w:rsid w:val="310C0943"/>
    <w:rsid w:val="31660CB9"/>
    <w:rsid w:val="31735C22"/>
    <w:rsid w:val="3175714F"/>
    <w:rsid w:val="318F4926"/>
    <w:rsid w:val="322748ED"/>
    <w:rsid w:val="323808A8"/>
    <w:rsid w:val="32452FC5"/>
    <w:rsid w:val="3269779D"/>
    <w:rsid w:val="32DB1FCA"/>
    <w:rsid w:val="32E75B37"/>
    <w:rsid w:val="32EF68B4"/>
    <w:rsid w:val="32FB3538"/>
    <w:rsid w:val="33075F3D"/>
    <w:rsid w:val="331035D3"/>
    <w:rsid w:val="332756A7"/>
    <w:rsid w:val="33545566"/>
    <w:rsid w:val="3357192F"/>
    <w:rsid w:val="339A4C4A"/>
    <w:rsid w:val="33B71CA0"/>
    <w:rsid w:val="342804A8"/>
    <w:rsid w:val="342D6CBE"/>
    <w:rsid w:val="34337175"/>
    <w:rsid w:val="347100A1"/>
    <w:rsid w:val="34AD36B8"/>
    <w:rsid w:val="34D128EE"/>
    <w:rsid w:val="34DA79F4"/>
    <w:rsid w:val="34F76A97"/>
    <w:rsid w:val="351441F0"/>
    <w:rsid w:val="3529011B"/>
    <w:rsid w:val="353535B2"/>
    <w:rsid w:val="354C5EC7"/>
    <w:rsid w:val="355326FC"/>
    <w:rsid w:val="355E2212"/>
    <w:rsid w:val="3578720D"/>
    <w:rsid w:val="35851948"/>
    <w:rsid w:val="35C13CCB"/>
    <w:rsid w:val="35D57C94"/>
    <w:rsid w:val="35D65063"/>
    <w:rsid w:val="361C7B45"/>
    <w:rsid w:val="36775DFC"/>
    <w:rsid w:val="3698148D"/>
    <w:rsid w:val="370B6CF4"/>
    <w:rsid w:val="370D6AF8"/>
    <w:rsid w:val="375D7A2B"/>
    <w:rsid w:val="37A22637"/>
    <w:rsid w:val="37D47531"/>
    <w:rsid w:val="37FA0DD3"/>
    <w:rsid w:val="380A119C"/>
    <w:rsid w:val="38671EF1"/>
    <w:rsid w:val="389C6AEB"/>
    <w:rsid w:val="38BE20CC"/>
    <w:rsid w:val="38BE762D"/>
    <w:rsid w:val="38C74D5D"/>
    <w:rsid w:val="38D877D8"/>
    <w:rsid w:val="38EE02D5"/>
    <w:rsid w:val="390B1722"/>
    <w:rsid w:val="39186D3D"/>
    <w:rsid w:val="39406F06"/>
    <w:rsid w:val="39C40C73"/>
    <w:rsid w:val="39C57AFA"/>
    <w:rsid w:val="39D37108"/>
    <w:rsid w:val="39E353D5"/>
    <w:rsid w:val="39F2758E"/>
    <w:rsid w:val="3A4A1178"/>
    <w:rsid w:val="3A9012A4"/>
    <w:rsid w:val="3AA51A40"/>
    <w:rsid w:val="3AEA295B"/>
    <w:rsid w:val="3B0D0F39"/>
    <w:rsid w:val="3B1860B3"/>
    <w:rsid w:val="3B2220F5"/>
    <w:rsid w:val="3B300374"/>
    <w:rsid w:val="3B3312CF"/>
    <w:rsid w:val="3B4E2EEA"/>
    <w:rsid w:val="3B547DD5"/>
    <w:rsid w:val="3B9B5ABE"/>
    <w:rsid w:val="3BA0301A"/>
    <w:rsid w:val="3BED2ADE"/>
    <w:rsid w:val="3BF26D83"/>
    <w:rsid w:val="3BFA5C0C"/>
    <w:rsid w:val="3C084298"/>
    <w:rsid w:val="3C300842"/>
    <w:rsid w:val="3C660FEE"/>
    <w:rsid w:val="3C6E23C9"/>
    <w:rsid w:val="3C7C3A87"/>
    <w:rsid w:val="3C7E335B"/>
    <w:rsid w:val="3C885735"/>
    <w:rsid w:val="3C9012E0"/>
    <w:rsid w:val="3CB12751"/>
    <w:rsid w:val="3CC43B7F"/>
    <w:rsid w:val="3CE755E8"/>
    <w:rsid w:val="3CF74EBC"/>
    <w:rsid w:val="3D582B25"/>
    <w:rsid w:val="3D6A7B59"/>
    <w:rsid w:val="3D915310"/>
    <w:rsid w:val="3DC41242"/>
    <w:rsid w:val="3DC8576F"/>
    <w:rsid w:val="3DF7311B"/>
    <w:rsid w:val="3E1E5270"/>
    <w:rsid w:val="3E2C6DE7"/>
    <w:rsid w:val="3E4427DC"/>
    <w:rsid w:val="3E522122"/>
    <w:rsid w:val="3E7F05B5"/>
    <w:rsid w:val="3E9A2F5F"/>
    <w:rsid w:val="3EB07FB9"/>
    <w:rsid w:val="3EFC2464"/>
    <w:rsid w:val="3F0F1D39"/>
    <w:rsid w:val="3F23468E"/>
    <w:rsid w:val="3F6A6DDC"/>
    <w:rsid w:val="3F787264"/>
    <w:rsid w:val="3F825CCD"/>
    <w:rsid w:val="3FFC1167"/>
    <w:rsid w:val="40487E84"/>
    <w:rsid w:val="404F74B5"/>
    <w:rsid w:val="40727100"/>
    <w:rsid w:val="40BF2194"/>
    <w:rsid w:val="40C35A83"/>
    <w:rsid w:val="40D95004"/>
    <w:rsid w:val="4111051C"/>
    <w:rsid w:val="412B15D8"/>
    <w:rsid w:val="41432DC5"/>
    <w:rsid w:val="41A76EB0"/>
    <w:rsid w:val="41C04359"/>
    <w:rsid w:val="41E9571B"/>
    <w:rsid w:val="423A41C8"/>
    <w:rsid w:val="42467274"/>
    <w:rsid w:val="42796B0B"/>
    <w:rsid w:val="428060AE"/>
    <w:rsid w:val="429A2DFF"/>
    <w:rsid w:val="42AB2039"/>
    <w:rsid w:val="42D26925"/>
    <w:rsid w:val="42F54415"/>
    <w:rsid w:val="430D335C"/>
    <w:rsid w:val="430E7C3C"/>
    <w:rsid w:val="432E715D"/>
    <w:rsid w:val="43495316"/>
    <w:rsid w:val="436239D7"/>
    <w:rsid w:val="43947908"/>
    <w:rsid w:val="439F3F66"/>
    <w:rsid w:val="43B72D8E"/>
    <w:rsid w:val="43C1733D"/>
    <w:rsid w:val="43FD36FF"/>
    <w:rsid w:val="44004F56"/>
    <w:rsid w:val="44461ED1"/>
    <w:rsid w:val="44655FBE"/>
    <w:rsid w:val="44826B42"/>
    <w:rsid w:val="44860CD1"/>
    <w:rsid w:val="44EA3184"/>
    <w:rsid w:val="44F331C9"/>
    <w:rsid w:val="450955C6"/>
    <w:rsid w:val="45171187"/>
    <w:rsid w:val="451C4FCB"/>
    <w:rsid w:val="45315AC5"/>
    <w:rsid w:val="45603F46"/>
    <w:rsid w:val="457F1EF2"/>
    <w:rsid w:val="458637C9"/>
    <w:rsid w:val="458D0A2C"/>
    <w:rsid w:val="459E4A6E"/>
    <w:rsid w:val="45A030EC"/>
    <w:rsid w:val="45AA6F6F"/>
    <w:rsid w:val="45CB23C1"/>
    <w:rsid w:val="467C6F4C"/>
    <w:rsid w:val="46DA7D28"/>
    <w:rsid w:val="46ED1809"/>
    <w:rsid w:val="46F36279"/>
    <w:rsid w:val="46F75CCC"/>
    <w:rsid w:val="46FC5E9B"/>
    <w:rsid w:val="471F1BDF"/>
    <w:rsid w:val="47604374"/>
    <w:rsid w:val="47633357"/>
    <w:rsid w:val="476D294A"/>
    <w:rsid w:val="478D6B48"/>
    <w:rsid w:val="47B022A8"/>
    <w:rsid w:val="47B70069"/>
    <w:rsid w:val="47BE0573"/>
    <w:rsid w:val="47C63E08"/>
    <w:rsid w:val="47E65735"/>
    <w:rsid w:val="4800731A"/>
    <w:rsid w:val="48074B4D"/>
    <w:rsid w:val="482079BC"/>
    <w:rsid w:val="482B6CCE"/>
    <w:rsid w:val="4835149E"/>
    <w:rsid w:val="48684EBF"/>
    <w:rsid w:val="48975200"/>
    <w:rsid w:val="489A151D"/>
    <w:rsid w:val="489D725F"/>
    <w:rsid w:val="48A01213"/>
    <w:rsid w:val="48A26623"/>
    <w:rsid w:val="48BA1BBF"/>
    <w:rsid w:val="48E22EC4"/>
    <w:rsid w:val="48EC4C8A"/>
    <w:rsid w:val="490C2B32"/>
    <w:rsid w:val="49261002"/>
    <w:rsid w:val="493D00FA"/>
    <w:rsid w:val="49425735"/>
    <w:rsid w:val="499637FE"/>
    <w:rsid w:val="49A676D7"/>
    <w:rsid w:val="49CF51F6"/>
    <w:rsid w:val="4A477482"/>
    <w:rsid w:val="4A640D3D"/>
    <w:rsid w:val="4AAD3048"/>
    <w:rsid w:val="4AD60806"/>
    <w:rsid w:val="4B3938D2"/>
    <w:rsid w:val="4B7D0C82"/>
    <w:rsid w:val="4BC603C3"/>
    <w:rsid w:val="4BF76C86"/>
    <w:rsid w:val="4C0849EF"/>
    <w:rsid w:val="4C0D0258"/>
    <w:rsid w:val="4C1E06B7"/>
    <w:rsid w:val="4C3457E4"/>
    <w:rsid w:val="4C435E96"/>
    <w:rsid w:val="4C447326"/>
    <w:rsid w:val="4C545E87"/>
    <w:rsid w:val="4C577725"/>
    <w:rsid w:val="4C6C1422"/>
    <w:rsid w:val="4C8449BE"/>
    <w:rsid w:val="4CB359F7"/>
    <w:rsid w:val="4CBF59F6"/>
    <w:rsid w:val="4CC4660B"/>
    <w:rsid w:val="4CCA6149"/>
    <w:rsid w:val="4CCA7EF7"/>
    <w:rsid w:val="4CFB6302"/>
    <w:rsid w:val="4D037549"/>
    <w:rsid w:val="4D306E91"/>
    <w:rsid w:val="4D5C16A3"/>
    <w:rsid w:val="4D5E04AC"/>
    <w:rsid w:val="4D7A36CB"/>
    <w:rsid w:val="4DB210B7"/>
    <w:rsid w:val="4DF06083"/>
    <w:rsid w:val="4DFB61FC"/>
    <w:rsid w:val="4E012DB3"/>
    <w:rsid w:val="4E102281"/>
    <w:rsid w:val="4E3D3AAD"/>
    <w:rsid w:val="4E47299C"/>
    <w:rsid w:val="4E704ACE"/>
    <w:rsid w:val="4E81368C"/>
    <w:rsid w:val="4ED67027"/>
    <w:rsid w:val="4F072E4C"/>
    <w:rsid w:val="4F1171EA"/>
    <w:rsid w:val="4F1C0D7A"/>
    <w:rsid w:val="4F2C3CE9"/>
    <w:rsid w:val="4F4A6982"/>
    <w:rsid w:val="4F530677"/>
    <w:rsid w:val="4F752402"/>
    <w:rsid w:val="4FC968D9"/>
    <w:rsid w:val="4FF41062"/>
    <w:rsid w:val="504F13FA"/>
    <w:rsid w:val="50A82084"/>
    <w:rsid w:val="50AD3DB7"/>
    <w:rsid w:val="50D605D0"/>
    <w:rsid w:val="51114346"/>
    <w:rsid w:val="51566BAA"/>
    <w:rsid w:val="516E01AD"/>
    <w:rsid w:val="51917235"/>
    <w:rsid w:val="51CB6BEB"/>
    <w:rsid w:val="51DC173E"/>
    <w:rsid w:val="51E65D02"/>
    <w:rsid w:val="51FC6DA4"/>
    <w:rsid w:val="521606D0"/>
    <w:rsid w:val="522956BF"/>
    <w:rsid w:val="52630BD1"/>
    <w:rsid w:val="52D01FDF"/>
    <w:rsid w:val="52DA7D38"/>
    <w:rsid w:val="52DC6BD6"/>
    <w:rsid w:val="52E340AB"/>
    <w:rsid w:val="52E9110F"/>
    <w:rsid w:val="531B4B18"/>
    <w:rsid w:val="531E0316"/>
    <w:rsid w:val="532A5B93"/>
    <w:rsid w:val="534E7B91"/>
    <w:rsid w:val="5362593B"/>
    <w:rsid w:val="53C2343A"/>
    <w:rsid w:val="53C5766A"/>
    <w:rsid w:val="53D1600F"/>
    <w:rsid w:val="53FC752F"/>
    <w:rsid w:val="54096145"/>
    <w:rsid w:val="543635BF"/>
    <w:rsid w:val="54417177"/>
    <w:rsid w:val="54752E3E"/>
    <w:rsid w:val="54905ECA"/>
    <w:rsid w:val="54B576DE"/>
    <w:rsid w:val="54BE4CA1"/>
    <w:rsid w:val="54D04518"/>
    <w:rsid w:val="54D86127"/>
    <w:rsid w:val="54DE2DE2"/>
    <w:rsid w:val="54FF4546"/>
    <w:rsid w:val="553C3BC4"/>
    <w:rsid w:val="554227C3"/>
    <w:rsid w:val="555B07B2"/>
    <w:rsid w:val="555D02CD"/>
    <w:rsid w:val="55774994"/>
    <w:rsid w:val="557C770E"/>
    <w:rsid w:val="55B1143D"/>
    <w:rsid w:val="55CC0A51"/>
    <w:rsid w:val="55D83684"/>
    <w:rsid w:val="562B140A"/>
    <w:rsid w:val="5630526E"/>
    <w:rsid w:val="56416A39"/>
    <w:rsid w:val="56547E6E"/>
    <w:rsid w:val="56975989"/>
    <w:rsid w:val="56987D1D"/>
    <w:rsid w:val="569B5857"/>
    <w:rsid w:val="56B178A8"/>
    <w:rsid w:val="56E42C0C"/>
    <w:rsid w:val="573915E2"/>
    <w:rsid w:val="57911D41"/>
    <w:rsid w:val="57D34C7B"/>
    <w:rsid w:val="57D936E4"/>
    <w:rsid w:val="57E5652D"/>
    <w:rsid w:val="57EE6CBE"/>
    <w:rsid w:val="58022C3B"/>
    <w:rsid w:val="580A1F3C"/>
    <w:rsid w:val="58263D7A"/>
    <w:rsid w:val="587D0513"/>
    <w:rsid w:val="58C00850"/>
    <w:rsid w:val="58CE248E"/>
    <w:rsid w:val="58D02821"/>
    <w:rsid w:val="58D33612"/>
    <w:rsid w:val="58DF37A3"/>
    <w:rsid w:val="58EC43C6"/>
    <w:rsid w:val="59262FC6"/>
    <w:rsid w:val="59380949"/>
    <w:rsid w:val="59515EF9"/>
    <w:rsid w:val="596F3B96"/>
    <w:rsid w:val="598F49A2"/>
    <w:rsid w:val="59AF3DFF"/>
    <w:rsid w:val="59C363FA"/>
    <w:rsid w:val="59E55871"/>
    <w:rsid w:val="5A320FCE"/>
    <w:rsid w:val="5A3966BC"/>
    <w:rsid w:val="5A407A4A"/>
    <w:rsid w:val="5A470DD9"/>
    <w:rsid w:val="5A851901"/>
    <w:rsid w:val="5AF034C2"/>
    <w:rsid w:val="5B545E5B"/>
    <w:rsid w:val="5BEF2C11"/>
    <w:rsid w:val="5BF3746A"/>
    <w:rsid w:val="5C0056E3"/>
    <w:rsid w:val="5C036F81"/>
    <w:rsid w:val="5C413DFD"/>
    <w:rsid w:val="5C4C2CA7"/>
    <w:rsid w:val="5C8207EE"/>
    <w:rsid w:val="5C826784"/>
    <w:rsid w:val="5CA63FA9"/>
    <w:rsid w:val="5CB44D92"/>
    <w:rsid w:val="5CC93458"/>
    <w:rsid w:val="5CCC4F75"/>
    <w:rsid w:val="5CDD7CD2"/>
    <w:rsid w:val="5CED210B"/>
    <w:rsid w:val="5D2544BA"/>
    <w:rsid w:val="5D2B2C34"/>
    <w:rsid w:val="5D570FA6"/>
    <w:rsid w:val="5D8646F8"/>
    <w:rsid w:val="5DB14783"/>
    <w:rsid w:val="5DCA244C"/>
    <w:rsid w:val="5DFE20F6"/>
    <w:rsid w:val="5E3D75FD"/>
    <w:rsid w:val="5E721B5C"/>
    <w:rsid w:val="5E776A60"/>
    <w:rsid w:val="5E802B0B"/>
    <w:rsid w:val="5E810A7B"/>
    <w:rsid w:val="5E892B2C"/>
    <w:rsid w:val="5EBB7FE7"/>
    <w:rsid w:val="5ECC2455"/>
    <w:rsid w:val="5F0A0E0B"/>
    <w:rsid w:val="5F2D67F5"/>
    <w:rsid w:val="5F4C0C3F"/>
    <w:rsid w:val="5F592AFE"/>
    <w:rsid w:val="5F600DA5"/>
    <w:rsid w:val="5F6B30AD"/>
    <w:rsid w:val="5FAF6FEE"/>
    <w:rsid w:val="5FBC7B73"/>
    <w:rsid w:val="5FD67D35"/>
    <w:rsid w:val="5FEA7F0B"/>
    <w:rsid w:val="60017C7C"/>
    <w:rsid w:val="607E62CC"/>
    <w:rsid w:val="610E08A2"/>
    <w:rsid w:val="612B13A1"/>
    <w:rsid w:val="61A92379"/>
    <w:rsid w:val="61D07906"/>
    <w:rsid w:val="61E51C5E"/>
    <w:rsid w:val="61F27457"/>
    <w:rsid w:val="61F524AB"/>
    <w:rsid w:val="61FF7C84"/>
    <w:rsid w:val="620530E0"/>
    <w:rsid w:val="62145A44"/>
    <w:rsid w:val="62262BE0"/>
    <w:rsid w:val="62E748C0"/>
    <w:rsid w:val="631303F2"/>
    <w:rsid w:val="63E96724"/>
    <w:rsid w:val="63EA44DC"/>
    <w:rsid w:val="63FA510E"/>
    <w:rsid w:val="63FE0426"/>
    <w:rsid w:val="64124205"/>
    <w:rsid w:val="644D348F"/>
    <w:rsid w:val="64550596"/>
    <w:rsid w:val="6477605C"/>
    <w:rsid w:val="64801AB7"/>
    <w:rsid w:val="649B244D"/>
    <w:rsid w:val="64A537E1"/>
    <w:rsid w:val="64EC5163"/>
    <w:rsid w:val="64F068BE"/>
    <w:rsid w:val="64F658D5"/>
    <w:rsid w:val="650A5824"/>
    <w:rsid w:val="6529160E"/>
    <w:rsid w:val="656B1A72"/>
    <w:rsid w:val="65B04D2F"/>
    <w:rsid w:val="65DD6613"/>
    <w:rsid w:val="65E02D5F"/>
    <w:rsid w:val="65E16585"/>
    <w:rsid w:val="65E505B2"/>
    <w:rsid w:val="65F23BAF"/>
    <w:rsid w:val="6603474E"/>
    <w:rsid w:val="660932CF"/>
    <w:rsid w:val="660C5297"/>
    <w:rsid w:val="66417024"/>
    <w:rsid w:val="664B36ED"/>
    <w:rsid w:val="66590E47"/>
    <w:rsid w:val="666340E5"/>
    <w:rsid w:val="66680A54"/>
    <w:rsid w:val="66A4646F"/>
    <w:rsid w:val="66CF2882"/>
    <w:rsid w:val="66E826A9"/>
    <w:rsid w:val="672666F2"/>
    <w:rsid w:val="673132B0"/>
    <w:rsid w:val="676C1E7F"/>
    <w:rsid w:val="67A41618"/>
    <w:rsid w:val="67AC6DD1"/>
    <w:rsid w:val="67DC1391"/>
    <w:rsid w:val="67DD2577"/>
    <w:rsid w:val="68012F0F"/>
    <w:rsid w:val="680421B2"/>
    <w:rsid w:val="6807798D"/>
    <w:rsid w:val="680B1DCD"/>
    <w:rsid w:val="681503E6"/>
    <w:rsid w:val="683B68B2"/>
    <w:rsid w:val="68872E51"/>
    <w:rsid w:val="68AE3467"/>
    <w:rsid w:val="68B24209"/>
    <w:rsid w:val="68C10EA6"/>
    <w:rsid w:val="68CA3301"/>
    <w:rsid w:val="68CC52CB"/>
    <w:rsid w:val="69252C2D"/>
    <w:rsid w:val="693448A9"/>
    <w:rsid w:val="69824627"/>
    <w:rsid w:val="69892779"/>
    <w:rsid w:val="69BA52E5"/>
    <w:rsid w:val="6A1C4030"/>
    <w:rsid w:val="6A260A0B"/>
    <w:rsid w:val="6A4470E3"/>
    <w:rsid w:val="6A5E5EC5"/>
    <w:rsid w:val="6A75102E"/>
    <w:rsid w:val="6A8B2F63"/>
    <w:rsid w:val="6ACD6BE6"/>
    <w:rsid w:val="6B075151"/>
    <w:rsid w:val="6B15282D"/>
    <w:rsid w:val="6B5B6548"/>
    <w:rsid w:val="6B6F018F"/>
    <w:rsid w:val="6BDB5825"/>
    <w:rsid w:val="6BE51DE5"/>
    <w:rsid w:val="6C3948F8"/>
    <w:rsid w:val="6C545B9D"/>
    <w:rsid w:val="6C8C6B1F"/>
    <w:rsid w:val="6CA70E8F"/>
    <w:rsid w:val="6CD009DE"/>
    <w:rsid w:val="6CD56CEF"/>
    <w:rsid w:val="6CE801F9"/>
    <w:rsid w:val="6D0854A3"/>
    <w:rsid w:val="6D090706"/>
    <w:rsid w:val="6D1B0A3B"/>
    <w:rsid w:val="6D2A78D9"/>
    <w:rsid w:val="6D2F0CB0"/>
    <w:rsid w:val="6D5911AE"/>
    <w:rsid w:val="6D8E5405"/>
    <w:rsid w:val="6D9C2A14"/>
    <w:rsid w:val="6DEA1D4F"/>
    <w:rsid w:val="6DEE4DF9"/>
    <w:rsid w:val="6E4F6056"/>
    <w:rsid w:val="6E724023"/>
    <w:rsid w:val="6E873AFE"/>
    <w:rsid w:val="6E8E0FCC"/>
    <w:rsid w:val="6E952EB1"/>
    <w:rsid w:val="6EBA7973"/>
    <w:rsid w:val="6EC41BFF"/>
    <w:rsid w:val="6EEC1EFB"/>
    <w:rsid w:val="6EF121B8"/>
    <w:rsid w:val="6F3752B5"/>
    <w:rsid w:val="6F392A5E"/>
    <w:rsid w:val="6F675A43"/>
    <w:rsid w:val="6F7F4719"/>
    <w:rsid w:val="6F926B42"/>
    <w:rsid w:val="6FA94B7A"/>
    <w:rsid w:val="6FD67DE1"/>
    <w:rsid w:val="70065AA8"/>
    <w:rsid w:val="70273BAE"/>
    <w:rsid w:val="702D0210"/>
    <w:rsid w:val="70AC68CB"/>
    <w:rsid w:val="70BB5E44"/>
    <w:rsid w:val="70F76C5D"/>
    <w:rsid w:val="70F8039F"/>
    <w:rsid w:val="71236F3D"/>
    <w:rsid w:val="7139610E"/>
    <w:rsid w:val="71581BF0"/>
    <w:rsid w:val="715B31D5"/>
    <w:rsid w:val="716E4E92"/>
    <w:rsid w:val="71755DD4"/>
    <w:rsid w:val="71771B4C"/>
    <w:rsid w:val="71E73175"/>
    <w:rsid w:val="71F33D12"/>
    <w:rsid w:val="71FC347E"/>
    <w:rsid w:val="71FF1D0A"/>
    <w:rsid w:val="72086C48"/>
    <w:rsid w:val="723637B5"/>
    <w:rsid w:val="727056D0"/>
    <w:rsid w:val="72FB33E4"/>
    <w:rsid w:val="73196236"/>
    <w:rsid w:val="733C7E7A"/>
    <w:rsid w:val="737A3B75"/>
    <w:rsid w:val="737E3B89"/>
    <w:rsid w:val="73816CB2"/>
    <w:rsid w:val="738F0BCE"/>
    <w:rsid w:val="73A55AC9"/>
    <w:rsid w:val="73C11280"/>
    <w:rsid w:val="73D3719B"/>
    <w:rsid w:val="73F41B79"/>
    <w:rsid w:val="740578E3"/>
    <w:rsid w:val="742A5972"/>
    <w:rsid w:val="742C30C1"/>
    <w:rsid w:val="742F15C1"/>
    <w:rsid w:val="7447614D"/>
    <w:rsid w:val="7451604E"/>
    <w:rsid w:val="74654825"/>
    <w:rsid w:val="748702F8"/>
    <w:rsid w:val="748E7A7C"/>
    <w:rsid w:val="7490063B"/>
    <w:rsid w:val="74BF03A7"/>
    <w:rsid w:val="74C23A26"/>
    <w:rsid w:val="74F31BEB"/>
    <w:rsid w:val="74F4393E"/>
    <w:rsid w:val="750F72AD"/>
    <w:rsid w:val="7521699E"/>
    <w:rsid w:val="752244C4"/>
    <w:rsid w:val="758D73E2"/>
    <w:rsid w:val="75DD3123"/>
    <w:rsid w:val="75E55C1E"/>
    <w:rsid w:val="76923F99"/>
    <w:rsid w:val="76B90225"/>
    <w:rsid w:val="76C5092E"/>
    <w:rsid w:val="76FE5951"/>
    <w:rsid w:val="771066E9"/>
    <w:rsid w:val="77117357"/>
    <w:rsid w:val="778B1457"/>
    <w:rsid w:val="77AA6FDD"/>
    <w:rsid w:val="77DC18CC"/>
    <w:rsid w:val="780116F5"/>
    <w:rsid w:val="780E1917"/>
    <w:rsid w:val="785015CD"/>
    <w:rsid w:val="78576328"/>
    <w:rsid w:val="786A534C"/>
    <w:rsid w:val="787E7BA9"/>
    <w:rsid w:val="78886D34"/>
    <w:rsid w:val="789C002C"/>
    <w:rsid w:val="78C37D6C"/>
    <w:rsid w:val="791D1B21"/>
    <w:rsid w:val="79222CE5"/>
    <w:rsid w:val="792627D5"/>
    <w:rsid w:val="79675392"/>
    <w:rsid w:val="797E2505"/>
    <w:rsid w:val="79893C49"/>
    <w:rsid w:val="79E94D5A"/>
    <w:rsid w:val="7A106FE1"/>
    <w:rsid w:val="7A2111EE"/>
    <w:rsid w:val="7A29339B"/>
    <w:rsid w:val="7A2C3355"/>
    <w:rsid w:val="7A6868D3"/>
    <w:rsid w:val="7A8552D9"/>
    <w:rsid w:val="7AA775CF"/>
    <w:rsid w:val="7ABB0CFB"/>
    <w:rsid w:val="7ABC4A73"/>
    <w:rsid w:val="7AC026A2"/>
    <w:rsid w:val="7AD305E1"/>
    <w:rsid w:val="7B191EC6"/>
    <w:rsid w:val="7B24244C"/>
    <w:rsid w:val="7BA75723"/>
    <w:rsid w:val="7BA94FF8"/>
    <w:rsid w:val="7BD02097"/>
    <w:rsid w:val="7BD91124"/>
    <w:rsid w:val="7C167B78"/>
    <w:rsid w:val="7C1953BA"/>
    <w:rsid w:val="7C1B4DE3"/>
    <w:rsid w:val="7C3B2C04"/>
    <w:rsid w:val="7C6151AF"/>
    <w:rsid w:val="7C6554D5"/>
    <w:rsid w:val="7C740168"/>
    <w:rsid w:val="7C765821"/>
    <w:rsid w:val="7CBB76D8"/>
    <w:rsid w:val="7CE309DD"/>
    <w:rsid w:val="7D0B6E9E"/>
    <w:rsid w:val="7D1110A6"/>
    <w:rsid w:val="7D63227A"/>
    <w:rsid w:val="7D8212B0"/>
    <w:rsid w:val="7D884A57"/>
    <w:rsid w:val="7DAA2A29"/>
    <w:rsid w:val="7DC40443"/>
    <w:rsid w:val="7DE40569"/>
    <w:rsid w:val="7DF80CC1"/>
    <w:rsid w:val="7DFD4780"/>
    <w:rsid w:val="7E105802"/>
    <w:rsid w:val="7E1612D5"/>
    <w:rsid w:val="7E241943"/>
    <w:rsid w:val="7E2766A8"/>
    <w:rsid w:val="7E490E8C"/>
    <w:rsid w:val="7E5D031B"/>
    <w:rsid w:val="7E747B3F"/>
    <w:rsid w:val="7E8B48A1"/>
    <w:rsid w:val="7EB05F55"/>
    <w:rsid w:val="7ECF3FA0"/>
    <w:rsid w:val="7ECF6CCC"/>
    <w:rsid w:val="7F712AF3"/>
    <w:rsid w:val="7FB421BD"/>
    <w:rsid w:val="7FD40F23"/>
    <w:rsid w:val="7FFA22C6"/>
  </w:rsids>
  <m:mathPr>
    <m:mathFont m:val="Times New Roman"/>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9"/>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1"/>
    <w:autoRedefine/>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237"/>
    <w:autoRedefine/>
    <w:unhideWhenUsed/>
    <w:qFormat/>
    <w:uiPriority w:val="99"/>
    <w:pPr>
      <w:jc w:val="left"/>
    </w:pPr>
  </w:style>
  <w:style w:type="paragraph" w:styleId="14">
    <w:name w:val="Body Text"/>
    <w:basedOn w:val="1"/>
    <w:link w:val="90"/>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9"/>
    <w:autoRedefine/>
    <w:unhideWhenUsed/>
    <w:qFormat/>
    <w:uiPriority w:val="99"/>
    <w:rPr>
      <w:sz w:val="18"/>
      <w:szCs w:val="18"/>
    </w:rPr>
  </w:style>
  <w:style w:type="paragraph" w:styleId="18">
    <w:name w:val="footer"/>
    <w:basedOn w:val="1"/>
    <w:link w:val="48"/>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autoRedefine/>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7">
    <w:name w:val="Title"/>
    <w:basedOn w:val="1"/>
    <w:link w:val="52"/>
    <w:autoRedefine/>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8"/>
    <w:autoRedefine/>
    <w:unhideWhenUsed/>
    <w:qFormat/>
    <w:uiPriority w:val="99"/>
    <w:rPr>
      <w:b/>
      <w:bCs/>
    </w:rPr>
  </w:style>
  <w:style w:type="table" w:styleId="30">
    <w:name w:val="Table Grid"/>
    <w:basedOn w:val="2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autoRedefine/>
    <w:unhideWhenUsed/>
    <w:qFormat/>
    <w:uiPriority w:val="99"/>
    <w:rPr>
      <w:sz w:val="21"/>
      <w:szCs w:val="21"/>
    </w:rPr>
  </w:style>
  <w:style w:type="character" w:styleId="37">
    <w:name w:val="footnote reference"/>
    <w:autoRedefine/>
    <w:semiHidden/>
    <w:qFormat/>
    <w:uiPriority w:val="0"/>
    <w:rPr>
      <w:rFonts w:ascii="宋体" w:hAnsi="宋体" w:eastAsia="宋体" w:cs="Times New Roman"/>
      <w:spacing w:val="0"/>
      <w:sz w:val="18"/>
      <w:vertAlign w:val="superscript"/>
    </w:rPr>
  </w:style>
  <w:style w:type="character" w:customStyle="1" w:styleId="38">
    <w:name w:val="标题 1 字符"/>
    <w:link w:val="2"/>
    <w:autoRedefine/>
    <w:qFormat/>
    <w:uiPriority w:val="9"/>
    <w:rPr>
      <w:rFonts w:ascii="Times New Roman" w:hAnsi="Times New Roman" w:eastAsia="宋体" w:cs="Times New Roman"/>
      <w:b/>
      <w:bCs/>
      <w:kern w:val="44"/>
      <w:sz w:val="44"/>
      <w:szCs w:val="44"/>
    </w:rPr>
  </w:style>
  <w:style w:type="character" w:customStyle="1" w:styleId="39">
    <w:name w:val="标题 2 字符"/>
    <w:link w:val="3"/>
    <w:autoRedefine/>
    <w:qFormat/>
    <w:uiPriority w:val="0"/>
    <w:rPr>
      <w:rFonts w:ascii="Arial" w:hAnsi="Arial" w:eastAsia="黑体" w:cs="Times New Roman"/>
      <w:b/>
      <w:bCs/>
      <w:sz w:val="32"/>
      <w:szCs w:val="32"/>
    </w:rPr>
  </w:style>
  <w:style w:type="character" w:customStyle="1" w:styleId="40">
    <w:name w:val="标题 3 字符"/>
    <w:link w:val="4"/>
    <w:autoRedefine/>
    <w:qFormat/>
    <w:uiPriority w:val="0"/>
    <w:rPr>
      <w:rFonts w:ascii="Times New Roman" w:hAnsi="Times New Roman" w:eastAsia="宋体" w:cs="Times New Roman"/>
      <w:b/>
      <w:bCs/>
      <w:sz w:val="32"/>
      <w:szCs w:val="32"/>
    </w:rPr>
  </w:style>
  <w:style w:type="character" w:customStyle="1" w:styleId="41">
    <w:name w:val="标题 4 字符"/>
    <w:link w:val="5"/>
    <w:autoRedefine/>
    <w:qFormat/>
    <w:uiPriority w:val="9"/>
    <w:rPr>
      <w:rFonts w:ascii="Arial" w:hAnsi="Arial" w:eastAsia="黑体" w:cs="Times New Roman"/>
      <w:b/>
      <w:bCs/>
      <w:sz w:val="28"/>
      <w:szCs w:val="28"/>
    </w:rPr>
  </w:style>
  <w:style w:type="character" w:customStyle="1" w:styleId="42">
    <w:name w:val="标题 5 字符"/>
    <w:link w:val="6"/>
    <w:autoRedefine/>
    <w:qFormat/>
    <w:uiPriority w:val="0"/>
    <w:rPr>
      <w:rFonts w:ascii="Times New Roman" w:hAnsi="Times New Roman" w:eastAsia="宋体" w:cs="Times New Roman"/>
      <w:b/>
      <w:bCs/>
      <w:sz w:val="28"/>
      <w:szCs w:val="28"/>
    </w:rPr>
  </w:style>
  <w:style w:type="character" w:customStyle="1" w:styleId="43">
    <w:name w:val="标题 6 字符"/>
    <w:link w:val="7"/>
    <w:autoRedefine/>
    <w:qFormat/>
    <w:uiPriority w:val="0"/>
    <w:rPr>
      <w:rFonts w:ascii="Arial" w:hAnsi="Arial" w:eastAsia="黑体" w:cs="Times New Roman"/>
      <w:b/>
      <w:bCs/>
      <w:sz w:val="24"/>
      <w:szCs w:val="24"/>
    </w:rPr>
  </w:style>
  <w:style w:type="character" w:customStyle="1" w:styleId="44">
    <w:name w:val="标题 7 字符"/>
    <w:link w:val="8"/>
    <w:autoRedefine/>
    <w:qFormat/>
    <w:uiPriority w:val="0"/>
    <w:rPr>
      <w:rFonts w:ascii="Times New Roman" w:hAnsi="Times New Roman" w:eastAsia="宋体" w:cs="Times New Roman"/>
      <w:b/>
      <w:bCs/>
      <w:sz w:val="24"/>
      <w:szCs w:val="24"/>
    </w:rPr>
  </w:style>
  <w:style w:type="character" w:customStyle="1" w:styleId="45">
    <w:name w:val="标题 8 字符"/>
    <w:link w:val="9"/>
    <w:autoRedefine/>
    <w:qFormat/>
    <w:uiPriority w:val="0"/>
    <w:rPr>
      <w:rFonts w:ascii="Arial" w:hAnsi="Arial" w:eastAsia="黑体" w:cs="Times New Roman"/>
      <w:sz w:val="24"/>
      <w:szCs w:val="24"/>
    </w:rPr>
  </w:style>
  <w:style w:type="character" w:customStyle="1" w:styleId="46">
    <w:name w:val="标题 9 字符"/>
    <w:link w:val="10"/>
    <w:autoRedefine/>
    <w:qFormat/>
    <w:uiPriority w:val="0"/>
    <w:rPr>
      <w:rFonts w:ascii="Arial" w:hAnsi="Arial" w:eastAsia="黑体" w:cs="Times New Roman"/>
      <w:szCs w:val="21"/>
    </w:rPr>
  </w:style>
  <w:style w:type="character" w:customStyle="1" w:styleId="47">
    <w:name w:val="页眉 字符"/>
    <w:link w:val="19"/>
    <w:autoRedefine/>
    <w:qFormat/>
    <w:uiPriority w:val="99"/>
    <w:rPr>
      <w:rFonts w:ascii="Times New Roman" w:hAnsi="Times New Roman" w:eastAsia="宋体" w:cs="Times New Roman"/>
      <w:sz w:val="18"/>
      <w:szCs w:val="18"/>
    </w:rPr>
  </w:style>
  <w:style w:type="character" w:customStyle="1" w:styleId="48">
    <w:name w:val="页脚 字符"/>
    <w:link w:val="18"/>
    <w:autoRedefine/>
    <w:qFormat/>
    <w:uiPriority w:val="99"/>
    <w:rPr>
      <w:rFonts w:ascii="宋体" w:hAnsi="Times New Roman" w:eastAsia="宋体" w:cs="Times New Roman"/>
      <w:sz w:val="18"/>
      <w:szCs w:val="18"/>
    </w:rPr>
  </w:style>
  <w:style w:type="character" w:customStyle="1" w:styleId="49">
    <w:name w:val="批注框文本 字符"/>
    <w:link w:val="17"/>
    <w:autoRedefine/>
    <w:semiHidden/>
    <w:qFormat/>
    <w:uiPriority w:val="99"/>
    <w:rPr>
      <w:sz w:val="18"/>
      <w:szCs w:val="18"/>
    </w:rPr>
  </w:style>
  <w:style w:type="paragraph" w:customStyle="1" w:styleId="50">
    <w:name w:val="引用1"/>
    <w:basedOn w:val="1"/>
    <w:next w:val="1"/>
    <w:link w:val="51"/>
    <w:autoRedefine/>
    <w:qFormat/>
    <w:uiPriority w:val="29"/>
    <w:rPr>
      <w:i/>
      <w:iCs/>
      <w:color w:val="000000"/>
    </w:rPr>
  </w:style>
  <w:style w:type="character" w:customStyle="1" w:styleId="51">
    <w:name w:val="引用 字符"/>
    <w:link w:val="50"/>
    <w:autoRedefine/>
    <w:qFormat/>
    <w:uiPriority w:val="29"/>
    <w:rPr>
      <w:i/>
      <w:iCs/>
      <w:color w:val="000000"/>
    </w:rPr>
  </w:style>
  <w:style w:type="character" w:customStyle="1" w:styleId="52">
    <w:name w:val="标题 字符"/>
    <w:link w:val="27"/>
    <w:autoRedefine/>
    <w:qFormat/>
    <w:uiPriority w:val="0"/>
    <w:rPr>
      <w:rFonts w:ascii="Arial" w:hAnsi="Arial" w:eastAsia="宋体" w:cs="Arial"/>
      <w:b/>
      <w:bCs/>
      <w:sz w:val="32"/>
      <w:szCs w:val="32"/>
    </w:rPr>
  </w:style>
  <w:style w:type="paragraph" w:customStyle="1" w:styleId="53">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autoRedefine/>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autoRedefine/>
    <w:qFormat/>
    <w:uiPriority w:val="0"/>
    <w:pPr>
      <w:spacing w:line="0" w:lineRule="atLeast"/>
    </w:pPr>
    <w:rPr>
      <w:rFonts w:ascii="黑体" w:hAnsi="宋体" w:eastAsia="黑体"/>
    </w:rPr>
  </w:style>
  <w:style w:type="paragraph" w:customStyle="1" w:styleId="59">
    <w:name w:val="标准文件_标准正文"/>
    <w:basedOn w:val="1"/>
    <w:next w:val="60"/>
    <w:autoRedefine/>
    <w:qFormat/>
    <w:uiPriority w:val="0"/>
    <w:pPr>
      <w:snapToGrid w:val="0"/>
      <w:ind w:firstLine="200" w:firstLineChars="200"/>
    </w:pPr>
    <w:rPr>
      <w:kern w:val="0"/>
    </w:rPr>
  </w:style>
  <w:style w:type="paragraph" w:customStyle="1" w:styleId="60">
    <w:name w:val="标准文件_段"/>
    <w:link w:val="188"/>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autoRedefine/>
    <w:qFormat/>
    <w:uiPriority w:val="0"/>
    <w:pPr>
      <w:adjustRightInd/>
      <w:snapToGrid/>
      <w:ind w:firstLine="0" w:firstLineChars="0"/>
    </w:pPr>
    <w:rPr>
      <w:rFonts w:ascii="宋体" w:hAnsi="宋体"/>
      <w:kern w:val="2"/>
    </w:rPr>
  </w:style>
  <w:style w:type="paragraph" w:customStyle="1" w:styleId="62">
    <w:name w:val="标准文件_标准部门"/>
    <w:basedOn w:val="1"/>
    <w:autoRedefine/>
    <w:qFormat/>
    <w:uiPriority w:val="0"/>
    <w:pPr>
      <w:jc w:val="center"/>
    </w:pPr>
    <w:rPr>
      <w:rFonts w:ascii="黑体" w:eastAsia="黑体"/>
      <w:kern w:val="0"/>
      <w:sz w:val="44"/>
    </w:rPr>
  </w:style>
  <w:style w:type="paragraph" w:customStyle="1" w:styleId="63">
    <w:name w:val="标准文件_标准代替"/>
    <w:basedOn w:val="1"/>
    <w:next w:val="1"/>
    <w:autoRedefine/>
    <w:qFormat/>
    <w:uiPriority w:val="0"/>
    <w:pPr>
      <w:spacing w:line="310" w:lineRule="exact"/>
      <w:jc w:val="right"/>
    </w:pPr>
    <w:rPr>
      <w:rFonts w:ascii="宋体" w:hAnsi="宋体"/>
      <w:kern w:val="0"/>
    </w:rPr>
  </w:style>
  <w:style w:type="paragraph" w:customStyle="1" w:styleId="64">
    <w:name w:val="标准文件_标准名称标题"/>
    <w:basedOn w:val="1"/>
    <w:next w:val="1"/>
    <w:link w:val="246"/>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autoRedefine/>
    <w:qFormat/>
    <w:uiPriority w:val="0"/>
    <w:pPr>
      <w:jc w:val="left"/>
    </w:pPr>
  </w:style>
  <w:style w:type="paragraph" w:customStyle="1" w:styleId="67">
    <w:name w:val="标准文件_参考文献标题"/>
    <w:basedOn w:val="1"/>
    <w:next w:val="1"/>
    <w:autoRedefine/>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8">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link w:val="247"/>
    <w:autoRedefine/>
    <w:qFormat/>
    <w:uiPriority w:val="0"/>
    <w:pPr>
      <w:widowControl w:val="0"/>
      <w:numPr>
        <w:ilvl w:val="3"/>
        <w:numId w:val="2"/>
      </w:numPr>
      <w:spacing w:before="120" w:beforeLines="50" w:after="120" w:afterLines="50"/>
      <w:jc w:val="both"/>
      <w:outlineLvl w:val="2"/>
    </w:pPr>
    <w:rPr>
      <w:rFonts w:ascii="黑体" w:hAnsi="Times New Roman" w:eastAsia="黑体" w:cs="Times New Roman"/>
      <w:sz w:val="21"/>
      <w:lang w:val="en-US" w:eastAsia="zh-CN" w:bidi="ar-SA"/>
    </w:rPr>
  </w:style>
  <w:style w:type="character" w:customStyle="1" w:styleId="70">
    <w:name w:val="标准文件_发布"/>
    <w:autoRedefine/>
    <w:qFormat/>
    <w:uiPriority w:val="0"/>
    <w:rPr>
      <w:rFonts w:ascii="黑体" w:eastAsia="黑体"/>
      <w:spacing w:val="0"/>
      <w:w w:val="100"/>
      <w:position w:val="3"/>
      <w:sz w:val="28"/>
    </w:rPr>
  </w:style>
  <w:style w:type="paragraph" w:customStyle="1" w:styleId="71">
    <w:name w:val="标准文件_方框数字列项"/>
    <w:basedOn w:val="60"/>
    <w:autoRedefine/>
    <w:qFormat/>
    <w:uiPriority w:val="0"/>
    <w:pPr>
      <w:numPr>
        <w:ilvl w:val="0"/>
        <w:numId w:val="3"/>
      </w:numPr>
      <w:ind w:firstLine="0" w:firstLineChars="0"/>
    </w:pPr>
  </w:style>
  <w:style w:type="paragraph" w:customStyle="1" w:styleId="72">
    <w:name w:val="标准文件_封面标准编号"/>
    <w:basedOn w:val="1"/>
    <w:next w:val="63"/>
    <w:autoRedefine/>
    <w:qFormat/>
    <w:uiPriority w:val="0"/>
    <w:pPr>
      <w:spacing w:line="310" w:lineRule="exact"/>
      <w:jc w:val="right"/>
    </w:pPr>
    <w:rPr>
      <w:rFonts w:ascii="黑体" w:eastAsia="黑体"/>
      <w:kern w:val="0"/>
      <w:sz w:val="28"/>
    </w:rPr>
  </w:style>
  <w:style w:type="paragraph" w:customStyle="1" w:styleId="73">
    <w:name w:val="标准文件_封面标准分类号"/>
    <w:basedOn w:val="1"/>
    <w:autoRedefine/>
    <w:qFormat/>
    <w:uiPriority w:val="0"/>
    <w:rPr>
      <w:rFonts w:ascii="黑体" w:eastAsia="黑体"/>
      <w:b/>
      <w:kern w:val="0"/>
      <w:sz w:val="28"/>
    </w:rPr>
  </w:style>
  <w:style w:type="paragraph" w:customStyle="1" w:styleId="74">
    <w:name w:val="标准文件_封面标准名称"/>
    <w:basedOn w:val="1"/>
    <w:autoRedefine/>
    <w:qFormat/>
    <w:uiPriority w:val="0"/>
    <w:pPr>
      <w:spacing w:line="240" w:lineRule="auto"/>
      <w:jc w:val="center"/>
    </w:pPr>
    <w:rPr>
      <w:rFonts w:ascii="黑体" w:eastAsia="黑体"/>
      <w:kern w:val="0"/>
      <w:sz w:val="52"/>
    </w:rPr>
  </w:style>
  <w:style w:type="paragraph" w:customStyle="1" w:styleId="75">
    <w:name w:val="标准文件_封面标准英文名称"/>
    <w:basedOn w:val="1"/>
    <w:autoRedefine/>
    <w:qFormat/>
    <w:uiPriority w:val="0"/>
    <w:pPr>
      <w:spacing w:line="240" w:lineRule="auto"/>
      <w:jc w:val="center"/>
    </w:pPr>
    <w:rPr>
      <w:rFonts w:ascii="黑体" w:eastAsia="黑体"/>
      <w:b/>
      <w:sz w:val="28"/>
    </w:rPr>
  </w:style>
  <w:style w:type="paragraph" w:customStyle="1" w:styleId="76">
    <w:name w:val="标准文件_封面发布日期"/>
    <w:basedOn w:val="1"/>
    <w:autoRedefine/>
    <w:qFormat/>
    <w:uiPriority w:val="0"/>
    <w:pPr>
      <w:spacing w:line="310" w:lineRule="exact"/>
    </w:pPr>
    <w:rPr>
      <w:rFonts w:ascii="黑体" w:eastAsia="黑体"/>
      <w:kern w:val="0"/>
      <w:sz w:val="28"/>
    </w:rPr>
  </w:style>
  <w:style w:type="paragraph" w:customStyle="1" w:styleId="77">
    <w:name w:val="标准文件_封面密级"/>
    <w:basedOn w:val="1"/>
    <w:autoRedefine/>
    <w:qFormat/>
    <w:uiPriority w:val="0"/>
    <w:rPr>
      <w:rFonts w:eastAsia="黑体"/>
      <w:sz w:val="32"/>
    </w:rPr>
  </w:style>
  <w:style w:type="paragraph" w:customStyle="1" w:styleId="78">
    <w:name w:val="标准文件_封面实施日期"/>
    <w:basedOn w:val="1"/>
    <w:autoRedefine/>
    <w:qFormat/>
    <w:uiPriority w:val="0"/>
    <w:pPr>
      <w:spacing w:line="310" w:lineRule="exact"/>
      <w:jc w:val="right"/>
    </w:pPr>
    <w:rPr>
      <w:rFonts w:ascii="黑体" w:eastAsia="黑体"/>
      <w:sz w:val="28"/>
    </w:rPr>
  </w:style>
  <w:style w:type="paragraph" w:customStyle="1" w:styleId="79">
    <w:name w:val="标准文件_封面抬头"/>
    <w:basedOn w:val="60"/>
    <w:autoRedefine/>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autoRedefine/>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autoRedefine/>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autoRedefine/>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autoRedefine/>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autoRedefine/>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autoRedefine/>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autoRedefine/>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8">
    <w:name w:val="标准文件_附录五级条标题"/>
    <w:next w:val="60"/>
    <w:autoRedefine/>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autoRedefine/>
    <w:qFormat/>
    <w:uiPriority w:val="0"/>
    <w:rPr>
      <w:rFonts w:ascii="Times New Roman" w:hAnsi="Times New Roman" w:eastAsia="宋体" w:cs="Times New Roman"/>
      <w:szCs w:val="20"/>
    </w:rPr>
  </w:style>
  <w:style w:type="paragraph" w:customStyle="1" w:styleId="91">
    <w:name w:val="标准文件_附录章标题"/>
    <w:next w:val="60"/>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autoRedefine/>
    <w:qFormat/>
    <w:uiPriority w:val="0"/>
    <w:pPr>
      <w:ind w:left="488" w:leftChars="200" w:hanging="289" w:hangingChars="290"/>
    </w:pPr>
  </w:style>
  <w:style w:type="paragraph" w:customStyle="1" w:styleId="93">
    <w:name w:val="标准文件_前言、引言标题"/>
    <w:next w:val="1"/>
    <w:link w:val="249"/>
    <w:autoRedefine/>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link w:val="248"/>
    <w:autoRedefine/>
    <w:qFormat/>
    <w:uiPriority w:val="0"/>
    <w:pPr>
      <w:spacing w:line="460" w:lineRule="exact"/>
    </w:pPr>
  </w:style>
  <w:style w:type="paragraph" w:customStyle="1" w:styleId="95">
    <w:name w:val="标准文件_目录标题"/>
    <w:basedOn w:val="1"/>
    <w:autoRedefine/>
    <w:qFormat/>
    <w:uiPriority w:val="0"/>
    <w:pPr>
      <w:spacing w:afterLines="150" w:line="240" w:lineRule="auto"/>
      <w:jc w:val="center"/>
    </w:pPr>
    <w:rPr>
      <w:rFonts w:ascii="黑体" w:eastAsia="黑体"/>
      <w:sz w:val="32"/>
    </w:rPr>
  </w:style>
  <w:style w:type="paragraph" w:customStyle="1" w:styleId="96">
    <w:name w:val="标准文件_破折号列项"/>
    <w:autoRedefine/>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autoRedefine/>
    <w:qFormat/>
    <w:uiPriority w:val="0"/>
    <w:pPr>
      <w:numPr>
        <w:numId w:val="10"/>
      </w:numPr>
      <w:ind w:left="0" w:firstLine="200"/>
    </w:pPr>
  </w:style>
  <w:style w:type="paragraph" w:customStyle="1" w:styleId="98">
    <w:name w:val="标准文件_三级条标题"/>
    <w:basedOn w:val="69"/>
    <w:next w:val="60"/>
    <w:link w:val="250"/>
    <w:autoRedefine/>
    <w:qFormat/>
    <w:uiPriority w:val="0"/>
    <w:pPr>
      <w:widowControl/>
      <w:numPr>
        <w:ilvl w:val="4"/>
      </w:numPr>
      <w:outlineLvl w:val="3"/>
    </w:pPr>
  </w:style>
  <w:style w:type="character" w:customStyle="1" w:styleId="99">
    <w:name w:val="不明显参考1"/>
    <w:autoRedefine/>
    <w:qFormat/>
    <w:uiPriority w:val="31"/>
    <w:rPr>
      <w:smallCaps/>
      <w:color w:val="C0504D"/>
      <w:u w:val="single"/>
    </w:rPr>
  </w:style>
  <w:style w:type="paragraph" w:customStyle="1" w:styleId="100">
    <w:name w:val="标准文件_示例后续"/>
    <w:basedOn w:val="1"/>
    <w:autoRedefine/>
    <w:qFormat/>
    <w:uiPriority w:val="0"/>
    <w:pPr>
      <w:adjustRightInd/>
      <w:spacing w:line="240" w:lineRule="auto"/>
      <w:ind w:firstLine="200" w:firstLineChars="200"/>
    </w:pPr>
    <w:rPr>
      <w:sz w:val="18"/>
      <w:szCs w:val="24"/>
    </w:rPr>
  </w:style>
  <w:style w:type="paragraph" w:customStyle="1" w:styleId="101">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link w:val="261"/>
    <w:autoRedefine/>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autoRedefine/>
    <w:semiHidden/>
    <w:qFormat/>
    <w:uiPriority w:val="0"/>
    <w:rPr>
      <w:rFonts w:ascii="宋体" w:hAnsi="Times New Roman" w:eastAsia="宋体" w:cs="Times New Roman"/>
      <w:sz w:val="18"/>
      <w:szCs w:val="18"/>
    </w:rPr>
  </w:style>
  <w:style w:type="paragraph" w:customStyle="1" w:styleId="104">
    <w:name w:val="标准文件_条文脚注"/>
    <w:basedOn w:val="22"/>
    <w:link w:val="259"/>
    <w:autoRedefine/>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link w:val="258"/>
    <w:autoRedefine/>
    <w:qFormat/>
    <w:uiPriority w:val="0"/>
    <w:pPr>
      <w:numPr>
        <w:ilvl w:val="0"/>
        <w:numId w:val="12"/>
      </w:numPr>
      <w:spacing w:line="240" w:lineRule="auto"/>
      <w:jc w:val="left"/>
    </w:pPr>
    <w:rPr>
      <w:rFonts w:ascii="宋体" w:hAnsi="宋体"/>
      <w:sz w:val="18"/>
    </w:rPr>
  </w:style>
  <w:style w:type="character" w:customStyle="1" w:styleId="106">
    <w:name w:val="标准文件_图表脚注内容"/>
    <w:autoRedefine/>
    <w:qFormat/>
    <w:uiPriority w:val="0"/>
    <w:rPr>
      <w:rFonts w:ascii="宋体" w:hAnsi="宋体" w:eastAsia="宋体" w:cs="Times New Roman"/>
      <w:spacing w:val="0"/>
      <w:sz w:val="18"/>
      <w:vertAlign w:val="superscript"/>
    </w:rPr>
  </w:style>
  <w:style w:type="paragraph" w:customStyle="1" w:styleId="107">
    <w:name w:val="标准文件_五级条标题"/>
    <w:next w:val="60"/>
    <w:link w:val="257"/>
    <w:autoRedefine/>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autoRedefine/>
    <w:qFormat/>
    <w:uiPriority w:val="0"/>
    <w:pPr>
      <w:numPr>
        <w:ilvl w:val="1"/>
        <w:numId w:val="2"/>
      </w:numPr>
      <w:spacing w:before="240" w:beforeLines="100" w:after="24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link w:val="251"/>
    <w:autoRedefine/>
    <w:qFormat/>
    <w:uiPriority w:val="0"/>
    <w:pPr>
      <w:numPr>
        <w:ilvl w:val="2"/>
      </w:numPr>
      <w:spacing w:before="120" w:beforeLines="50" w:after="0" w:afterLines="0"/>
      <w:jc w:val="left"/>
      <w:outlineLvl w:val="1"/>
    </w:pPr>
  </w:style>
  <w:style w:type="paragraph" w:customStyle="1" w:styleId="110">
    <w:name w:val="标准文件_一致程度"/>
    <w:basedOn w:val="1"/>
    <w:link w:val="252"/>
    <w:autoRedefine/>
    <w:qFormat/>
    <w:uiPriority w:val="0"/>
    <w:pPr>
      <w:spacing w:line="440" w:lineRule="exact"/>
      <w:jc w:val="center"/>
    </w:pPr>
    <w:rPr>
      <w:sz w:val="28"/>
    </w:rPr>
  </w:style>
  <w:style w:type="paragraph" w:customStyle="1" w:styleId="111">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link w:val="253"/>
    <w:autoRedefine/>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autoRedefine/>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4">
    <w:name w:val="标准文件_英文注："/>
    <w:basedOn w:val="1"/>
    <w:next w:val="60"/>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autoRedefine/>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link w:val="255"/>
    <w:autoRedefine/>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link w:val="254"/>
    <w:autoRedefine/>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link w:val="256"/>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autoRedefine/>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2">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3">
    <w:name w:val="发布部门"/>
    <w:next w:val="60"/>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autoRedefine/>
    <w:qFormat/>
    <w:uiPriority w:val="0"/>
    <w:pPr>
      <w:outlineLvl w:val="4"/>
    </w:pPr>
  </w:style>
  <w:style w:type="paragraph" w:customStyle="1" w:styleId="134">
    <w:name w:val="附录四级无标题条"/>
    <w:basedOn w:val="133"/>
    <w:next w:val="60"/>
    <w:autoRedefine/>
    <w:qFormat/>
    <w:uiPriority w:val="0"/>
    <w:pPr>
      <w:outlineLvl w:val="5"/>
    </w:pPr>
  </w:style>
  <w:style w:type="paragraph" w:customStyle="1" w:styleId="135">
    <w:name w:val="附录图"/>
    <w:next w:val="60"/>
    <w:autoRedefine/>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autoRedefine/>
    <w:qFormat/>
    <w:uiPriority w:val="0"/>
    <w:pPr>
      <w:outlineLvl w:val="6"/>
    </w:pPr>
  </w:style>
  <w:style w:type="paragraph" w:customStyle="1" w:styleId="138">
    <w:name w:val="附录性质"/>
    <w:basedOn w:val="1"/>
    <w:autoRedefine/>
    <w:qFormat/>
    <w:uiPriority w:val="0"/>
    <w:pPr>
      <w:widowControl/>
      <w:adjustRightInd/>
      <w:jc w:val="center"/>
    </w:pPr>
    <w:rPr>
      <w:rFonts w:ascii="黑体" w:eastAsia="黑体"/>
    </w:rPr>
  </w:style>
  <w:style w:type="paragraph" w:customStyle="1" w:styleId="139">
    <w:name w:val="附录一级无标题条"/>
    <w:basedOn w:val="91"/>
    <w:next w:val="60"/>
    <w:autoRedefine/>
    <w:qFormat/>
    <w:uiPriority w:val="0"/>
    <w:pPr>
      <w:autoSpaceDN w:val="0"/>
      <w:outlineLvl w:val="2"/>
    </w:pPr>
    <w:rPr>
      <w:rFonts w:ascii="宋体" w:hAnsi="宋体" w:eastAsia="宋体"/>
    </w:rPr>
  </w:style>
  <w:style w:type="character" w:customStyle="1" w:styleId="140">
    <w:name w:val="个人答复风格"/>
    <w:autoRedefine/>
    <w:qFormat/>
    <w:uiPriority w:val="0"/>
    <w:rPr>
      <w:rFonts w:ascii="Arial" w:hAnsi="Arial" w:eastAsia="宋体" w:cs="Arial"/>
      <w:color w:val="auto"/>
      <w:spacing w:val="0"/>
      <w:sz w:val="20"/>
    </w:rPr>
  </w:style>
  <w:style w:type="character" w:customStyle="1" w:styleId="141">
    <w:name w:val="个人撰写风格"/>
    <w:autoRedefine/>
    <w:qFormat/>
    <w:uiPriority w:val="0"/>
    <w:rPr>
      <w:rFonts w:ascii="Arial" w:hAnsi="Arial" w:eastAsia="宋体" w:cs="Arial"/>
      <w:color w:val="auto"/>
      <w:spacing w:val="0"/>
      <w:sz w:val="20"/>
    </w:rPr>
  </w:style>
  <w:style w:type="paragraph" w:customStyle="1" w:styleId="142">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autoRedefine/>
    <w:qFormat/>
    <w:uiPriority w:val="0"/>
    <w:pPr>
      <w:tabs>
        <w:tab w:val="left" w:pos="840"/>
      </w:tabs>
    </w:pPr>
  </w:style>
  <w:style w:type="paragraph" w:customStyle="1" w:styleId="145">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autoRedefine/>
    <w:qFormat/>
    <w:uiPriority w:val="0"/>
    <w:pPr>
      <w:framePr w:wrap="around"/>
      <w:spacing w:line="0" w:lineRule="atLeast"/>
    </w:pPr>
    <w:rPr>
      <w:rFonts w:ascii="黑体" w:eastAsia="黑体"/>
      <w:b w:val="0"/>
    </w:rPr>
  </w:style>
  <w:style w:type="paragraph" w:customStyle="1" w:styleId="156">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8">
    <w:name w:val="实施日期"/>
    <w:basedOn w:val="124"/>
    <w:autoRedefine/>
    <w:qFormat/>
    <w:uiPriority w:val="0"/>
    <w:pPr>
      <w:framePr w:hSpace="0" w:wrap="around" w:xAlign="right"/>
      <w:jc w:val="right"/>
    </w:pPr>
  </w:style>
  <w:style w:type="paragraph" w:customStyle="1" w:styleId="159">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0">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autoRedefine/>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autoRedefine/>
    <w:qFormat/>
    <w:uiPriority w:val="0"/>
    <w:pPr>
      <w:numPr>
        <w:ilvl w:val="6"/>
        <w:numId w:val="20"/>
      </w:numPr>
      <w:adjustRightInd/>
    </w:pPr>
    <w:rPr>
      <w:szCs w:val="24"/>
    </w:rPr>
  </w:style>
  <w:style w:type="paragraph" w:customStyle="1" w:styleId="163">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4">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autoRedefine/>
    <w:qFormat/>
    <w:uiPriority w:val="0"/>
    <w:pPr>
      <w:ind w:left="1406" w:leftChars="0" w:hanging="499" w:firstLineChars="0"/>
    </w:pPr>
  </w:style>
  <w:style w:type="paragraph" w:customStyle="1" w:styleId="166">
    <w:name w:val="标准文件_一级无标题"/>
    <w:basedOn w:val="109"/>
    <w:autoRedefine/>
    <w:qFormat/>
    <w:uiPriority w:val="0"/>
    <w:pPr>
      <w:spacing w:beforeLines="0"/>
      <w:outlineLvl w:val="9"/>
    </w:pPr>
    <w:rPr>
      <w:rFonts w:ascii="宋体" w:eastAsia="宋体"/>
    </w:rPr>
  </w:style>
  <w:style w:type="paragraph" w:customStyle="1" w:styleId="167">
    <w:name w:val="标准文件_五级无标题"/>
    <w:basedOn w:val="107"/>
    <w:autoRedefine/>
    <w:qFormat/>
    <w:uiPriority w:val="0"/>
    <w:pPr>
      <w:spacing w:beforeLines="0" w:afterLines="0"/>
      <w:outlineLvl w:val="9"/>
    </w:pPr>
    <w:rPr>
      <w:rFonts w:ascii="宋体" w:eastAsia="宋体"/>
    </w:rPr>
  </w:style>
  <w:style w:type="paragraph" w:customStyle="1" w:styleId="168">
    <w:name w:val="标准文件_三级无标题"/>
    <w:basedOn w:val="98"/>
    <w:autoRedefine/>
    <w:qFormat/>
    <w:uiPriority w:val="0"/>
    <w:pPr>
      <w:spacing w:beforeLines="0" w:afterLines="0"/>
      <w:outlineLvl w:val="9"/>
    </w:pPr>
    <w:rPr>
      <w:rFonts w:ascii="宋体" w:eastAsia="宋体"/>
    </w:rPr>
  </w:style>
  <w:style w:type="paragraph" w:customStyle="1" w:styleId="169">
    <w:name w:val="标准文件_二级无标题"/>
    <w:basedOn w:val="69"/>
    <w:link w:val="283"/>
    <w:autoRedefine/>
    <w:qFormat/>
    <w:uiPriority w:val="0"/>
    <w:pPr>
      <w:widowControl/>
      <w:numPr>
        <w:ilvl w:val="0"/>
        <w:numId w:val="0"/>
      </w:numPr>
      <w:suppressLineNumbers/>
      <w:spacing w:beforeLines="0" w:afterLines="0"/>
      <w:outlineLvl w:val="9"/>
    </w:pPr>
    <w:rPr>
      <w:rFonts w:ascii="宋体" w:eastAsia="宋体"/>
    </w:rPr>
  </w:style>
  <w:style w:type="paragraph" w:customStyle="1" w:styleId="170">
    <w:name w:val="标准_四级无标题"/>
    <w:basedOn w:val="102"/>
    <w:next w:val="60"/>
    <w:autoRedefine/>
    <w:qFormat/>
    <w:uiPriority w:val="0"/>
    <w:rPr>
      <w:rFonts w:eastAsia="宋体"/>
    </w:rPr>
  </w:style>
  <w:style w:type="paragraph" w:customStyle="1" w:styleId="171">
    <w:name w:val="标准文件_四级无标题"/>
    <w:basedOn w:val="102"/>
    <w:autoRedefine/>
    <w:qFormat/>
    <w:uiPriority w:val="0"/>
    <w:pPr>
      <w:spacing w:beforeLines="0" w:afterLines="0"/>
      <w:outlineLvl w:val="9"/>
    </w:pPr>
    <w:rPr>
      <w:rFonts w:ascii="宋体" w:hAnsi="黑体" w:eastAsia="宋体"/>
      <w:szCs w:val="52"/>
    </w:rPr>
  </w:style>
  <w:style w:type="paragraph" w:customStyle="1" w:styleId="172">
    <w:name w:val="标准文件_大写罗马数字编号列项"/>
    <w:basedOn w:val="60"/>
    <w:autoRedefine/>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autoRedefine/>
    <w:qFormat/>
    <w:uiPriority w:val="0"/>
    <w:pPr>
      <w:numPr>
        <w:ilvl w:val="0"/>
        <w:numId w:val="24"/>
      </w:numPr>
      <w:ind w:firstLine="0" w:firstLineChars="0"/>
    </w:pPr>
    <w:rPr>
      <w:rFonts w:cs="Arial"/>
      <w:szCs w:val="28"/>
    </w:rPr>
  </w:style>
  <w:style w:type="paragraph" w:customStyle="1" w:styleId="174">
    <w:name w:val="标准文件_附录标题"/>
    <w:basedOn w:val="80"/>
    <w:autoRedefine/>
    <w:qFormat/>
    <w:uiPriority w:val="0"/>
    <w:pPr>
      <w:numPr>
        <w:numId w:val="0"/>
      </w:numPr>
      <w:spacing w:after="280"/>
      <w:outlineLvl w:val="9"/>
    </w:pPr>
  </w:style>
  <w:style w:type="paragraph" w:customStyle="1" w:styleId="175">
    <w:name w:val="标准文件_二级项"/>
    <w:link w:val="260"/>
    <w:autoRedefine/>
    <w:qFormat/>
    <w:uiPriority w:val="0"/>
    <w:rPr>
      <w:rFonts w:ascii="宋体" w:hAnsi="Times New Roman" w:eastAsia="宋体" w:cs="Times New Roman"/>
      <w:sz w:val="21"/>
      <w:lang w:val="en-US" w:eastAsia="zh-CN" w:bidi="ar-SA"/>
    </w:rPr>
  </w:style>
  <w:style w:type="paragraph" w:customStyle="1" w:styleId="176">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autoRedefine/>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autoRedefine/>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autoRedefine/>
    <w:qFormat/>
    <w:uiPriority w:val="0"/>
    <w:pPr>
      <w:ind w:firstLine="0" w:firstLineChars="0"/>
      <w:jc w:val="center"/>
    </w:pPr>
    <w:rPr>
      <w:sz w:val="18"/>
    </w:rPr>
  </w:style>
  <w:style w:type="paragraph" w:customStyle="1" w:styleId="183">
    <w:name w:val="标准文件_注："/>
    <w:next w:val="60"/>
    <w:link w:val="280"/>
    <w:autoRedefine/>
    <w:qFormat/>
    <w:uiPriority w:val="0"/>
    <w:pPr>
      <w:widowControl w:val="0"/>
      <w:autoSpaceDE w:val="0"/>
      <w:autoSpaceDN w:val="0"/>
      <w:ind w:left="737" w:hanging="374"/>
      <w:jc w:val="both"/>
    </w:pPr>
    <w:rPr>
      <w:rFonts w:ascii="宋体" w:hAnsi="Times New Roman" w:eastAsia="宋体" w:cs="Times New Roman"/>
      <w:sz w:val="18"/>
      <w:szCs w:val="18"/>
      <w:lang w:val="en-US" w:eastAsia="zh-CN" w:bidi="ar-SA"/>
    </w:rPr>
  </w:style>
  <w:style w:type="paragraph" w:customStyle="1" w:styleId="184">
    <w:name w:val="标准文件_注×："/>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autoRedefine/>
    <w:qFormat/>
    <w:uiPriority w:val="0"/>
    <w:pPr>
      <w:widowControl w:val="0"/>
      <w:numPr>
        <w:ilvl w:val="0"/>
        <w:numId w:val="27"/>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autoRedefine/>
    <w:qFormat/>
    <w:uiPriority w:val="0"/>
    <w:pPr>
      <w:ind w:firstLine="420"/>
    </w:pPr>
    <w:rPr>
      <w:sz w:val="18"/>
    </w:rPr>
  </w:style>
  <w:style w:type="paragraph" w:customStyle="1" w:styleId="187">
    <w:name w:val="标准文件_示例×："/>
    <w:basedOn w:val="1"/>
    <w:next w:val="186"/>
    <w:autoRedefine/>
    <w:qFormat/>
    <w:uiPriority w:val="0"/>
    <w:pPr>
      <w:widowControl/>
      <w:numPr>
        <w:ilvl w:val="0"/>
        <w:numId w:val="28"/>
      </w:numPr>
      <w:adjustRightInd/>
      <w:spacing w:line="240" w:lineRule="auto"/>
    </w:pPr>
    <w:rPr>
      <w:rFonts w:ascii="宋体" w:hAnsi="Times New Roman"/>
      <w:kern w:val="0"/>
      <w:sz w:val="18"/>
      <w:szCs w:val="18"/>
    </w:rPr>
  </w:style>
  <w:style w:type="character" w:customStyle="1" w:styleId="188">
    <w:name w:val="标准文件_段 Char"/>
    <w:link w:val="60"/>
    <w:autoRedefine/>
    <w:qFormat/>
    <w:uiPriority w:val="0"/>
    <w:rPr>
      <w:rFonts w:ascii="宋体" w:hAnsi="Times New Roman"/>
      <w:sz w:val="21"/>
    </w:rPr>
  </w:style>
  <w:style w:type="paragraph" w:customStyle="1" w:styleId="189">
    <w:name w:val="标准文件_表格续"/>
    <w:basedOn w:val="60"/>
    <w:next w:val="60"/>
    <w:autoRedefine/>
    <w:qFormat/>
    <w:uiPriority w:val="0"/>
    <w:pPr>
      <w:jc w:val="center"/>
    </w:pPr>
    <w:rPr>
      <w:rFonts w:ascii="黑体" w:hAnsi="黑体" w:eastAsia="黑体"/>
    </w:rPr>
  </w:style>
  <w:style w:type="character" w:customStyle="1" w:styleId="190">
    <w:name w:val="占位符文本1"/>
    <w:basedOn w:val="31"/>
    <w:autoRedefine/>
    <w:semiHidden/>
    <w:qFormat/>
    <w:uiPriority w:val="99"/>
    <w:rPr>
      <w:color w:val="808080"/>
    </w:rPr>
  </w:style>
  <w:style w:type="paragraph" w:customStyle="1" w:styleId="191">
    <w:name w:val="标准文件_二级项2"/>
    <w:basedOn w:val="60"/>
    <w:autoRedefine/>
    <w:qFormat/>
    <w:uiPriority w:val="0"/>
    <w:pPr>
      <w:numPr>
        <w:ilvl w:val="1"/>
        <w:numId w:val="21"/>
      </w:numPr>
      <w:ind w:left="1271" w:hanging="420" w:firstLineChars="0"/>
    </w:pPr>
  </w:style>
  <w:style w:type="paragraph" w:customStyle="1" w:styleId="192">
    <w:name w:val="标准文件_三级项2"/>
    <w:basedOn w:val="60"/>
    <w:autoRedefine/>
    <w:qFormat/>
    <w:uiPriority w:val="0"/>
    <w:pPr>
      <w:numPr>
        <w:ilvl w:val="0"/>
        <w:numId w:val="29"/>
      </w:numPr>
      <w:spacing w:line="300" w:lineRule="exact"/>
      <w:ind w:left="1276" w:hanging="425" w:firstLineChars="0"/>
    </w:pPr>
    <w:rPr>
      <w:rFonts w:ascii="Times New Roman"/>
    </w:rPr>
  </w:style>
  <w:style w:type="paragraph" w:customStyle="1" w:styleId="193">
    <w:name w:val="标准文件_一级项2"/>
    <w:basedOn w:val="60"/>
    <w:autoRedefine/>
    <w:qFormat/>
    <w:uiPriority w:val="0"/>
    <w:pPr>
      <w:numPr>
        <w:ilvl w:val="0"/>
        <w:numId w:val="30"/>
      </w:numPr>
      <w:spacing w:line="300" w:lineRule="exact"/>
      <w:ind w:left="1271" w:hanging="420" w:firstLineChars="0"/>
    </w:pPr>
    <w:rPr>
      <w:rFonts w:ascii="Times New Roman"/>
    </w:rPr>
  </w:style>
  <w:style w:type="paragraph" w:customStyle="1" w:styleId="194">
    <w:name w:val="标准文件_提示"/>
    <w:basedOn w:val="60"/>
    <w:next w:val="60"/>
    <w:autoRedefine/>
    <w:qFormat/>
    <w:uiPriority w:val="0"/>
    <w:pPr>
      <w:ind w:firstLine="420"/>
    </w:pPr>
    <w:rPr>
      <w:rFonts w:ascii="黑体" w:eastAsia="黑体"/>
    </w:rPr>
  </w:style>
  <w:style w:type="character" w:customStyle="1" w:styleId="195">
    <w:name w:val="标准文件_来源"/>
    <w:basedOn w:val="31"/>
    <w:autoRedefine/>
    <w:qFormat/>
    <w:uiPriority w:val="1"/>
    <w:rPr>
      <w:rFonts w:eastAsia="宋体"/>
      <w:sz w:val="21"/>
    </w:rPr>
  </w:style>
  <w:style w:type="paragraph" w:customStyle="1" w:styleId="196">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autoRedefine/>
    <w:qFormat/>
    <w:uiPriority w:val="0"/>
    <w:pPr>
      <w:framePr w:w="3997" w:h="471" w:hRule="exact" w:hSpace="0" w:vSpace="181" w:wrap="around" w:vAnchor="page" w:hAnchor="page" w:x="1419" w:y="14097"/>
    </w:pPr>
  </w:style>
  <w:style w:type="paragraph" w:customStyle="1" w:styleId="198">
    <w:name w:val="其他实施日期"/>
    <w:basedOn w:val="158"/>
    <w:autoRedefine/>
    <w:qFormat/>
    <w:uiPriority w:val="0"/>
    <w:pPr>
      <w:framePr w:w="3997" w:h="471" w:hRule="exact" w:vSpace="181" w:wrap="around" w:vAnchor="page" w:hAnchor="page" w:x="7089" w:y="14097"/>
    </w:pPr>
  </w:style>
  <w:style w:type="paragraph" w:customStyle="1" w:styleId="199">
    <w:name w:val="标准文件_文件编号"/>
    <w:basedOn w:val="60"/>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autoRedefine/>
    <w:qFormat/>
    <w:uiPriority w:val="0"/>
    <w:pPr>
      <w:framePr w:wrap="around"/>
      <w:spacing w:before="57"/>
    </w:pPr>
    <w:rPr>
      <w:sz w:val="21"/>
    </w:rPr>
  </w:style>
  <w:style w:type="paragraph" w:customStyle="1" w:styleId="201">
    <w:name w:val="标准文件_文件名称"/>
    <w:basedOn w:val="60"/>
    <w:next w:val="60"/>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autoRedefine/>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autoRedefine/>
    <w:qFormat/>
    <w:uiPriority w:val="0"/>
    <w:pPr>
      <w:numPr>
        <w:ilvl w:val="1"/>
        <w:numId w:val="8"/>
      </w:numPr>
      <w:spacing w:beforeLines="50" w:afterLines="50"/>
      <w:ind w:firstLineChars="0"/>
    </w:pPr>
    <w:rPr>
      <w:rFonts w:ascii="黑体" w:eastAsia="黑体"/>
    </w:rPr>
  </w:style>
  <w:style w:type="paragraph" w:customStyle="1" w:styleId="205">
    <w:name w:val="标准文件_引言二级条标题"/>
    <w:basedOn w:val="60"/>
    <w:next w:val="60"/>
    <w:autoRedefine/>
    <w:qFormat/>
    <w:uiPriority w:val="0"/>
    <w:pPr>
      <w:numPr>
        <w:ilvl w:val="2"/>
        <w:numId w:val="8"/>
      </w:numPr>
      <w:spacing w:beforeLines="50" w:afterLines="50"/>
      <w:ind w:firstLineChars="0"/>
    </w:pPr>
    <w:rPr>
      <w:rFonts w:ascii="黑体" w:eastAsia="黑体"/>
    </w:rPr>
  </w:style>
  <w:style w:type="paragraph" w:customStyle="1" w:styleId="206">
    <w:name w:val="标准文件_引言三级条标题"/>
    <w:basedOn w:val="60"/>
    <w:next w:val="60"/>
    <w:autoRedefine/>
    <w:qFormat/>
    <w:uiPriority w:val="0"/>
    <w:pPr>
      <w:numPr>
        <w:ilvl w:val="3"/>
        <w:numId w:val="8"/>
      </w:numPr>
      <w:spacing w:beforeLines="50" w:afterLines="50"/>
      <w:ind w:firstLineChars="0"/>
    </w:pPr>
    <w:rPr>
      <w:rFonts w:ascii="黑体" w:eastAsia="黑体"/>
    </w:rPr>
  </w:style>
  <w:style w:type="paragraph" w:customStyle="1" w:styleId="207">
    <w:name w:val="标准文件_引言四级条标题"/>
    <w:basedOn w:val="60"/>
    <w:next w:val="60"/>
    <w:autoRedefine/>
    <w:qFormat/>
    <w:uiPriority w:val="0"/>
    <w:pPr>
      <w:numPr>
        <w:ilvl w:val="4"/>
        <w:numId w:val="8"/>
      </w:numPr>
      <w:spacing w:beforeLines="50" w:afterLines="50"/>
      <w:ind w:firstLineChars="0"/>
    </w:pPr>
    <w:rPr>
      <w:rFonts w:ascii="黑体" w:eastAsia="黑体"/>
    </w:rPr>
  </w:style>
  <w:style w:type="paragraph" w:customStyle="1" w:styleId="208">
    <w:name w:val="标准文件_引言五级条标题"/>
    <w:basedOn w:val="60"/>
    <w:next w:val="60"/>
    <w:autoRedefine/>
    <w:qFormat/>
    <w:uiPriority w:val="0"/>
    <w:pPr>
      <w:numPr>
        <w:ilvl w:val="5"/>
        <w:numId w:val="8"/>
      </w:numPr>
      <w:spacing w:beforeLines="50" w:afterLines="50"/>
      <w:ind w:firstLineChars="0"/>
    </w:pPr>
    <w:rPr>
      <w:rFonts w:ascii="黑体" w:eastAsia="黑体"/>
    </w:rPr>
  </w:style>
  <w:style w:type="paragraph" w:customStyle="1" w:styleId="209">
    <w:name w:val="标准文件_注后"/>
    <w:basedOn w:val="60"/>
    <w:autoRedefine/>
    <w:qFormat/>
    <w:uiPriority w:val="0"/>
    <w:pPr>
      <w:ind w:left="811" w:firstLine="0" w:firstLineChars="0"/>
    </w:pPr>
    <w:rPr>
      <w:sz w:val="18"/>
    </w:rPr>
  </w:style>
  <w:style w:type="paragraph" w:customStyle="1" w:styleId="210">
    <w:name w:val="标准文件_注X后"/>
    <w:basedOn w:val="60"/>
    <w:autoRedefine/>
    <w:qFormat/>
    <w:uiPriority w:val="0"/>
    <w:pPr>
      <w:ind w:left="811" w:firstLine="0" w:firstLineChars="0"/>
    </w:pPr>
    <w:rPr>
      <w:sz w:val="18"/>
    </w:rPr>
  </w:style>
  <w:style w:type="paragraph" w:customStyle="1" w:styleId="211">
    <w:name w:val="标准文件_示例后"/>
    <w:basedOn w:val="60"/>
    <w:autoRedefine/>
    <w:qFormat/>
    <w:uiPriority w:val="0"/>
    <w:pPr>
      <w:ind w:left="964" w:firstLine="0" w:firstLineChars="0"/>
    </w:pPr>
    <w:rPr>
      <w:sz w:val="18"/>
    </w:rPr>
  </w:style>
  <w:style w:type="paragraph" w:customStyle="1" w:styleId="212">
    <w:name w:val="标准文件_示例X后"/>
    <w:basedOn w:val="60"/>
    <w:link w:val="213"/>
    <w:autoRedefine/>
    <w:qFormat/>
    <w:uiPriority w:val="0"/>
    <w:pPr>
      <w:ind w:left="1049" w:firstLine="0" w:firstLineChars="0"/>
    </w:pPr>
    <w:rPr>
      <w:sz w:val="18"/>
    </w:rPr>
  </w:style>
  <w:style w:type="character" w:customStyle="1" w:styleId="213">
    <w:name w:val="标准文件_示例X后 字符"/>
    <w:basedOn w:val="188"/>
    <w:link w:val="212"/>
    <w:autoRedefine/>
    <w:qFormat/>
    <w:uiPriority w:val="0"/>
    <w:rPr>
      <w:rFonts w:ascii="宋体" w:hAnsi="Times New Roman"/>
      <w:sz w:val="18"/>
    </w:rPr>
  </w:style>
  <w:style w:type="paragraph" w:customStyle="1" w:styleId="214">
    <w:name w:val="标准文件_索引项"/>
    <w:basedOn w:val="60"/>
    <w:next w:val="60"/>
    <w:autoRedefine/>
    <w:qFormat/>
    <w:uiPriority w:val="0"/>
    <w:pPr>
      <w:tabs>
        <w:tab w:val="right" w:leader="dot" w:pos="9356"/>
      </w:tabs>
      <w:ind w:left="210" w:hanging="210" w:firstLineChars="0"/>
      <w:jc w:val="left"/>
    </w:pPr>
  </w:style>
  <w:style w:type="paragraph" w:customStyle="1" w:styleId="215">
    <w:name w:val="标准文件_附录一级无标题"/>
    <w:basedOn w:val="82"/>
    <w:autoRedefine/>
    <w:qFormat/>
    <w:uiPriority w:val="0"/>
    <w:pPr>
      <w:spacing w:beforeLines="0" w:afterLines="0" w:line="276" w:lineRule="auto"/>
      <w:outlineLvl w:val="9"/>
    </w:pPr>
    <w:rPr>
      <w:rFonts w:ascii="宋体" w:eastAsia="宋体"/>
    </w:rPr>
  </w:style>
  <w:style w:type="paragraph" w:customStyle="1" w:styleId="216">
    <w:name w:val="标准文件_附录二级无标题"/>
    <w:basedOn w:val="83"/>
    <w:autoRedefine/>
    <w:qFormat/>
    <w:uiPriority w:val="0"/>
    <w:pPr>
      <w:spacing w:beforeLines="0" w:afterLines="0" w:line="276" w:lineRule="auto"/>
      <w:outlineLvl w:val="9"/>
    </w:pPr>
    <w:rPr>
      <w:rFonts w:ascii="宋体" w:eastAsia="宋体"/>
    </w:rPr>
  </w:style>
  <w:style w:type="paragraph" w:customStyle="1" w:styleId="217">
    <w:name w:val="标准文件_附录三级无标题"/>
    <w:basedOn w:val="85"/>
    <w:autoRedefine/>
    <w:qFormat/>
    <w:uiPriority w:val="0"/>
    <w:pPr>
      <w:spacing w:beforeLines="0" w:afterLines="0" w:line="276" w:lineRule="auto"/>
      <w:outlineLvl w:val="9"/>
    </w:pPr>
    <w:rPr>
      <w:rFonts w:ascii="宋体" w:eastAsia="宋体"/>
    </w:rPr>
  </w:style>
  <w:style w:type="paragraph" w:customStyle="1" w:styleId="218">
    <w:name w:val="标准文件_附录四级无标题"/>
    <w:basedOn w:val="86"/>
    <w:autoRedefine/>
    <w:qFormat/>
    <w:uiPriority w:val="0"/>
    <w:pPr>
      <w:spacing w:beforeLines="0" w:afterLines="0" w:line="276" w:lineRule="auto"/>
      <w:outlineLvl w:val="9"/>
    </w:pPr>
    <w:rPr>
      <w:rFonts w:ascii="宋体" w:eastAsia="宋体"/>
    </w:rPr>
  </w:style>
  <w:style w:type="paragraph" w:customStyle="1" w:styleId="219">
    <w:name w:val="标准文件_附录五级无标题"/>
    <w:basedOn w:val="88"/>
    <w:autoRedefine/>
    <w:qFormat/>
    <w:uiPriority w:val="0"/>
    <w:pPr>
      <w:spacing w:beforeLines="0" w:afterLines="0" w:line="276" w:lineRule="auto"/>
      <w:outlineLvl w:val="9"/>
    </w:pPr>
    <w:rPr>
      <w:rFonts w:ascii="宋体" w:eastAsia="宋体"/>
    </w:rPr>
  </w:style>
  <w:style w:type="paragraph" w:customStyle="1" w:styleId="220">
    <w:name w:val="标准文件_引言一级无标题"/>
    <w:basedOn w:val="204"/>
    <w:next w:val="60"/>
    <w:autoRedefine/>
    <w:qFormat/>
    <w:uiPriority w:val="0"/>
    <w:pPr>
      <w:spacing w:beforeLines="0" w:afterLines="0" w:line="276" w:lineRule="auto"/>
    </w:pPr>
    <w:rPr>
      <w:rFonts w:ascii="宋体" w:eastAsia="宋体"/>
    </w:rPr>
  </w:style>
  <w:style w:type="paragraph" w:customStyle="1" w:styleId="221">
    <w:name w:val="标准文件_引言二级无标题"/>
    <w:basedOn w:val="205"/>
    <w:next w:val="60"/>
    <w:autoRedefine/>
    <w:qFormat/>
    <w:uiPriority w:val="0"/>
    <w:pPr>
      <w:spacing w:beforeLines="0" w:afterLines="0" w:line="276" w:lineRule="auto"/>
    </w:pPr>
    <w:rPr>
      <w:rFonts w:ascii="宋体" w:eastAsia="宋体"/>
    </w:rPr>
  </w:style>
  <w:style w:type="paragraph" w:customStyle="1" w:styleId="222">
    <w:name w:val="标准文件_引言三级无标题"/>
    <w:basedOn w:val="206"/>
    <w:next w:val="60"/>
    <w:autoRedefine/>
    <w:qFormat/>
    <w:uiPriority w:val="0"/>
    <w:pPr>
      <w:spacing w:beforeLines="0" w:afterLines="0" w:line="276" w:lineRule="auto"/>
    </w:pPr>
    <w:rPr>
      <w:rFonts w:ascii="宋体" w:eastAsia="宋体"/>
    </w:rPr>
  </w:style>
  <w:style w:type="paragraph" w:customStyle="1" w:styleId="223">
    <w:name w:val="标准文件_引言四级无标题"/>
    <w:basedOn w:val="207"/>
    <w:next w:val="60"/>
    <w:autoRedefine/>
    <w:qFormat/>
    <w:uiPriority w:val="0"/>
    <w:pPr>
      <w:spacing w:beforeLines="0" w:afterLines="0" w:line="276" w:lineRule="auto"/>
    </w:pPr>
    <w:rPr>
      <w:rFonts w:ascii="宋体" w:eastAsia="宋体"/>
    </w:rPr>
  </w:style>
  <w:style w:type="paragraph" w:customStyle="1" w:styleId="224">
    <w:name w:val="标准文件_引言五级无标题"/>
    <w:basedOn w:val="208"/>
    <w:next w:val="60"/>
    <w:autoRedefine/>
    <w:qFormat/>
    <w:uiPriority w:val="0"/>
    <w:pPr>
      <w:spacing w:beforeLines="0" w:afterLines="0" w:line="276" w:lineRule="auto"/>
    </w:pPr>
    <w:rPr>
      <w:rFonts w:ascii="宋体" w:eastAsia="宋体"/>
    </w:rPr>
  </w:style>
  <w:style w:type="paragraph" w:customStyle="1" w:styleId="225">
    <w:name w:val="标准文件_索引标题"/>
    <w:basedOn w:val="67"/>
    <w:next w:val="60"/>
    <w:autoRedefine/>
    <w:qFormat/>
    <w:uiPriority w:val="0"/>
    <w:rPr>
      <w:rFonts w:hAnsi="黑体"/>
    </w:rPr>
  </w:style>
  <w:style w:type="paragraph" w:customStyle="1" w:styleId="226">
    <w:name w:val="标准文件_脚注内容"/>
    <w:basedOn w:val="60"/>
    <w:autoRedefine/>
    <w:qFormat/>
    <w:uiPriority w:val="0"/>
    <w:pPr>
      <w:ind w:left="400" w:leftChars="200" w:hanging="200" w:hangingChars="200"/>
    </w:pPr>
    <w:rPr>
      <w:sz w:val="15"/>
    </w:rPr>
  </w:style>
  <w:style w:type="paragraph" w:customStyle="1" w:styleId="227">
    <w:name w:val="标准文件_术语条一"/>
    <w:basedOn w:val="166"/>
    <w:next w:val="60"/>
    <w:autoRedefine/>
    <w:qFormat/>
    <w:uiPriority w:val="0"/>
  </w:style>
  <w:style w:type="paragraph" w:customStyle="1" w:styleId="228">
    <w:name w:val="标准文件_术语条二"/>
    <w:basedOn w:val="169"/>
    <w:next w:val="60"/>
    <w:autoRedefine/>
    <w:qFormat/>
    <w:uiPriority w:val="0"/>
  </w:style>
  <w:style w:type="paragraph" w:customStyle="1" w:styleId="229">
    <w:name w:val="标准文件_术语条三"/>
    <w:basedOn w:val="168"/>
    <w:next w:val="60"/>
    <w:autoRedefine/>
    <w:qFormat/>
    <w:uiPriority w:val="0"/>
  </w:style>
  <w:style w:type="paragraph" w:customStyle="1" w:styleId="230">
    <w:name w:val="标准文件_术语条四"/>
    <w:basedOn w:val="171"/>
    <w:next w:val="60"/>
    <w:autoRedefine/>
    <w:qFormat/>
    <w:uiPriority w:val="0"/>
  </w:style>
  <w:style w:type="paragraph" w:customStyle="1" w:styleId="231">
    <w:name w:val="标准文件_术语条五"/>
    <w:basedOn w:val="167"/>
    <w:next w:val="60"/>
    <w:autoRedefine/>
    <w:qFormat/>
    <w:uiPriority w:val="0"/>
  </w:style>
  <w:style w:type="paragraph" w:customStyle="1" w:styleId="23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autoRedefine/>
    <w:qFormat/>
    <w:uiPriority w:val="0"/>
    <w:rPr>
      <w:rFonts w:ascii="黑体" w:eastAsia="黑体"/>
      <w:spacing w:val="85"/>
      <w:w w:val="100"/>
      <w:position w:val="3"/>
      <w:sz w:val="28"/>
      <w:szCs w:val="28"/>
    </w:rPr>
  </w:style>
  <w:style w:type="paragraph" w:customStyle="1" w:styleId="234">
    <w:name w:val="正文1"/>
    <w:autoRedefine/>
    <w:qFormat/>
    <w:uiPriority w:val="0"/>
    <w:pPr>
      <w:jc w:val="both"/>
    </w:pPr>
    <w:rPr>
      <w:rFonts w:ascii="Times New Roman" w:hAnsi="Times New Roman" w:eastAsia="宋体" w:cs="Times New Roman"/>
      <w:kern w:val="2"/>
      <w:sz w:val="21"/>
      <w:szCs w:val="21"/>
      <w:lang w:val="en-US" w:eastAsia="zh-CN" w:bidi="ar-SA"/>
    </w:rPr>
  </w:style>
  <w:style w:type="table" w:customStyle="1" w:styleId="235">
    <w:name w:val="网格型1"/>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网格型2"/>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7">
    <w:name w:val="批注文字 字符"/>
    <w:basedOn w:val="31"/>
    <w:link w:val="13"/>
    <w:autoRedefine/>
    <w:semiHidden/>
    <w:qFormat/>
    <w:uiPriority w:val="99"/>
    <w:rPr>
      <w:kern w:val="2"/>
      <w:sz w:val="21"/>
      <w:szCs w:val="21"/>
    </w:rPr>
  </w:style>
  <w:style w:type="character" w:customStyle="1" w:styleId="238">
    <w:name w:val="批注主题 字符"/>
    <w:basedOn w:val="237"/>
    <w:link w:val="28"/>
    <w:autoRedefine/>
    <w:semiHidden/>
    <w:qFormat/>
    <w:uiPriority w:val="99"/>
    <w:rPr>
      <w:b/>
      <w:bCs/>
      <w:kern w:val="2"/>
      <w:sz w:val="21"/>
      <w:szCs w:val="21"/>
    </w:rPr>
  </w:style>
  <w:style w:type="character" w:customStyle="1" w:styleId="239">
    <w:name w:val="first-child"/>
    <w:basedOn w:val="31"/>
    <w:autoRedefine/>
    <w:qFormat/>
    <w:uiPriority w:val="0"/>
  </w:style>
  <w:style w:type="character" w:customStyle="1" w:styleId="240">
    <w:name w:val="layui-this"/>
    <w:basedOn w:val="31"/>
    <w:autoRedefine/>
    <w:qFormat/>
    <w:uiPriority w:val="0"/>
    <w:rPr>
      <w:bdr w:val="single" w:color="EEEEEE" w:sz="4" w:space="0"/>
      <w:shd w:val="clear" w:color="auto" w:fill="FFFFFF"/>
    </w:rPr>
  </w:style>
  <w:style w:type="table" w:customStyle="1" w:styleId="241">
    <w:name w:val="网格型5"/>
    <w:basedOn w:val="29"/>
    <w:autoRedefine/>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2">
    <w:name w:val="Placeholder Text"/>
    <w:basedOn w:val="31"/>
    <w:autoRedefine/>
    <w:semiHidden/>
    <w:qFormat/>
    <w:uiPriority w:val="99"/>
    <w:rPr>
      <w:color w:val="808080"/>
    </w:rPr>
  </w:style>
  <w:style w:type="character" w:customStyle="1" w:styleId="243">
    <w:name w:val="15"/>
    <w:basedOn w:val="31"/>
    <w:autoRedefine/>
    <w:qFormat/>
    <w:uiPriority w:val="0"/>
    <w:rPr>
      <w:rFonts w:hint="eastAsia" w:ascii="黑体" w:hAnsi="黑体" w:eastAsia="黑体"/>
      <w:color w:val="000000"/>
      <w:sz w:val="46"/>
      <w:szCs w:val="46"/>
    </w:rPr>
  </w:style>
  <w:style w:type="paragraph" w:customStyle="1" w:styleId="244">
    <w:name w:val="3级"/>
    <w:basedOn w:val="5"/>
    <w:next w:val="1"/>
    <w:autoRedefine/>
    <w:qFormat/>
    <w:uiPriority w:val="0"/>
    <w:pPr>
      <w:numPr>
        <w:ilvl w:val="0"/>
        <w:numId w:val="31"/>
      </w:numPr>
      <w:spacing w:before="240" w:after="60" w:line="240" w:lineRule="auto"/>
      <w:ind w:left="170" w:hanging="170"/>
    </w:pPr>
    <w:rPr>
      <w:rFonts w:ascii="Times New Roman" w:hAnsi="Times New Roman" w:eastAsia="楷体_GB2312"/>
      <w:sz w:val="32"/>
      <w:szCs w:val="32"/>
    </w:rPr>
  </w:style>
  <w:style w:type="paragraph" w:customStyle="1" w:styleId="245">
    <w:name w:val="4级"/>
    <w:basedOn w:val="6"/>
    <w:next w:val="1"/>
    <w:autoRedefine/>
    <w:qFormat/>
    <w:uiPriority w:val="0"/>
    <w:pPr>
      <w:numPr>
        <w:ilvl w:val="0"/>
        <w:numId w:val="32"/>
      </w:numPr>
      <w:spacing w:before="240" w:after="60" w:line="377" w:lineRule="auto"/>
      <w:ind w:left="924" w:hanging="357"/>
    </w:pPr>
    <w:rPr>
      <w:rFonts w:ascii="仿宋_GB2312" w:hAnsi="仿宋" w:eastAsia="仿宋_GB2312"/>
    </w:rPr>
  </w:style>
  <w:style w:type="character" w:customStyle="1" w:styleId="246">
    <w:name w:val="标准文件_标准名称标题 Char"/>
    <w:link w:val="64"/>
    <w:autoRedefine/>
    <w:qFormat/>
    <w:uiPriority w:val="0"/>
    <w:rPr>
      <w:rFonts w:ascii="黑体" w:eastAsia="黑体"/>
      <w:kern w:val="0"/>
      <w:sz w:val="32"/>
    </w:rPr>
  </w:style>
  <w:style w:type="character" w:customStyle="1" w:styleId="247">
    <w:name w:val="标准文件_二级条标题 Char"/>
    <w:link w:val="69"/>
    <w:autoRedefine/>
    <w:qFormat/>
    <w:uiPriority w:val="0"/>
    <w:rPr>
      <w:rFonts w:ascii="黑体" w:eastAsia="黑体"/>
      <w:sz w:val="21"/>
    </w:rPr>
  </w:style>
  <w:style w:type="character" w:customStyle="1" w:styleId="248">
    <w:name w:val="标准文件_目次、标准名称标题 Char"/>
    <w:link w:val="94"/>
    <w:autoRedefine/>
    <w:qFormat/>
    <w:uiPriority w:val="0"/>
  </w:style>
  <w:style w:type="character" w:customStyle="1" w:styleId="249">
    <w:name w:val="标准文件_前言、引言标题 Char"/>
    <w:link w:val="93"/>
    <w:autoRedefine/>
    <w:qFormat/>
    <w:uiPriority w:val="0"/>
    <w:rPr>
      <w:rFonts w:ascii="黑体" w:hAnsi="Times New Roman" w:eastAsia="黑体" w:cs="Times New Roman"/>
      <w:sz w:val="32"/>
      <w:lang w:val="en-US" w:eastAsia="zh-CN" w:bidi="ar-SA"/>
    </w:rPr>
  </w:style>
  <w:style w:type="character" w:customStyle="1" w:styleId="250">
    <w:name w:val="标准文件_三级条标题 Char"/>
    <w:link w:val="98"/>
    <w:autoRedefine/>
    <w:qFormat/>
    <w:uiPriority w:val="0"/>
  </w:style>
  <w:style w:type="character" w:customStyle="1" w:styleId="251">
    <w:name w:val="标准文件_一级条标题 Char"/>
    <w:link w:val="109"/>
    <w:autoRedefine/>
    <w:qFormat/>
    <w:uiPriority w:val="0"/>
    <w:rPr>
      <w:rFonts w:ascii="黑体" w:eastAsia="黑体"/>
      <w:sz w:val="21"/>
    </w:rPr>
  </w:style>
  <w:style w:type="character" w:customStyle="1" w:styleId="252">
    <w:name w:val="标准文件_一致程度 Char"/>
    <w:link w:val="110"/>
    <w:autoRedefine/>
    <w:qFormat/>
    <w:uiPriority w:val="0"/>
    <w:rPr>
      <w:sz w:val="28"/>
    </w:rPr>
  </w:style>
  <w:style w:type="character" w:customStyle="1" w:styleId="253">
    <w:name w:val="标准文件_英文图表脚注 Char"/>
    <w:link w:val="112"/>
    <w:autoRedefine/>
    <w:qFormat/>
    <w:uiPriority w:val="0"/>
    <w:rPr>
      <w:rFonts w:ascii="宋体" w:hAnsi="宋体"/>
    </w:rPr>
  </w:style>
  <w:style w:type="character" w:customStyle="1" w:styleId="254">
    <w:name w:val="标准文件_正文图标题 Char"/>
    <w:link w:val="118"/>
    <w:autoRedefine/>
    <w:qFormat/>
    <w:uiPriority w:val="0"/>
    <w:rPr>
      <w:rFonts w:ascii="黑体" w:hAnsi="Times New Roman" w:eastAsia="黑体" w:cs="Times New Roman"/>
      <w:sz w:val="21"/>
      <w:lang w:val="en-US" w:eastAsia="zh-CN" w:bidi="ar-SA"/>
    </w:rPr>
  </w:style>
  <w:style w:type="character" w:customStyle="1" w:styleId="255">
    <w:name w:val="标准文件_正文公式 Char"/>
    <w:link w:val="117"/>
    <w:autoRedefine/>
    <w:qFormat/>
    <w:uiPriority w:val="0"/>
    <w:rPr>
      <w:rFonts w:ascii="宋体" w:hAnsi="宋体"/>
    </w:rPr>
  </w:style>
  <w:style w:type="character" w:customStyle="1" w:styleId="256">
    <w:name w:val="标准文件_正文英文表标题 Char"/>
    <w:link w:val="119"/>
    <w:autoRedefine/>
    <w:qFormat/>
    <w:uiPriority w:val="0"/>
    <w:rPr>
      <w:rFonts w:ascii="黑体" w:hAnsi="Times New Roman" w:eastAsia="黑体" w:cs="Times New Roman"/>
      <w:sz w:val="21"/>
      <w:lang w:val="en-US" w:eastAsia="zh-CN" w:bidi="ar-SA"/>
    </w:rPr>
  </w:style>
  <w:style w:type="character" w:customStyle="1" w:styleId="257">
    <w:name w:val="标准文件_五级条标题 Char"/>
    <w:link w:val="107"/>
    <w:autoRedefine/>
    <w:qFormat/>
    <w:uiPriority w:val="0"/>
    <w:rPr>
      <w:rFonts w:ascii="黑体" w:hAnsi="Times New Roman" w:eastAsia="黑体" w:cs="Times New Roman"/>
      <w:sz w:val="21"/>
      <w:lang w:val="en-US" w:eastAsia="zh-CN" w:bidi="ar-SA"/>
    </w:rPr>
  </w:style>
  <w:style w:type="character" w:customStyle="1" w:styleId="258">
    <w:name w:val="标准文件_图表脚注 Char"/>
    <w:link w:val="105"/>
    <w:autoRedefine/>
    <w:qFormat/>
    <w:uiPriority w:val="0"/>
    <w:rPr>
      <w:rFonts w:ascii="宋体" w:hAnsi="宋体"/>
      <w:sz w:val="18"/>
    </w:rPr>
  </w:style>
  <w:style w:type="character" w:customStyle="1" w:styleId="259">
    <w:name w:val="标准文件_条文脚注 Char"/>
    <w:link w:val="104"/>
    <w:autoRedefine/>
    <w:qFormat/>
    <w:uiPriority w:val="0"/>
    <w:rPr>
      <w:rFonts w:hAnsi="宋体"/>
    </w:rPr>
  </w:style>
  <w:style w:type="character" w:customStyle="1" w:styleId="260">
    <w:name w:val="标准文件_二级项 Char"/>
    <w:link w:val="175"/>
    <w:autoRedefine/>
    <w:qFormat/>
    <w:uiPriority w:val="0"/>
    <w:rPr>
      <w:rFonts w:ascii="宋体" w:hAnsi="Times New Roman" w:eastAsia="宋体" w:cs="Times New Roman"/>
      <w:sz w:val="21"/>
      <w:lang w:val="en-US" w:eastAsia="zh-CN" w:bidi="ar-SA"/>
    </w:rPr>
  </w:style>
  <w:style w:type="character" w:customStyle="1" w:styleId="261">
    <w:name w:val="标准文件_四级条标题 Char"/>
    <w:link w:val="102"/>
    <w:autoRedefine/>
    <w:qFormat/>
    <w:uiPriority w:val="0"/>
    <w:rPr>
      <w:rFonts w:ascii="黑体" w:hAnsi="Times New Roman" w:eastAsia="黑体" w:cs="Times New Roman"/>
      <w:sz w:val="21"/>
      <w:lang w:val="en-US" w:eastAsia="zh-CN" w:bidi="ar-SA"/>
    </w:rPr>
  </w:style>
  <w:style w:type="paragraph" w:styleId="262">
    <w:name w:val="List Paragraph"/>
    <w:basedOn w:val="1"/>
    <w:qFormat/>
    <w:uiPriority w:val="34"/>
    <w:pPr>
      <w:ind w:firstLine="420" w:firstLineChars="200"/>
    </w:pPr>
  </w:style>
  <w:style w:type="paragraph" w:customStyle="1" w:styleId="263">
    <w:name w:val="正文表标题"/>
    <w:next w:val="264"/>
    <w:qFormat/>
    <w:uiPriority w:val="0"/>
    <w:pPr>
      <w:numPr>
        <w:ilvl w:val="1"/>
        <w:numId w:val="33"/>
      </w:numPr>
      <w:tabs>
        <w:tab w:val="left" w:pos="360"/>
      </w:tabs>
      <w:spacing w:before="156" w:beforeLines="50" w:after="156" w:afterLines="50"/>
      <w:jc w:val="center"/>
    </w:pPr>
    <w:rPr>
      <w:rFonts w:ascii="黑体" w:hAnsi="Times New Roman" w:eastAsia="黑体" w:cs="Times New Roman"/>
      <w:sz w:val="21"/>
      <w:szCs w:val="21"/>
      <w:lang w:val="en-US" w:eastAsia="zh-CN" w:bidi="ar-SA"/>
    </w:rPr>
  </w:style>
  <w:style w:type="paragraph" w:customStyle="1" w:styleId="264">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65">
    <w:name w:val="注："/>
    <w:next w:val="1"/>
    <w:qFormat/>
    <w:uiPriority w:val="0"/>
    <w:pPr>
      <w:widowControl w:val="0"/>
      <w:numPr>
        <w:ilvl w:val="0"/>
        <w:numId w:val="34"/>
      </w:numPr>
      <w:autoSpaceDE w:val="0"/>
      <w:autoSpaceDN w:val="0"/>
      <w:jc w:val="both"/>
    </w:pPr>
    <w:rPr>
      <w:rFonts w:ascii="宋体" w:hAnsi="Times New Roman" w:eastAsia="宋体" w:cs="Times New Roman"/>
      <w:sz w:val="18"/>
      <w:szCs w:val="18"/>
      <w:lang w:val="en-US" w:eastAsia="zh-CN" w:bidi="ar-SA"/>
    </w:rPr>
  </w:style>
  <w:style w:type="paragraph" w:customStyle="1" w:styleId="266">
    <w:name w:val="一级条标题"/>
    <w:next w:val="264"/>
    <w:qFormat/>
    <w:uiPriority w:val="0"/>
    <w:pPr>
      <w:numPr>
        <w:ilvl w:val="1"/>
        <w:numId w:val="35"/>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67">
    <w:name w:val="二级条标题"/>
    <w:basedOn w:val="266"/>
    <w:next w:val="264"/>
    <w:qFormat/>
    <w:uiPriority w:val="0"/>
    <w:pPr>
      <w:numPr>
        <w:ilvl w:val="2"/>
      </w:numPr>
      <w:spacing w:before="50" w:after="50"/>
      <w:outlineLvl w:val="3"/>
    </w:pPr>
  </w:style>
  <w:style w:type="paragraph" w:customStyle="1" w:styleId="268">
    <w:name w:val="字母编号列项（一级）"/>
    <w:qFormat/>
    <w:uiPriority w:val="0"/>
    <w:pPr>
      <w:numPr>
        <w:ilvl w:val="0"/>
        <w:numId w:val="36"/>
      </w:numPr>
      <w:jc w:val="both"/>
    </w:pPr>
    <w:rPr>
      <w:rFonts w:ascii="宋体" w:hAnsi="Times New Roman" w:eastAsia="宋体" w:cs="Times New Roman"/>
      <w:sz w:val="21"/>
      <w:lang w:val="en-US" w:eastAsia="zh-CN" w:bidi="ar-SA"/>
    </w:rPr>
  </w:style>
  <w:style w:type="paragraph" w:customStyle="1" w:styleId="269">
    <w:name w:val="附录标识"/>
    <w:basedOn w:val="1"/>
    <w:next w:val="1"/>
    <w:qFormat/>
    <w:uiPriority w:val="0"/>
    <w:pPr>
      <w:keepNext/>
      <w:widowControl/>
      <w:shd w:val="clear" w:color="FFFFFF" w:fill="FFFFFF"/>
      <w:tabs>
        <w:tab w:val="left" w:pos="6405"/>
      </w:tabs>
      <w:spacing w:before="640" w:after="280"/>
      <w:jc w:val="center"/>
      <w:outlineLvl w:val="0"/>
    </w:pPr>
    <w:rPr>
      <w:rFonts w:ascii="黑体" w:eastAsia="黑体"/>
      <w:kern w:val="0"/>
      <w:szCs w:val="20"/>
    </w:rPr>
  </w:style>
  <w:style w:type="paragraph" w:customStyle="1" w:styleId="270">
    <w:name w:val="附录章标题"/>
    <w:next w:val="264"/>
    <w:qFormat/>
    <w:uiPriority w:val="0"/>
    <w:pPr>
      <w:wordWrap w:val="0"/>
      <w:overflowPunct w:val="0"/>
      <w:autoSpaceDE w:val="0"/>
      <w:spacing w:before="50" w:beforeLines="50" w:after="50" w:afterLines="50"/>
      <w:jc w:val="both"/>
      <w:textAlignment w:val="baseline"/>
      <w:outlineLvl w:val="2"/>
    </w:pPr>
    <w:rPr>
      <w:rFonts w:ascii="黑体" w:hAnsi="Times New Roman" w:eastAsia="黑体" w:cs="Times New Roman"/>
      <w:kern w:val="21"/>
      <w:sz w:val="21"/>
      <w:lang w:val="en-US" w:eastAsia="zh-CN" w:bidi="ar-SA"/>
    </w:rPr>
  </w:style>
  <w:style w:type="paragraph" w:customStyle="1" w:styleId="271">
    <w:name w:val="附录图标题"/>
    <w:basedOn w:val="1"/>
    <w:next w:val="1"/>
    <w:qFormat/>
    <w:uiPriority w:val="0"/>
    <w:pPr>
      <w:numPr>
        <w:ilvl w:val="1"/>
        <w:numId w:val="37"/>
      </w:numPr>
      <w:spacing w:before="50" w:beforeLines="50" w:after="50" w:afterLines="50"/>
      <w:jc w:val="center"/>
    </w:pPr>
    <w:rPr>
      <w:rFonts w:ascii="黑体" w:eastAsia="黑体"/>
    </w:rPr>
  </w:style>
  <w:style w:type="paragraph" w:customStyle="1" w:styleId="272">
    <w:name w:val="数字编号列项（二级）"/>
    <w:qFormat/>
    <w:uiPriority w:val="0"/>
    <w:pPr>
      <w:numPr>
        <w:ilvl w:val="1"/>
        <w:numId w:val="36"/>
      </w:numPr>
      <w:jc w:val="both"/>
    </w:pPr>
    <w:rPr>
      <w:rFonts w:ascii="宋体" w:hAnsi="Times New Roman" w:eastAsia="宋体" w:cs="Times New Roman"/>
      <w:sz w:val="21"/>
      <w:lang w:val="en-US" w:eastAsia="zh-CN" w:bidi="ar-SA"/>
    </w:rPr>
  </w:style>
  <w:style w:type="character" w:customStyle="1" w:styleId="273">
    <w:name w:val="fontstyle01"/>
    <w:qFormat/>
    <w:uiPriority w:val="0"/>
    <w:rPr>
      <w:rFonts w:hint="eastAsia" w:ascii="黑体" w:hAnsi="黑体" w:eastAsia="黑体"/>
      <w:color w:val="000000"/>
      <w:sz w:val="46"/>
      <w:szCs w:val="46"/>
    </w:rPr>
  </w:style>
  <w:style w:type="paragraph" w:customStyle="1" w:styleId="274">
    <w:name w:val="章标题-无条题"/>
    <w:qFormat/>
    <w:uiPriority w:val="0"/>
    <w:pPr>
      <w:widowControl w:val="0"/>
      <w:wordWrap w:val="0"/>
      <w:autoSpaceDE w:val="0"/>
      <w:autoSpaceDN w:val="0"/>
    </w:pPr>
    <w:rPr>
      <w:rFonts w:ascii="宋体" w:hAnsi="宋体" w:eastAsia="宋体" w:cs="Times New Roman"/>
      <w:lang w:val="en-US" w:eastAsia="zh-CN" w:bidi="ar-SA"/>
    </w:rPr>
  </w:style>
  <w:style w:type="paragraph" w:customStyle="1" w:styleId="275">
    <w:name w:val="段落"/>
    <w:qFormat/>
    <w:uiPriority w:val="0"/>
    <w:pPr>
      <w:widowControl w:val="0"/>
      <w:autoSpaceDE w:val="0"/>
      <w:autoSpaceDN w:val="0"/>
      <w:ind w:firstLine="420" w:firstLineChars="200"/>
    </w:pPr>
    <w:rPr>
      <w:rFonts w:ascii="宋体" w:hAnsi="Times New Roman" w:eastAsia="宋体" w:cs="Times New Roman"/>
      <w:sz w:val="21"/>
      <w:lang w:val="en-US" w:eastAsia="zh-CN" w:bidi="ar-SA"/>
    </w:rPr>
  </w:style>
  <w:style w:type="paragraph" w:customStyle="1" w:styleId="276">
    <w:name w:val="表标题"/>
    <w:qFormat/>
    <w:uiPriority w:val="0"/>
    <w:pPr>
      <w:widowControl w:val="0"/>
      <w:wordWrap w:val="0"/>
      <w:autoSpaceDE w:val="0"/>
      <w:autoSpaceDN w:val="0"/>
      <w:spacing w:before="50" w:beforeLines="50" w:after="50" w:afterLines="50"/>
      <w:jc w:val="center"/>
    </w:pPr>
    <w:rPr>
      <w:rFonts w:ascii="黑体" w:hAnsi="黑体" w:eastAsia="黑体" w:cs="Times New Roman"/>
      <w:sz w:val="21"/>
      <w:lang w:val="en-US" w:eastAsia="zh-CN" w:bidi="ar-SA"/>
    </w:rPr>
  </w:style>
  <w:style w:type="paragraph" w:customStyle="1" w:styleId="277">
    <w:name w:val="章节条款"/>
    <w:qFormat/>
    <w:uiPriority w:val="0"/>
    <w:pPr>
      <w:widowControl w:val="0"/>
      <w:wordWrap w:val="0"/>
      <w:autoSpaceDE w:val="0"/>
      <w:autoSpaceDN w:val="0"/>
      <w:snapToGrid w:val="0"/>
      <w:spacing w:before="50" w:beforeLines="50" w:after="50" w:afterLines="50"/>
      <w:jc w:val="both"/>
    </w:pPr>
    <w:rPr>
      <w:rFonts w:ascii="黑体" w:hAnsi="黑体" w:eastAsia="黑体" w:cs="Times New Roman"/>
      <w:sz w:val="21"/>
      <w:lang w:val="en-US" w:eastAsia="zh-CN" w:bidi="ar-SA"/>
    </w:rPr>
  </w:style>
  <w:style w:type="paragraph" w:customStyle="1" w:styleId="278">
    <w:name w:val="一级章标题"/>
    <w:qFormat/>
    <w:uiPriority w:val="0"/>
    <w:pPr>
      <w:widowControl w:val="0"/>
      <w:wordWrap w:val="0"/>
      <w:autoSpaceDE w:val="0"/>
      <w:autoSpaceDN w:val="0"/>
      <w:snapToGrid w:val="0"/>
      <w:spacing w:before="312" w:beforeLines="100" w:after="312" w:afterLines="100"/>
      <w:jc w:val="both"/>
    </w:pPr>
    <w:rPr>
      <w:rFonts w:ascii="黑体" w:hAnsi="黑体" w:eastAsia="黑体" w:cs="Times New Roman"/>
      <w:sz w:val="21"/>
      <w:lang w:val="en-US" w:eastAsia="zh-CN" w:bidi="ar-SA"/>
    </w:rPr>
  </w:style>
  <w:style w:type="paragraph" w:customStyle="1" w:styleId="279">
    <w:name w:val="修订1"/>
    <w:hidden/>
    <w:unhideWhenUsed/>
    <w:qFormat/>
    <w:uiPriority w:val="99"/>
    <w:rPr>
      <w:rFonts w:ascii="Calibri" w:hAnsi="Calibri" w:eastAsia="宋体" w:cs="Times New Roman"/>
      <w:kern w:val="2"/>
      <w:sz w:val="21"/>
      <w:szCs w:val="21"/>
      <w:lang w:val="en-US" w:eastAsia="zh-CN" w:bidi="ar-SA"/>
    </w:rPr>
  </w:style>
  <w:style w:type="character" w:customStyle="1" w:styleId="280">
    <w:name w:val="标准文件_注： Char"/>
    <w:link w:val="183"/>
    <w:qFormat/>
    <w:uiPriority w:val="0"/>
    <w:rPr>
      <w:rFonts w:ascii="宋体" w:hAnsi="Times New Roman" w:eastAsia="宋体" w:cs="Times New Roman"/>
      <w:sz w:val="18"/>
      <w:szCs w:val="18"/>
      <w:lang w:val="en-US" w:eastAsia="zh-CN" w:bidi="ar-SA"/>
    </w:rPr>
  </w:style>
  <w:style w:type="paragraph" w:customStyle="1" w:styleId="281">
    <w:name w:val="修订2"/>
    <w:hidden/>
    <w:unhideWhenUsed/>
    <w:qFormat/>
    <w:uiPriority w:val="99"/>
    <w:rPr>
      <w:rFonts w:ascii="Calibri" w:hAnsi="Calibri" w:eastAsia="宋体" w:cs="Times New Roman"/>
      <w:kern w:val="2"/>
      <w:sz w:val="21"/>
      <w:szCs w:val="21"/>
      <w:lang w:val="en-US" w:eastAsia="zh-CN" w:bidi="ar-SA"/>
    </w:rPr>
  </w:style>
  <w:style w:type="paragraph" w:customStyle="1" w:styleId="282">
    <w:name w:val="修订3"/>
    <w:hidden/>
    <w:unhideWhenUsed/>
    <w:qFormat/>
    <w:uiPriority w:val="99"/>
    <w:rPr>
      <w:rFonts w:ascii="Calibri" w:hAnsi="Calibri" w:eastAsia="宋体" w:cs="Times New Roman"/>
      <w:kern w:val="2"/>
      <w:sz w:val="21"/>
      <w:szCs w:val="21"/>
      <w:lang w:val="en-US" w:eastAsia="zh-CN" w:bidi="ar-SA"/>
    </w:rPr>
  </w:style>
  <w:style w:type="character" w:customStyle="1" w:styleId="283">
    <w:name w:val="标准文件_二级无标题 Char"/>
    <w:link w:val="169"/>
    <w:qFormat/>
    <w:uiPriority w:val="0"/>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1" Type="http://schemas.openxmlformats.org/officeDocument/2006/relationships/glossaryDocument" Target="glossary/document.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png"/><Relationship Id="rId25" Type="http://schemas.openxmlformats.org/officeDocument/2006/relationships/image" Target="media/image1.jpeg"/><Relationship Id="rId24" Type="http://schemas.openxmlformats.org/officeDocument/2006/relationships/theme" Target="theme/theme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33580E5DEE94A56B4AA6E6699E4C1B2"/>
        <w:style w:val=""/>
        <w:category>
          <w:name w:val="常规"/>
          <w:gallery w:val="placeholder"/>
        </w:category>
        <w:types>
          <w:type w:val="bbPlcHdr"/>
        </w:types>
        <w:behaviors>
          <w:behavior w:val="content"/>
        </w:behaviors>
        <w:description w:val=""/>
        <w:guid w:val="{34689D8D-2592-4C26-8790-926C603A8528}"/>
      </w:docPartPr>
      <w:docPartBody>
        <w:p w14:paraId="24815AB7">
          <w:pPr>
            <w:pStyle w:val="5"/>
          </w:pPr>
          <w:r>
            <w:rPr>
              <w:rStyle w:val="4"/>
              <w:rFonts w:hint="eastAsia"/>
            </w:rPr>
            <w:t>单击或点击此处输入文字。</w:t>
          </w:r>
        </w:p>
      </w:docPartBody>
    </w:docPart>
    <w:docPart>
      <w:docPartPr>
        <w:name w:val="5D90168562164F299B43676937C953E8"/>
        <w:style w:val=""/>
        <w:category>
          <w:name w:val="常规"/>
          <w:gallery w:val="placeholder"/>
        </w:category>
        <w:types>
          <w:type w:val="bbPlcHdr"/>
        </w:types>
        <w:behaviors>
          <w:behavior w:val="content"/>
        </w:behaviors>
        <w:description w:val=""/>
        <w:guid w:val="{7A012BD1-694A-4C18-B3FA-49435039141F}"/>
      </w:docPartPr>
      <w:docPartBody>
        <w:p w14:paraId="3C47BC20">
          <w:pPr>
            <w:pStyle w:val="6"/>
          </w:pPr>
          <w:r>
            <w:rPr>
              <w:rStyle w:val="4"/>
              <w:rFonts w:hint="eastAsia"/>
            </w:rPr>
            <w:t>选择一项。</w:t>
          </w:r>
        </w:p>
      </w:docPartBody>
    </w:docPart>
    <w:docPart>
      <w:docPartPr>
        <w:name w:val="{17f91292-1dc5-46d1-8705-c70758c29d7b}"/>
        <w:style w:val=""/>
        <w:category>
          <w:name w:val="常规"/>
          <w:gallery w:val="placeholder"/>
        </w:category>
        <w:types>
          <w:type w:val="bbPlcHdr"/>
        </w:types>
        <w:behaviors>
          <w:behavior w:val="content"/>
        </w:behaviors>
        <w:description w:val=""/>
        <w:guid w:val="{17f91292-1dc5-46d1-8705-c70758c29d7b}"/>
      </w:docPartPr>
      <w:docPartBody>
        <w:p w14:paraId="30B8CE91">
          <w:pPr>
            <w:pStyle w:val="8"/>
            <w:rPr>
              <w:rFonts w:hint="eastAsia"/>
            </w:rPr>
          </w:pPr>
          <w:r>
            <w:rPr>
              <w:rStyle w:val="7"/>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C0"/>
    <w:rsid w:val="0001420D"/>
    <w:rsid w:val="0004716D"/>
    <w:rsid w:val="000B2816"/>
    <w:rsid w:val="000D0DF4"/>
    <w:rsid w:val="000F721E"/>
    <w:rsid w:val="00122383"/>
    <w:rsid w:val="00124EF0"/>
    <w:rsid w:val="001613CD"/>
    <w:rsid w:val="001678BC"/>
    <w:rsid w:val="0017532E"/>
    <w:rsid w:val="00181D60"/>
    <w:rsid w:val="001B4854"/>
    <w:rsid w:val="001C703A"/>
    <w:rsid w:val="00224E4C"/>
    <w:rsid w:val="00233E0B"/>
    <w:rsid w:val="00245410"/>
    <w:rsid w:val="00247E02"/>
    <w:rsid w:val="00250CE1"/>
    <w:rsid w:val="00252617"/>
    <w:rsid w:val="00292364"/>
    <w:rsid w:val="002A34EB"/>
    <w:rsid w:val="002A42F2"/>
    <w:rsid w:val="002A5A0E"/>
    <w:rsid w:val="002B203B"/>
    <w:rsid w:val="002E79D5"/>
    <w:rsid w:val="00335557"/>
    <w:rsid w:val="00344A6E"/>
    <w:rsid w:val="003568E3"/>
    <w:rsid w:val="003609A4"/>
    <w:rsid w:val="003A430A"/>
    <w:rsid w:val="003B0594"/>
    <w:rsid w:val="00405BE1"/>
    <w:rsid w:val="004262C1"/>
    <w:rsid w:val="004709A1"/>
    <w:rsid w:val="0048438C"/>
    <w:rsid w:val="00486075"/>
    <w:rsid w:val="004C7C9D"/>
    <w:rsid w:val="00506EFF"/>
    <w:rsid w:val="00533DC4"/>
    <w:rsid w:val="00552166"/>
    <w:rsid w:val="005662EB"/>
    <w:rsid w:val="00583AAB"/>
    <w:rsid w:val="00593537"/>
    <w:rsid w:val="006074EA"/>
    <w:rsid w:val="00615B61"/>
    <w:rsid w:val="00642880"/>
    <w:rsid w:val="006468C2"/>
    <w:rsid w:val="006642AD"/>
    <w:rsid w:val="00666D88"/>
    <w:rsid w:val="00672F74"/>
    <w:rsid w:val="00685923"/>
    <w:rsid w:val="006E430E"/>
    <w:rsid w:val="00764574"/>
    <w:rsid w:val="007C3E32"/>
    <w:rsid w:val="007D2C4A"/>
    <w:rsid w:val="00813842"/>
    <w:rsid w:val="008256CB"/>
    <w:rsid w:val="00832824"/>
    <w:rsid w:val="008729C1"/>
    <w:rsid w:val="00883250"/>
    <w:rsid w:val="0091351B"/>
    <w:rsid w:val="00916263"/>
    <w:rsid w:val="009862F8"/>
    <w:rsid w:val="00997226"/>
    <w:rsid w:val="009C0370"/>
    <w:rsid w:val="009D49B1"/>
    <w:rsid w:val="009E760A"/>
    <w:rsid w:val="00A16A80"/>
    <w:rsid w:val="00A209FE"/>
    <w:rsid w:val="00A67B89"/>
    <w:rsid w:val="00A854CF"/>
    <w:rsid w:val="00B05704"/>
    <w:rsid w:val="00B22FC1"/>
    <w:rsid w:val="00BA077C"/>
    <w:rsid w:val="00BA51CF"/>
    <w:rsid w:val="00BC3695"/>
    <w:rsid w:val="00C0640D"/>
    <w:rsid w:val="00C736D0"/>
    <w:rsid w:val="00C96FD9"/>
    <w:rsid w:val="00CA724C"/>
    <w:rsid w:val="00CD2C45"/>
    <w:rsid w:val="00CD5B24"/>
    <w:rsid w:val="00CE18DD"/>
    <w:rsid w:val="00CE472C"/>
    <w:rsid w:val="00D22C93"/>
    <w:rsid w:val="00D434AD"/>
    <w:rsid w:val="00D57D22"/>
    <w:rsid w:val="00D76227"/>
    <w:rsid w:val="00D84024"/>
    <w:rsid w:val="00D9103D"/>
    <w:rsid w:val="00D97AA5"/>
    <w:rsid w:val="00DF7A33"/>
    <w:rsid w:val="00E12032"/>
    <w:rsid w:val="00E6509C"/>
    <w:rsid w:val="00E87155"/>
    <w:rsid w:val="00EC57C0"/>
    <w:rsid w:val="00ED399F"/>
    <w:rsid w:val="00F204AA"/>
    <w:rsid w:val="00F56F1C"/>
    <w:rsid w:val="00F76CD6"/>
    <w:rsid w:val="00F83BC2"/>
    <w:rsid w:val="00F9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autoRedefine/>
    <w:semiHidden/>
    <w:qFormat/>
    <w:uiPriority w:val="99"/>
    <w:rPr>
      <w:color w:val="808080"/>
    </w:rPr>
  </w:style>
  <w:style w:type="paragraph" w:customStyle="1" w:styleId="5">
    <w:name w:val="D33580E5DEE94A56B4AA6E6699E4C1B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D90168562164F299B43676937C953E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7">
    <w:name w:val="Placeholder Text"/>
    <w:basedOn w:val="2"/>
    <w:autoRedefine/>
    <w:semiHidden/>
    <w:qFormat/>
    <w:uiPriority w:val="99"/>
    <w:rPr>
      <w:color w:val="808080"/>
    </w:rPr>
  </w:style>
  <w:style w:type="paragraph" w:customStyle="1" w:styleId="8">
    <w:name w:val="6E14AFCA18E14F94A68CABAD0F53387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F08AE0-F168-47C8-9096-A9FA920BEC0D}">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11</Pages>
  <Words>3672</Words>
  <Characters>4330</Characters>
  <Lines>28</Lines>
  <Paragraphs>8</Paragraphs>
  <TotalTime>4</TotalTime>
  <ScaleCrop>false</ScaleCrop>
  <LinksUpToDate>false</LinksUpToDate>
  <CharactersWithSpaces>4558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2025-06-05T02:20:00Z</dcterms:created>
  <dc:creator>ZHH</dc:creator>
  <dc:description>&lt;config cover="true" show_menu="true" version="1.0.0" doctype="SDKXY"&gt;_x000d_
&lt;/config&gt;</dc:description>
  <cp:lastModifiedBy>12345</cp:lastModifiedBy>
  <cp:lastPrinted>2023-10-19T05:03:00Z</cp:lastPrinted>
  <dcterms:modified xsi:type="dcterms:W3CDTF">2026-08-28T08:59:06Z</dcterms:modified>
  <dc:title>团体标准</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2052-12.1.0.28043</vt:lpwstr>
  </property>
  <property fmtid="{D5CDD505-2E9C-101B-9397-08002B2CF9AE}" pid="15" name="ICV">
    <vt:lpwstr>344715CC062F4EEDA91257BEE6BFD986_13</vt:lpwstr>
  </property>
  <property fmtid="{D5CDD505-2E9C-101B-9397-08002B2CF9AE}" pid="16" name="KSOTemplateDocerSaveRecord">
    <vt:lpwstr>eyJoZGlkIjoiY2I4ZWQzMTkxM2M5MDUxMGU2ZDIxNjdiODMzNDc3ZTAiLCJ1c2VySWQiOiIxNTk4OTI3OTM1In0=</vt:lpwstr>
  </property>
</Properties>
</file>