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D054B">
      <w:pPr>
        <w:pStyle w:val="143"/>
        <w:numPr>
          <w:ilvl w:val="0"/>
          <w:numId w:val="0"/>
        </w:numPr>
        <w:spacing w:before="312" w:after="312"/>
        <w:jc w:val="both"/>
        <w:rPr>
          <w:rFonts w:hint="eastAsia" w:ascii="仿宋" w:hAnsi="仿宋" w:eastAsia="仿宋" w:cs="仿宋"/>
          <w:b/>
          <w:bCs/>
          <w:sz w:val="32"/>
          <w:szCs w:val="32"/>
        </w:rPr>
      </w:pPr>
      <w:bookmarkStart w:id="0" w:name="_Toc298937188"/>
      <w:bookmarkStart w:id="1" w:name="_Toc309995390"/>
      <w:bookmarkStart w:id="2" w:name="_Toc298937100"/>
      <w:bookmarkStart w:id="3" w:name="_Toc304825081"/>
      <w:bookmarkStart w:id="4" w:name="_Toc304828066"/>
      <w:bookmarkStart w:id="5" w:name="_Toc298936924"/>
      <w:bookmarkStart w:id="6" w:name="_Toc298937201"/>
      <w:bookmarkStart w:id="7" w:name="_Toc6138"/>
      <w:bookmarkStart w:id="8" w:name="_Toc298937152"/>
      <w:bookmarkStart w:id="9" w:name="_Toc309994551"/>
      <w:bookmarkStart w:id="10" w:name="_Toc304825008"/>
      <w:bookmarkStart w:id="11" w:name="_Toc309995999"/>
      <w:bookmarkStart w:id="12" w:name="_Toc298937419"/>
      <w:bookmarkStart w:id="13" w:name="_Toc309995472"/>
      <w:bookmarkStart w:id="14" w:name="_Toc309997040"/>
      <w:bookmarkStart w:id="15" w:name="_Toc298937462"/>
      <w:bookmarkStart w:id="16" w:name="_Toc298938635"/>
      <w:bookmarkStart w:id="17" w:name="_Toc298937167"/>
      <w:bookmarkStart w:id="18" w:name="_Toc309993180"/>
      <w:bookmarkStart w:id="19" w:name="_Toc309995578"/>
      <w:bookmarkStart w:id="20" w:name="_Toc298937609"/>
      <w:bookmarkStart w:id="21" w:name="_Toc298937357"/>
      <w:bookmarkStart w:id="22" w:name="_Toc298936801"/>
      <w:bookmarkStart w:id="23" w:name="_Toc304402664"/>
      <w:bookmarkStart w:id="24" w:name="_Toc304824969"/>
      <w:bookmarkStart w:id="25" w:name="_Toc37234703"/>
      <w:bookmarkStart w:id="26" w:name="_Toc298937322"/>
      <w:bookmarkStart w:id="27" w:name="_Toc298938783"/>
      <w:bookmarkStart w:id="28" w:name="_Toc298937276"/>
      <w:bookmarkStart w:id="29" w:name="_Toc499110426"/>
      <w:bookmarkStart w:id="30" w:name="_Toc298923383"/>
      <w:bookmarkStart w:id="31" w:name="_Toc310002637"/>
    </w:p>
    <w:p w14:paraId="705BFDC1">
      <w:pPr>
        <w:pStyle w:val="143"/>
        <w:numPr>
          <w:ilvl w:val="0"/>
          <w:numId w:val="0"/>
        </w:numPr>
        <w:spacing w:before="312" w:after="312" w:line="240" w:lineRule="auto"/>
        <w:jc w:val="center"/>
        <w:rPr>
          <w:rFonts w:hint="eastAsia" w:ascii="仿宋" w:hAnsi="仿宋" w:eastAsia="仿宋" w:cs="仿宋"/>
          <w:b/>
          <w:bCs/>
          <w:sz w:val="32"/>
          <w:szCs w:val="32"/>
        </w:rPr>
      </w:pPr>
      <w:r>
        <w:rPr>
          <w:rFonts w:hint="eastAsia" w:ascii="仿宋" w:hAnsi="仿宋" w:eastAsia="仿宋" w:cs="仿宋"/>
          <w:b/>
          <w:bCs/>
          <w:sz w:val="32"/>
          <w:szCs w:val="32"/>
          <w:lang w:eastAsia="zh-CN"/>
        </w:rPr>
        <w:t>《盐碱地改良用高分子功能凝胶通用技术要求》</w:t>
      </w:r>
      <w:r>
        <w:rPr>
          <w:rFonts w:hint="eastAsia" w:ascii="仿宋" w:hAnsi="仿宋" w:eastAsia="仿宋" w:cs="仿宋"/>
          <w:b/>
          <w:bCs/>
          <w:sz w:val="32"/>
          <w:szCs w:val="32"/>
        </w:rPr>
        <w:t>团体标准编制说明</w:t>
      </w:r>
    </w:p>
    <w:p w14:paraId="2A8AD7D5">
      <w:pPr>
        <w:pStyle w:val="143"/>
        <w:numPr>
          <w:ilvl w:val="0"/>
          <w:numId w:val="0"/>
        </w:numPr>
        <w:spacing w:before="312" w:after="312"/>
        <w:rPr>
          <w:rFonts w:hint="eastAsia" w:ascii="仿宋" w:hAnsi="仿宋" w:eastAsia="仿宋" w:cs="仿宋"/>
          <w:b/>
          <w:bCs/>
          <w:sz w:val="21"/>
          <w:szCs w:val="21"/>
          <w:lang w:val="en-US" w:eastAsia="zh-CN" w:bidi="ar-SA"/>
        </w:rPr>
      </w:pPr>
      <w:r>
        <w:rPr>
          <w:rFonts w:hint="eastAsia" w:ascii="仿宋" w:hAnsi="仿宋" w:eastAsia="仿宋" w:cs="仿宋"/>
          <w:b/>
          <w:bCs/>
          <w:color w:val="000000"/>
          <w:sz w:val="21"/>
          <w:szCs w:val="21"/>
        </w:rPr>
        <w:t>一</w:t>
      </w:r>
      <w:r>
        <w:rPr>
          <w:rFonts w:hint="eastAsia" w:ascii="仿宋" w:hAnsi="仿宋" w:eastAsia="仿宋" w:cs="仿宋"/>
          <w:b/>
          <w:bCs/>
          <w:sz w:val="21"/>
          <w:szCs w:val="21"/>
          <w:lang w:val="en-US" w:eastAsia="zh-CN" w:bidi="ar-SA"/>
        </w:rPr>
        <w:t>、任务来源</w:t>
      </w:r>
    </w:p>
    <w:p w14:paraId="2BD45F79">
      <w:pPr>
        <w:keepNext w:val="0"/>
        <w:keepLines w:val="0"/>
        <w:widowControl/>
        <w:suppressLineNumbers w:val="0"/>
        <w:ind w:firstLine="420" w:firstLineChars="200"/>
        <w:jc w:val="left"/>
        <w:rPr>
          <w:rFonts w:hint="eastAsia" w:ascii="仿宋" w:hAnsi="仿宋" w:eastAsia="仿宋" w:cs="仿宋"/>
          <w:b/>
          <w:bCs/>
          <w:color w:val="000000"/>
          <w:sz w:val="21"/>
          <w:szCs w:val="21"/>
        </w:rPr>
      </w:pPr>
      <w:r>
        <w:rPr>
          <w:rFonts w:hint="eastAsia" w:ascii="仿宋" w:hAnsi="仿宋" w:eastAsia="仿宋" w:cs="仿宋"/>
          <w:sz w:val="21"/>
          <w:szCs w:val="21"/>
          <w:lang w:val="en-US" w:eastAsia="zh-CN"/>
        </w:rPr>
        <w:t>2026年5月28日，中国西部开发促进会发布《盐碱地改良用高分子功能凝胶通用技术要求》团体标准立项通知,开展团体标准的编制工作。</w:t>
      </w:r>
    </w:p>
    <w:p w14:paraId="489FDD61">
      <w:pPr>
        <w:pStyle w:val="143"/>
        <w:numPr>
          <w:ilvl w:val="0"/>
          <w:numId w:val="0"/>
        </w:numPr>
        <w:spacing w:before="312" w:after="312"/>
      </w:pPr>
      <w:r>
        <w:rPr>
          <w:rFonts w:hint="eastAsia" w:ascii="仿宋" w:hAnsi="仿宋" w:eastAsia="仿宋" w:cs="仿宋"/>
          <w:b/>
          <w:bCs/>
          <w:color w:val="000000"/>
          <w:sz w:val="21"/>
          <w:szCs w:val="21"/>
          <w:lang w:eastAsia="zh-CN"/>
        </w:rPr>
        <w:t>二</w:t>
      </w:r>
      <w:r>
        <w:rPr>
          <w:rFonts w:hint="eastAsia" w:ascii="仿宋" w:hAnsi="仿宋" w:eastAsia="仿宋" w:cs="仿宋"/>
          <w:b/>
          <w:bCs/>
          <w:sz w:val="21"/>
          <w:szCs w:val="21"/>
          <w:lang w:val="en-US" w:eastAsia="zh-CN" w:bidi="ar-SA"/>
        </w:rPr>
        <w:t>、项目背景</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3AFA7EDD">
      <w:pPr>
        <w:pStyle w:val="30"/>
        <w:ind w:left="0" w:leftChars="0" w:firstLine="0" w:firstLineChars="0"/>
        <w:rPr>
          <w:rFonts w:hint="eastAsia" w:ascii="仿宋" w:hAnsi="仿宋" w:eastAsia="仿宋" w:cs="仿宋"/>
          <w:b/>
          <w:bCs/>
          <w:color w:val="000000"/>
          <w:sz w:val="21"/>
          <w:szCs w:val="21"/>
          <w:lang w:val="en-US" w:eastAsia="zh-CN"/>
        </w:rPr>
      </w:pPr>
      <w:bookmarkStart w:id="32" w:name="_Toc298937549"/>
      <w:bookmarkEnd w:id="32"/>
      <w:bookmarkStart w:id="33" w:name="BT1"/>
      <w:bookmarkEnd w:id="33"/>
      <w:r>
        <w:rPr>
          <w:rFonts w:hint="eastAsia" w:ascii="仿宋" w:hAnsi="仿宋" w:eastAsia="仿宋" w:cs="仿宋"/>
          <w:b/>
          <w:bCs/>
          <w:color w:val="000000"/>
          <w:sz w:val="21"/>
          <w:szCs w:val="21"/>
          <w:lang w:val="en-US" w:eastAsia="zh-CN"/>
        </w:rPr>
        <w:t>1.目的</w:t>
      </w:r>
    </w:p>
    <w:p w14:paraId="0E58F26E">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制定本团体标准，旨在顺应耕地保护、盐碱地综合利用、生态修复产业化的快速发展需求，推动盐碱地改良用高分子功能凝胶技术向标准化、规范化、精准化方向升级。高分子功能凝胶作为改良盐碱土体、保水固肥、调控土壤理化性质的核心材料，在盐碱地提质增效、耕地后备资源开发中发挥着基础性作用。然而，当前行业在原料配比、制备工艺、性能检测、施用方法等方面缺乏统一规范，导致产品性能稳定性差、改良效果可比性弱、工程应用风险高、技术推广效率低等问题。制定本团体标准，有助于统一技术要求与性能指标，推动产品检测与工程应用标准化，为原料生产、产品加工、现场施用、效果评估等各环节提供明确技术依据，促进盐碱地改良用高分子功能凝胶技术健康有序发展。</w:t>
      </w:r>
    </w:p>
    <w:p w14:paraId="38381B68">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2.意义</w:t>
      </w:r>
    </w:p>
    <w:p w14:paraId="1C3D9695">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该团体标准的制定，有助于填补盐碱地改良高分子功能凝胶领域的标准空白，提升我国在盐碱地生态修复自主标准化体系中的话语权。通过明确原料要求、性能指标、检测方法、施用管控等核心内容，能规范行业产品研发与工程应用流程，提升不同厂家产品质量的一致性与可靠性，降低盐碱地治理工程实施风险，促进技术成果快速转化。同时，标准将建立统一的产品技术评价体系，提高国土整治、农业开发项目对高分子改良材料的认可度；此外，作为产业升级抓手，将引导企业聚焦耐盐改性、长效缓释、环境友好型凝胶等关键技术突破，加快从 “经验化配方” 向 “标准引领” 转变，助力盐碱地综合利用产业高质量发展。</w:t>
      </w:r>
    </w:p>
    <w:p w14:paraId="1A6555C0">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3.必要性</w:t>
      </w:r>
    </w:p>
    <w:p w14:paraId="02877DB1">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盐碱地改良用高分子功能凝胶已成为盐碱土降盐培肥、水土调控的关键材料，但缺乏统一规范导致工程应用乱象频发。不同厂家的原料体系、制备工艺、检测条件差异造成产品改良效果不可控，直接影响盐碱地治理工程成效；无统一质控标准增加了土壤二次污染风险，阻碍材料规模化推广。制定本标准是解决盐碱地治理应用痛点、保障耕地质量与生态安全的迫切需求，也是推动我国盐碱改良高分子材料自主创新、提升行业国际竞争力的关键支撑。</w:t>
      </w:r>
    </w:p>
    <w:p w14:paraId="1448D036">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综上所述，制定《盐碱地改良用高分子功能凝胶通用技术要求》团体标准对于促进盐碱地综合利用产业健康发展、推动土壤改良技术创新、保障耕地生态安全及增强行业竞争力均具有重要意义。这将有助于提升企业在盐碱地修复与土壤改良领域的科技创新能力和市场竞争力，推动整个行业向更加规范化、精准化的方向发展。</w:t>
      </w:r>
    </w:p>
    <w:p w14:paraId="62348F23">
      <w:pPr>
        <w:pStyle w:val="143"/>
        <w:numPr>
          <w:ilvl w:val="0"/>
          <w:numId w:val="0"/>
        </w:numPr>
        <w:spacing w:before="312" w:after="312"/>
        <w:ind w:left="0" w:leftChars="0" w:firstLine="0" w:firstLineChars="0"/>
        <w:rPr>
          <w:rFonts w:ascii="仿宋" w:hAnsi="仿宋" w:eastAsia="仿宋" w:cs="仿宋"/>
          <w:b/>
          <w:bCs/>
          <w:color w:val="000000"/>
          <w:sz w:val="21"/>
          <w:szCs w:val="21"/>
        </w:rPr>
      </w:pPr>
      <w:bookmarkStart w:id="34" w:name="BT3"/>
      <w:bookmarkEnd w:id="34"/>
      <w:r>
        <w:rPr>
          <w:rFonts w:hint="eastAsia" w:ascii="仿宋" w:hAnsi="仿宋" w:eastAsia="仿宋" w:cs="仿宋"/>
          <w:b/>
          <w:bCs/>
          <w:color w:val="000000"/>
          <w:sz w:val="21"/>
          <w:szCs w:val="21"/>
          <w:lang w:val="en-US" w:eastAsia="zh-CN" w:bidi="ar-SA"/>
        </w:rPr>
        <w:t>三、</w:t>
      </w:r>
      <w:r>
        <w:rPr>
          <w:rFonts w:hint="eastAsia" w:ascii="仿宋" w:hAnsi="仿宋" w:eastAsia="仿宋" w:cs="仿宋"/>
          <w:b/>
          <w:bCs/>
          <w:color w:val="000000"/>
          <w:sz w:val="21"/>
          <w:szCs w:val="21"/>
        </w:rPr>
        <w:t>起草单位</w:t>
      </w:r>
      <w:r>
        <w:rPr>
          <w:rFonts w:hint="eastAsia" w:ascii="仿宋" w:hAnsi="仿宋" w:eastAsia="仿宋" w:cs="仿宋"/>
          <w:b/>
          <w:bCs/>
          <w:color w:val="000000"/>
          <w:sz w:val="21"/>
          <w:szCs w:val="21"/>
          <w:lang w:val="en-US" w:eastAsia="zh-CN"/>
        </w:rPr>
        <w:t>和主要工作成员及其所作工作</w:t>
      </w:r>
    </w:p>
    <w:p w14:paraId="12D61796">
      <w:pPr>
        <w:pStyle w:val="30"/>
        <w:ind w:left="0" w:leftChars="0" w:firstLine="0" w:firstLineChars="0"/>
        <w:rPr>
          <w:rFonts w:hint="default" w:eastAsia="仿宋"/>
          <w:sz w:val="21"/>
          <w:szCs w:val="21"/>
          <w:lang w:val="en-US" w:eastAsia="zh-CN"/>
        </w:rPr>
      </w:pPr>
      <w:r>
        <w:rPr>
          <w:rFonts w:hint="eastAsia" w:ascii="仿宋" w:hAnsi="仿宋" w:eastAsia="仿宋" w:cs="仿宋"/>
          <w:b/>
          <w:bCs/>
          <w:color w:val="000000"/>
          <w:sz w:val="21"/>
          <w:szCs w:val="21"/>
          <w:lang w:val="en-US" w:eastAsia="zh-CN"/>
        </w:rPr>
        <w:t>1.起草单位</w:t>
      </w:r>
    </w:p>
    <w:p w14:paraId="33722D0E">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中国西部开发促进会</w:t>
      </w:r>
      <w:r>
        <w:rPr>
          <w:rFonts w:hint="eastAsia" w:ascii="仿宋" w:hAnsi="仿宋" w:eastAsia="仿宋" w:cs="仿宋"/>
          <w:sz w:val="21"/>
          <w:szCs w:val="21"/>
        </w:rPr>
        <w:t>提出</w:t>
      </w:r>
      <w:r>
        <w:rPr>
          <w:rFonts w:hint="eastAsia" w:ascii="仿宋" w:hAnsi="仿宋" w:eastAsia="仿宋" w:cs="仿宋"/>
          <w:sz w:val="21"/>
          <w:szCs w:val="21"/>
          <w:lang w:val="en-US" w:eastAsia="zh-CN"/>
        </w:rPr>
        <w:t>并</w:t>
      </w:r>
      <w:r>
        <w:rPr>
          <w:rFonts w:hint="eastAsia" w:ascii="仿宋" w:hAnsi="仿宋" w:eastAsia="仿宋" w:cs="仿宋"/>
          <w:sz w:val="21"/>
          <w:szCs w:val="21"/>
        </w:rPr>
        <w:t>归口。</w:t>
      </w:r>
    </w:p>
    <w:p w14:paraId="3F8B68C3">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XXXXXXXX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r>
        <w:rPr>
          <w:rFonts w:hint="eastAsia" w:ascii="仿宋" w:hAnsi="仿宋" w:eastAsia="仿宋" w:cs="仿宋"/>
          <w:sz w:val="21"/>
          <w:szCs w:val="21"/>
          <w:lang w:val="en-US" w:eastAsia="zh-CN" w:bidi="zh-CN"/>
        </w:rPr>
        <w:t>共同</w:t>
      </w:r>
      <w:r>
        <w:rPr>
          <w:rFonts w:hint="eastAsia" w:ascii="仿宋" w:hAnsi="仿宋" w:eastAsia="仿宋" w:cs="仿宋"/>
          <w:sz w:val="21"/>
          <w:szCs w:val="21"/>
        </w:rPr>
        <w:t>起草。</w:t>
      </w:r>
    </w:p>
    <w:p w14:paraId="6C2D1883">
      <w:pPr>
        <w:pStyle w:val="30"/>
        <w:numPr>
          <w:ilvl w:val="0"/>
          <w:numId w:val="0"/>
        </w:numPr>
        <w:ind w:left="0" w:leftChars="0" w:firstLine="0" w:firstLineChars="0"/>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bidi="ar-SA"/>
        </w:rPr>
        <w:t>2.</w:t>
      </w:r>
      <w:r>
        <w:rPr>
          <w:rFonts w:hint="eastAsia" w:ascii="仿宋" w:hAnsi="仿宋" w:eastAsia="仿宋" w:cs="仿宋"/>
          <w:b/>
          <w:bCs/>
          <w:sz w:val="21"/>
          <w:szCs w:val="21"/>
          <w:lang w:val="en-US" w:eastAsia="zh-CN"/>
        </w:rPr>
        <w:t>主要工作成员及其所做工作</w:t>
      </w:r>
    </w:p>
    <w:p w14:paraId="4F06396F">
      <w:pPr>
        <w:pStyle w:val="30"/>
        <w:numPr>
          <w:ilvl w:val="0"/>
          <w:numId w:val="0"/>
        </w:numPr>
        <w:ind w:leftChars="0" w:firstLine="420" w:firstLineChars="20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本文件主要主要工作及工作职责见表1。</w:t>
      </w:r>
    </w:p>
    <w:p w14:paraId="0BB1C4A3">
      <w:pPr>
        <w:pStyle w:val="30"/>
        <w:numPr>
          <w:ilvl w:val="0"/>
          <w:numId w:val="0"/>
        </w:numPr>
        <w:ind w:leftChars="0"/>
        <w:jc w:val="center"/>
        <w:rPr>
          <w:rFonts w:hint="eastAsia" w:ascii="仿宋" w:hAnsi="仿宋" w:eastAsia="仿宋" w:cs="仿宋"/>
          <w:sz w:val="21"/>
          <w:szCs w:val="21"/>
          <w:lang w:val="en-US" w:eastAsia="zh-CN"/>
        </w:rPr>
      </w:pPr>
    </w:p>
    <w:p w14:paraId="6CA2A8E8">
      <w:pPr>
        <w:pStyle w:val="30"/>
        <w:numPr>
          <w:ilvl w:val="0"/>
          <w:numId w:val="0"/>
        </w:numPr>
        <w:ind w:leftChars="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表1 主要起草人及工作职责</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2"/>
        <w:gridCol w:w="5342"/>
      </w:tblGrid>
      <w:tr w14:paraId="662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14:paraId="440D9251">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起草单位</w:t>
            </w:r>
          </w:p>
        </w:tc>
        <w:tc>
          <w:tcPr>
            <w:tcW w:w="5342" w:type="dxa"/>
          </w:tcPr>
          <w:p w14:paraId="65A92ED6">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工作职责</w:t>
            </w:r>
          </w:p>
        </w:tc>
      </w:tr>
      <w:tr w14:paraId="614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4512" w:type="dxa"/>
          </w:tcPr>
          <w:p w14:paraId="355EAAFE">
            <w:pPr>
              <w:pStyle w:val="30"/>
              <w:numPr>
                <w:ilvl w:val="0"/>
                <w:numId w:val="0"/>
              </w:numPr>
              <w:rPr>
                <w:rFonts w:hint="eastAsia" w:ascii="仿宋" w:hAnsi="仿宋" w:eastAsia="仿宋" w:cs="仿宋"/>
                <w:sz w:val="21"/>
                <w:szCs w:val="21"/>
                <w:highlight w:val="yellow"/>
                <w:vertAlign w:val="baseline"/>
                <w:lang w:val="en-US" w:eastAsia="zh-CN"/>
              </w:rPr>
            </w:pPr>
            <w:r>
              <w:rPr>
                <w:rFonts w:hint="eastAsia" w:ascii="仿宋" w:hAnsi="仿宋" w:eastAsia="仿宋" w:cs="仿宋"/>
                <w:sz w:val="21"/>
                <w:szCs w:val="21"/>
                <w:lang w:val="en-US" w:eastAsia="zh-CN"/>
              </w:rPr>
              <w:t>XXXXXXX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p>
        </w:tc>
        <w:tc>
          <w:tcPr>
            <w:tcW w:w="5342" w:type="dxa"/>
          </w:tcPr>
          <w:p w14:paraId="50D897F4">
            <w:pPr>
              <w:pStyle w:val="30"/>
              <w:numPr>
                <w:ilvl w:val="0"/>
                <w:numId w:val="0"/>
              </w:numPr>
              <w:rPr>
                <w:rFonts w:hint="default" w:ascii="仿宋" w:hAnsi="仿宋" w:eastAsia="仿宋" w:cs="仿宋"/>
                <w:sz w:val="21"/>
                <w:szCs w:val="21"/>
                <w:vertAlign w:val="baseline"/>
                <w:lang w:val="en-US" w:eastAsia="zh-CN"/>
              </w:rPr>
            </w:pPr>
            <w:r>
              <w:rPr>
                <w:rFonts w:hint="default" w:ascii="仿宋" w:hAnsi="仿宋" w:eastAsia="仿宋" w:cs="仿宋"/>
                <w:sz w:val="21"/>
                <w:szCs w:val="21"/>
                <w:vertAlign w:val="baseline"/>
                <w:lang w:val="en-US" w:eastAsia="zh-CN"/>
              </w:rPr>
              <w:t>项目主编单位主编人员，负责标准制定的统筹规划与安排，标准内容和试验方案编制与确定，标准水平的把握及标准编制运行的组织协调。人员中包括了</w:t>
            </w:r>
            <w:r>
              <w:rPr>
                <w:rFonts w:hint="eastAsia" w:ascii="仿宋" w:hAnsi="仿宋" w:eastAsia="仿宋" w:cs="仿宋"/>
                <w:sz w:val="21"/>
                <w:szCs w:val="21"/>
                <w:lang w:val="en-US" w:eastAsia="zh-CN"/>
              </w:rPr>
              <w:t>本项标准行业的</w:t>
            </w:r>
            <w:r>
              <w:rPr>
                <w:rFonts w:hint="default" w:ascii="仿宋" w:hAnsi="仿宋" w:eastAsia="仿宋" w:cs="仿宋"/>
                <w:sz w:val="21"/>
                <w:szCs w:val="21"/>
                <w:vertAlign w:val="baseline"/>
                <w:lang w:val="en-US" w:eastAsia="zh-CN"/>
              </w:rPr>
              <w:t>专业</w:t>
            </w:r>
            <w:r>
              <w:rPr>
                <w:rFonts w:hint="eastAsia" w:ascii="仿宋" w:hAnsi="仿宋" w:eastAsia="仿宋" w:cs="仿宋"/>
                <w:sz w:val="21"/>
                <w:szCs w:val="21"/>
                <w:vertAlign w:val="baseline"/>
                <w:lang w:val="en-US" w:eastAsia="zh-CN"/>
              </w:rPr>
              <w:t>技术</w:t>
            </w:r>
            <w:r>
              <w:rPr>
                <w:rFonts w:hint="default" w:ascii="仿宋" w:hAnsi="仿宋" w:eastAsia="仿宋" w:cs="仿宋"/>
                <w:sz w:val="21"/>
                <w:szCs w:val="21"/>
                <w:vertAlign w:val="baseline"/>
                <w:lang w:val="en-US" w:eastAsia="zh-CN"/>
              </w:rPr>
              <w:t>人员</w:t>
            </w:r>
            <w:r>
              <w:rPr>
                <w:rFonts w:hint="eastAsia" w:ascii="仿宋" w:hAnsi="仿宋" w:eastAsia="仿宋" w:cs="仿宋"/>
                <w:sz w:val="21"/>
                <w:szCs w:val="21"/>
                <w:vertAlign w:val="baseline"/>
                <w:lang w:val="en-US" w:eastAsia="zh-CN"/>
              </w:rPr>
              <w:t>、</w:t>
            </w:r>
            <w:r>
              <w:rPr>
                <w:rFonts w:hint="default" w:ascii="仿宋" w:hAnsi="仿宋" w:eastAsia="仿宋" w:cs="仿宋"/>
                <w:sz w:val="21"/>
                <w:szCs w:val="21"/>
                <w:vertAlign w:val="baseline"/>
                <w:lang w:val="en-US" w:eastAsia="zh-CN"/>
              </w:rPr>
              <w:t>管理人员</w:t>
            </w:r>
            <w:r>
              <w:rPr>
                <w:rFonts w:hint="eastAsia" w:ascii="仿宋" w:hAnsi="仿宋" w:eastAsia="仿宋" w:cs="仿宋"/>
                <w:sz w:val="21"/>
                <w:szCs w:val="21"/>
                <w:vertAlign w:val="baseline"/>
                <w:lang w:val="en-US" w:eastAsia="zh-CN"/>
              </w:rPr>
              <w:t>。</w:t>
            </w:r>
          </w:p>
        </w:tc>
      </w:tr>
    </w:tbl>
    <w:p w14:paraId="1AC4246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、标准的编制原则</w:t>
      </w:r>
    </w:p>
    <w:p w14:paraId="05199C8B">
      <w:pPr>
        <w:pStyle w:val="30"/>
        <w:ind w:firstLine="640"/>
        <w:rPr>
          <w:rFonts w:hint="eastAsia" w:ascii="仿宋" w:hAnsi="仿宋" w:eastAsia="仿宋" w:cs="仿宋"/>
          <w:sz w:val="21"/>
          <w:szCs w:val="21"/>
        </w:rPr>
      </w:pPr>
      <w:r>
        <w:rPr>
          <w:rFonts w:hint="eastAsia" w:ascii="仿宋" w:hAnsi="仿宋" w:eastAsia="仿宋" w:cs="仿宋"/>
          <w:sz w:val="21"/>
          <w:szCs w:val="21"/>
        </w:rPr>
        <w:t>标准</w:t>
      </w:r>
      <w:r>
        <w:rPr>
          <w:rFonts w:hint="eastAsia" w:ascii="仿宋" w:hAnsi="仿宋" w:eastAsia="仿宋" w:cs="仿宋"/>
          <w:sz w:val="21"/>
          <w:szCs w:val="21"/>
          <w:lang w:val="en-US" w:eastAsia="zh-CN"/>
        </w:rPr>
        <w:t>编制</w:t>
      </w:r>
      <w:r>
        <w:rPr>
          <w:rFonts w:hint="eastAsia" w:ascii="仿宋" w:hAnsi="仿宋" w:eastAsia="仿宋" w:cs="仿宋"/>
          <w:sz w:val="21"/>
          <w:szCs w:val="21"/>
        </w:rPr>
        <w:t>小组在编制标准过程中，以国家、行业现有的标准为制订基础，结合我国目前的行业现状，按照GB/T 1.1—2020《标准化工作导则 第1部分：标准化文件的结构和起草规则》的规定及相关要求编制。</w:t>
      </w:r>
    </w:p>
    <w:p w14:paraId="1C9A70ED">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五</w:t>
      </w:r>
      <w:r>
        <w:rPr>
          <w:rFonts w:hint="eastAsia" w:ascii="仿宋" w:hAnsi="仿宋" w:eastAsia="仿宋" w:cs="仿宋"/>
          <w:b/>
          <w:bCs/>
          <w:color w:val="000000"/>
          <w:sz w:val="21"/>
          <w:szCs w:val="21"/>
        </w:rPr>
        <w:t>、标准编制过程</w:t>
      </w:r>
    </w:p>
    <w:p w14:paraId="6D1CE6A6">
      <w:pPr>
        <w:pStyle w:val="30"/>
        <w:keepNext w:val="0"/>
        <w:keepLines w:val="0"/>
        <w:pageBreakBefore w:val="0"/>
        <w:widowControl/>
        <w:kinsoku/>
        <w:wordWrap/>
        <w:overflowPunct/>
        <w:topLinePunct w:val="0"/>
        <w:bidi w:val="0"/>
        <w:adjustRightInd/>
        <w:snapToGrid/>
        <w:spacing w:line="240" w:lineRule="auto"/>
        <w:ind w:firstLine="640"/>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5.1 标准调研</w:t>
      </w:r>
    </w:p>
    <w:p w14:paraId="0205E1E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项目立项前，标准编制小组查阅、研读相关国内外文献，广泛搜集相关的材料。同时，标准编制小组安排相关人员，多次与相关行业人员进行调研、交流，广泛征求标准制定方面的意见和建议。</w:t>
      </w:r>
    </w:p>
    <w:p w14:paraId="04940C14">
      <w:pPr>
        <w:pStyle w:val="30"/>
        <w:keepNext w:val="0"/>
        <w:keepLines w:val="0"/>
        <w:pageBreakBefore w:val="0"/>
        <w:widowControl/>
        <w:kinsoku/>
        <w:wordWrap/>
        <w:overflowPunct/>
        <w:topLinePunct w:val="0"/>
        <w:bidi w:val="0"/>
        <w:adjustRightInd/>
        <w:snapToGrid/>
        <w:spacing w:line="240" w:lineRule="auto"/>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5.2. 标准立项</w:t>
      </w:r>
    </w:p>
    <w:p w14:paraId="5F7AB474">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202</w:t>
      </w:r>
      <w:r>
        <w:rPr>
          <w:rFonts w:hint="eastAsia" w:ascii="仿宋" w:hAnsi="仿宋" w:eastAsia="仿宋" w:cs="仿宋"/>
          <w:sz w:val="21"/>
          <w:szCs w:val="21"/>
          <w:lang w:val="en-US" w:eastAsia="zh-CN"/>
        </w:rPr>
        <w:t>6</w:t>
      </w:r>
      <w:r>
        <w:rPr>
          <w:rFonts w:hint="eastAsia" w:ascii="仿宋" w:hAnsi="仿宋" w:eastAsia="仿宋" w:cs="仿宋"/>
          <w:sz w:val="21"/>
          <w:szCs w:val="21"/>
        </w:rPr>
        <w:t>年</w:t>
      </w:r>
      <w:r>
        <w:rPr>
          <w:rFonts w:hint="eastAsia" w:ascii="仿宋" w:hAnsi="仿宋" w:eastAsia="仿宋" w:cs="仿宋"/>
          <w:sz w:val="21"/>
          <w:szCs w:val="21"/>
          <w:lang w:val="en-US" w:eastAsia="zh-CN"/>
        </w:rPr>
        <w:t>5</w:t>
      </w:r>
      <w:r>
        <w:rPr>
          <w:rFonts w:hint="eastAsia" w:ascii="仿宋" w:hAnsi="仿宋" w:eastAsia="仿宋" w:cs="仿宋"/>
          <w:sz w:val="21"/>
          <w:szCs w:val="21"/>
        </w:rPr>
        <w:t>月</w:t>
      </w:r>
      <w:r>
        <w:rPr>
          <w:rFonts w:hint="eastAsia" w:ascii="仿宋" w:hAnsi="仿宋" w:eastAsia="仿宋" w:cs="仿宋"/>
          <w:sz w:val="21"/>
          <w:szCs w:val="21"/>
          <w:lang w:val="en-US" w:eastAsia="zh-CN"/>
        </w:rPr>
        <w:t>28</w:t>
      </w:r>
      <w:r>
        <w:rPr>
          <w:rFonts w:hint="eastAsia" w:ascii="仿宋" w:hAnsi="仿宋" w:eastAsia="仿宋" w:cs="仿宋"/>
          <w:sz w:val="21"/>
          <w:szCs w:val="21"/>
        </w:rPr>
        <w:t>日本团体标准由中国西部开发促进会正式立项，立项名称为：《</w:t>
      </w:r>
      <w:r>
        <w:rPr>
          <w:rFonts w:hint="eastAsia" w:ascii="仿宋" w:hAnsi="仿宋" w:eastAsia="仿宋" w:cs="仿宋"/>
          <w:kern w:val="0"/>
          <w:sz w:val="21"/>
          <w:szCs w:val="21"/>
          <w:lang w:val="en-US" w:eastAsia="zh-CN" w:bidi="ar-SA"/>
        </w:rPr>
        <w:t>盐碱地改良用高分子功能凝胶通用技术要求</w:t>
      </w:r>
      <w:r>
        <w:rPr>
          <w:rFonts w:hint="eastAsia" w:ascii="仿宋" w:hAnsi="仿宋" w:eastAsia="仿宋" w:cs="仿宋"/>
          <w:sz w:val="21"/>
          <w:szCs w:val="21"/>
        </w:rPr>
        <w:t>》。</w:t>
      </w:r>
    </w:p>
    <w:p w14:paraId="72A91C8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5.3 </w:t>
      </w:r>
      <w:r>
        <w:rPr>
          <w:rFonts w:hint="eastAsia" w:ascii="仿宋" w:hAnsi="仿宋" w:eastAsia="仿宋" w:cs="仿宋"/>
          <w:sz w:val="21"/>
          <w:szCs w:val="21"/>
        </w:rPr>
        <w:t>形成标准草案</w:t>
      </w:r>
    </w:p>
    <w:p w14:paraId="19C09E2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起草小组在资料分析和企业调研的基础上，确定《盐碱地改良用高分子功能凝胶通用技术要求》的技术规范框架，并参考现有土壤改良材料检测技术，明确标准的主要技术内容，于2026年5月完成标准草案的编写。</w:t>
      </w:r>
    </w:p>
    <w:p w14:paraId="0431BCCE">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sz w:val="21"/>
          <w:szCs w:val="21"/>
        </w:rPr>
      </w:pPr>
      <w:r>
        <w:rPr>
          <w:rFonts w:hint="eastAsia" w:ascii="仿宋" w:hAnsi="仿宋" w:eastAsia="仿宋" w:cs="仿宋"/>
          <w:b/>
          <w:bCs/>
          <w:color w:val="000000"/>
          <w:sz w:val="21"/>
          <w:szCs w:val="21"/>
          <w:lang w:val="en-US" w:eastAsia="zh-CN" w:bidi="ar-SA"/>
        </w:rPr>
        <w:t>六、试验验证的分析、综述报告，技术经济论证，预期的经济效益、社会效益和生态效益</w:t>
      </w:r>
    </w:p>
    <w:p w14:paraId="5D374B48">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1. 试验验证分析</w:t>
      </w:r>
    </w:p>
    <w:p w14:paraId="0AFD9C2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本标准试验验证遵循 “覆盖核心场景、兼顾技术差异” 原则，组织科研院所、土壤检测机构及凝胶生产企业开展联合验证。</w:t>
      </w:r>
      <w:r>
        <w:rPr>
          <w:rFonts w:hint="eastAsia" w:ascii="仿宋" w:hAnsi="仿宋" w:eastAsia="仿宋" w:cs="仿宋"/>
          <w:sz w:val="21"/>
          <w:szCs w:val="21"/>
          <w:lang w:val="en-US" w:eastAsia="zh-CN"/>
        </w:rPr>
        <w:t>试验</w:t>
      </w:r>
      <w:r>
        <w:rPr>
          <w:rFonts w:hint="eastAsia" w:ascii="仿宋" w:hAnsi="仿宋" w:eastAsia="仿宋" w:cs="仿宋"/>
          <w:sz w:val="21"/>
          <w:szCs w:val="21"/>
        </w:rPr>
        <w:t>聚焦凝胶吸水保水能力、耐盐稳定性、土壤改良效能、环境安全性关键指标。重点考察标准在不同气候条件、施工工艺、土壤本底条件下的适配性，通过多轮验证有效规避传统改良材料性能波动、改良效果不稳定等问题。各参与单位均能通过规范试验获得稳定可靠结果，充分证明标准条款的科学性、可操作性及普适性，为行业内广泛落地提供坚实技术支撑。</w:t>
      </w:r>
    </w:p>
    <w:p w14:paraId="77A6B0B1">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2. </w:t>
      </w:r>
      <w:r>
        <w:rPr>
          <w:rFonts w:hint="eastAsia" w:ascii="仿宋" w:hAnsi="仿宋" w:eastAsia="仿宋" w:cs="仿宋"/>
          <w:sz w:val="21"/>
          <w:szCs w:val="21"/>
        </w:rPr>
        <w:t>综述报告</w:t>
      </w:r>
    </w:p>
    <w:p w14:paraId="1D60AAE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国内盐碱地综合利用已进入规模化工程应用关键阶段，得到国家相关政策大力扶持，多家企业推出盐碱改良凝胶产品，相关材料逐步应用于耕地提质、生态修复领域。但行业存在突出痛点：产品配方不统一，性能检测方法无规范，现场施用管控缺乏统一标准，质量管控体系不完善，导致不同产品改良效果可比性不足。结合国内相关单位调研，行业对高分子改良凝胶通用技术规范需求迫切。本标准立足国内盐碱地治理实践，参考相关国标框架，针对性解决核心痛点，填补国内盐碱地改良高分子功能凝胶统一规范空白。</w:t>
      </w:r>
    </w:p>
    <w:p w14:paraId="3E31B9D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3. </w:t>
      </w:r>
      <w:r>
        <w:rPr>
          <w:rFonts w:hint="eastAsia" w:ascii="仿宋" w:hAnsi="仿宋" w:eastAsia="仿宋" w:cs="仿宋"/>
          <w:sz w:val="21"/>
          <w:szCs w:val="21"/>
        </w:rPr>
        <w:t>技术经济论证</w:t>
      </w:r>
    </w:p>
    <w:p w14:paraId="3FAAF551">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技术层面，标准统一核心性能指标、检测方法及施用管控要求，降低技术门槛，缩短产品选型与工程调试周期，减少现场试验失败与物料浪费。经济层面，标准化管控优化产品生产与施工流程，降低原料、检测及工程运维成本，实现行业综合成本节约。同时，标准为国内企业提供研发生产导向，推动耐盐、可降解凝胶产品技术迭代与产业化，提升国产材料竞争力，减少国外改良材料依赖，形成“技术规范-产业升级-效益提升”良性循环，技术可行性与经济合理性均经充分论证。</w:t>
      </w:r>
    </w:p>
    <w:p w14:paraId="27AD14A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4. </w:t>
      </w:r>
      <w:r>
        <w:rPr>
          <w:rFonts w:hint="eastAsia" w:ascii="仿宋" w:hAnsi="仿宋" w:eastAsia="仿宋" w:cs="仿宋"/>
          <w:sz w:val="21"/>
          <w:szCs w:val="21"/>
        </w:rPr>
        <w:t>预期的经济效益</w:t>
      </w:r>
    </w:p>
    <w:p w14:paraId="4FE21233">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标准实施将推动高分子功能凝胶在盐碱耕地开发、生态修复项目规模化应用，带动相关产业稳步增长。对工程实施单位而言，可减少材料选型失误与重复治理投入，提升治理效率，降低项目成本。对产业端，明确标准将引导企业优化产品结构，加速国产材料市场推广，提升市场占有率，降低进口材料采购成本。同时，标准化体系将促进上下游产业链协同，催生检测评估、现场技术服务等衍生业态，拓展行业经济发展空间。</w:t>
      </w:r>
    </w:p>
    <w:p w14:paraId="75D9A262">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5.</w:t>
      </w:r>
      <w:r>
        <w:rPr>
          <w:rFonts w:hint="eastAsia" w:ascii="仿宋" w:hAnsi="仿宋" w:eastAsia="仿宋" w:cs="仿宋"/>
          <w:sz w:val="21"/>
          <w:szCs w:val="21"/>
        </w:rPr>
        <w:t xml:space="preserve"> 社会效益和生态效益</w:t>
      </w:r>
    </w:p>
    <w:p w14:paraId="601424B3">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社会效益方面，标准统一产品指标与检测评价方法，实现不同区域工程效果可对比，助力后备耕地资源开发，保障粮食安全。规范材料准入管控，为盐碱地治理项目验收提供依据，同时为行业技术人员培训提供统一指导，推动行业可持续发展。生态效益方面，标准明确材料降解、重金属限值等环保要求，严控凝胶残留风险，避免土壤二次污染；通过高效改良材料提升水土资源利用率，减少大水漫灌，助力区域水土生态良性恢复</w:t>
      </w:r>
      <w:r>
        <w:rPr>
          <w:rFonts w:hint="eastAsia" w:ascii="仿宋" w:hAnsi="仿宋" w:eastAsia="仿宋" w:cs="仿宋"/>
          <w:sz w:val="21"/>
          <w:szCs w:val="21"/>
          <w:lang w:eastAsia="zh-CN"/>
        </w:rPr>
        <w:t>。</w:t>
      </w:r>
    </w:p>
    <w:p w14:paraId="10A20A3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七、与国际、国外同类标准技术内容的对比情况。</w:t>
      </w:r>
    </w:p>
    <w:p w14:paraId="7A4EF88F">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国际上 ISO、ASTM 等组织的土壤改良材料相关标准侧重通用材料性能与生态安全通用原则，对盐碱地专用高分子凝胶的适配性能、应用参数等细节规定较宽泛。本标准在参考其核心质量与生态评价理念基础上，更贴合国内实践：补充国产盐碱改良凝胶产品适配要求，解决进口标准“水土不服”问题；针对国内滨海、内陆等典型盐碱地类型，细化保水降盐、耐盐稳定、土壤适配等关键技术参数；新增盐碱地专用凝胶改良性能评价规范，填补国际标准在盐碱地专项改良材料领域的空白。同时，核心技术指标与ISO、ASTM相关标准保持一致，确保产品应用评价的国际可比性。</w:t>
      </w:r>
    </w:p>
    <w:p w14:paraId="718EB447">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八、以国际标准为基础的起草情况，以及是否合规引用或者采用国际国外标准，并说明未采用国际标准的原因</w:t>
      </w:r>
    </w:p>
    <w:p w14:paraId="2AE6D9E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无。本文件自主制定。</w:t>
      </w:r>
    </w:p>
    <w:p w14:paraId="73EEA8A3">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九、标准主要内容</w:t>
      </w:r>
    </w:p>
    <w:p w14:paraId="5DD2CDA5">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1.范围</w:t>
      </w:r>
    </w:p>
    <w:p w14:paraId="65A4300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bookmarkStart w:id="35" w:name="_Toc17233326"/>
      <w:bookmarkStart w:id="36" w:name="_Toc26648466"/>
      <w:bookmarkStart w:id="37" w:name="_Toc24884212"/>
      <w:bookmarkStart w:id="38" w:name="_Toc24884219"/>
      <w:bookmarkStart w:id="39" w:name="_Toc17233334"/>
      <w:r>
        <w:rPr>
          <w:rFonts w:hint="eastAsia" w:ascii="仿宋" w:hAnsi="仿宋" w:eastAsia="仿宋" w:cs="仿宋"/>
          <w:sz w:val="21"/>
          <w:szCs w:val="21"/>
          <w:lang w:val="en-US" w:eastAsia="zh-CN"/>
        </w:rPr>
        <w:t>本文件规定了盐碱地改良用高分子功能凝胶的产品分类与标记、技术要求、试验方法、检验规则、标志、包装、运输和贮存。</w:t>
      </w:r>
    </w:p>
    <w:p w14:paraId="55B1F24D">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本文件适用于以高分子聚合物（包括合成高分子、天然高分子及复合高分子）为主要原料制备，用于盐碱地改良的功能凝胶。</w:t>
      </w:r>
    </w:p>
    <w:p w14:paraId="6220ABE0">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0" w:name="_Toc97192965"/>
      <w:bookmarkStart w:id="41" w:name="_Toc11915"/>
      <w:bookmarkStart w:id="42" w:name="_Toc26986531"/>
      <w:bookmarkStart w:id="43" w:name="_Toc26986772"/>
      <w:bookmarkStart w:id="44" w:name="_Toc26718931"/>
      <w:bookmarkStart w:id="45" w:name="_Toc113282591"/>
      <w:r>
        <w:rPr>
          <w:rFonts w:hint="eastAsia" w:ascii="仿宋" w:hAnsi="仿宋" w:eastAsia="仿宋" w:cs="仿宋"/>
          <w:b/>
          <w:bCs/>
          <w:sz w:val="21"/>
          <w:szCs w:val="21"/>
          <w:lang w:val="en-US" w:eastAsia="zh-CN"/>
        </w:rPr>
        <w:t>2.规范性引用文件</w:t>
      </w:r>
      <w:bookmarkEnd w:id="35"/>
      <w:bookmarkEnd w:id="36"/>
      <w:bookmarkEnd w:id="37"/>
      <w:bookmarkEnd w:id="38"/>
      <w:bookmarkEnd w:id="39"/>
      <w:bookmarkEnd w:id="40"/>
      <w:bookmarkEnd w:id="41"/>
      <w:bookmarkEnd w:id="42"/>
      <w:bookmarkEnd w:id="43"/>
      <w:bookmarkEnd w:id="44"/>
      <w:bookmarkEnd w:id="45"/>
    </w:p>
    <w:p w14:paraId="2DF2AE04">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191  包装储运图形符号标志</w:t>
      </w:r>
    </w:p>
    <w:p w14:paraId="60317993">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6274  肥料、土壤调理剂和有益物质 术语</w:t>
      </w:r>
    </w:p>
    <w:p w14:paraId="210403C6">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6284  化工产品中水分测定的通用方法 干燥减量法</w:t>
      </w:r>
    </w:p>
    <w:p w14:paraId="0AFEA642">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6679  固体化工产品采样通则</w:t>
      </w:r>
    </w:p>
    <w:p w14:paraId="5A828A6C">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6682  分析实验室用水规格和试验方法</w:t>
      </w:r>
    </w:p>
    <w:p w14:paraId="66FFA2F6">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17514  水处理剂　阴离子和非离子型聚丙烯酰胺</w:t>
      </w:r>
    </w:p>
    <w:p w14:paraId="3F5C08D8">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22047  土壤中塑料材料最终需氧生物分解能力的测定 采用测定密闭呼吸计中需氧量或测定释放的二氧化碳的方法</w:t>
      </w:r>
    </w:p>
    <w:p w14:paraId="3CC1D9B9">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33086  水处理剂　砷和汞含量的测定　原子荧光光谱法</w:t>
      </w:r>
    </w:p>
    <w:p w14:paraId="2CEA28EB">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42817  农产品产地土壤改良剂使用技术规范</w:t>
      </w:r>
    </w:p>
    <w:p w14:paraId="0BE7B3F0">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43098.2  水处理剂分析方法 第2部分：砷、汞、镉、铬、铅、镍、铜含量的测定 电感耦合等离子体质谱法（ICP-MS）</w:t>
      </w:r>
    </w:p>
    <w:p w14:paraId="00C0F696">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NY/T 1121.22  土壤检测 第22部分:土壤田间持水量的测定-环刀法</w:t>
      </w:r>
    </w:p>
    <w:p w14:paraId="1095AFFC">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NY/T 1377  土壤中PH值的测定</w:t>
      </w:r>
    </w:p>
    <w:p w14:paraId="558A4E8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6" w:name="_Toc2484"/>
      <w:bookmarkStart w:id="47" w:name="_Toc113282592"/>
      <w:bookmarkStart w:id="48" w:name="_Toc97192966"/>
      <w:r>
        <w:rPr>
          <w:rFonts w:hint="eastAsia" w:ascii="仿宋" w:hAnsi="仿宋" w:eastAsia="仿宋" w:cs="仿宋"/>
          <w:b/>
          <w:bCs/>
          <w:sz w:val="21"/>
          <w:szCs w:val="21"/>
          <w:lang w:val="en-US" w:eastAsia="zh-CN"/>
        </w:rPr>
        <w:t>3.术语和定义</w:t>
      </w:r>
      <w:bookmarkEnd w:id="46"/>
      <w:bookmarkEnd w:id="47"/>
      <w:bookmarkEnd w:id="48"/>
    </w:p>
    <w:p w14:paraId="24EF2DB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w:t>
      </w:r>
      <w:r>
        <w:rPr>
          <w:rFonts w:hint="eastAsia" w:ascii="仿宋" w:hAnsi="仿宋" w:eastAsia="仿宋" w:cs="仿宋"/>
          <w:sz w:val="21"/>
          <w:szCs w:val="21"/>
          <w:lang w:val="en-US" w:eastAsia="zh-CN"/>
        </w:rPr>
        <w:t>盐碱地改良用高分子功能凝胶</w:t>
      </w:r>
      <w:r>
        <w:rPr>
          <w:rFonts w:hint="eastAsia" w:ascii="仿宋" w:hAnsi="仿宋" w:eastAsia="仿宋" w:cs="仿宋"/>
          <w:sz w:val="21"/>
          <w:szCs w:val="21"/>
          <w:lang w:val="en-US" w:eastAsia="zh-CN" w:bidi="ar-SA"/>
        </w:rPr>
        <w:t>的术语定义。</w:t>
      </w:r>
    </w:p>
    <w:p w14:paraId="0DC87ECC">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9" w:name="_Toc26986532"/>
      <w:bookmarkEnd w:id="49"/>
      <w:bookmarkStart w:id="50" w:name="_Toc7143"/>
      <w:r>
        <w:rPr>
          <w:rFonts w:hint="eastAsia" w:ascii="仿宋" w:hAnsi="仿宋" w:eastAsia="仿宋" w:cs="仿宋"/>
          <w:b/>
          <w:bCs/>
          <w:sz w:val="21"/>
          <w:szCs w:val="21"/>
          <w:lang w:val="en-US" w:eastAsia="zh-CN"/>
        </w:rPr>
        <w:t>4.</w:t>
      </w:r>
      <w:bookmarkEnd w:id="50"/>
      <w:r>
        <w:rPr>
          <w:rFonts w:hint="eastAsia" w:ascii="仿宋" w:hAnsi="仿宋" w:eastAsia="仿宋" w:cs="仿宋"/>
          <w:b/>
          <w:bCs/>
          <w:sz w:val="21"/>
          <w:szCs w:val="21"/>
          <w:lang w:val="en-US" w:eastAsia="zh-CN"/>
        </w:rPr>
        <w:t>产品分类与标记</w:t>
      </w:r>
    </w:p>
    <w:p w14:paraId="26B1A1B2">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包括了盐碱地改良用高分子功能凝胶的产品分类与标记。</w:t>
      </w:r>
    </w:p>
    <w:p w14:paraId="4BA9E994">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51" w:name="_Toc4594"/>
      <w:r>
        <w:rPr>
          <w:rFonts w:hint="eastAsia" w:ascii="仿宋" w:hAnsi="仿宋" w:eastAsia="仿宋" w:cs="仿宋"/>
          <w:b/>
          <w:bCs/>
          <w:sz w:val="21"/>
          <w:szCs w:val="21"/>
          <w:lang w:val="en-US" w:eastAsia="zh-CN"/>
        </w:rPr>
        <w:t>5.技术要求</w:t>
      </w:r>
    </w:p>
    <w:p w14:paraId="59C52733">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包括了盐碱地改良用高分子功能凝胶的技术要求。</w:t>
      </w:r>
    </w:p>
    <w:p w14:paraId="3FC21C0B">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6.试验方法</w:t>
      </w:r>
    </w:p>
    <w:p w14:paraId="7ABFD4F9">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包括了盐碱地改良用高分子功能凝胶的试验方法。</w:t>
      </w:r>
    </w:p>
    <w:p w14:paraId="40C3A111">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7.检验规则</w:t>
      </w:r>
    </w:p>
    <w:p w14:paraId="03839A8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包括了盐碱地改良用高分子功能凝胶的检验规则。</w:t>
      </w:r>
      <w:bookmarkStart w:id="52" w:name="_GoBack"/>
      <w:bookmarkEnd w:id="52"/>
    </w:p>
    <w:p w14:paraId="1E51CB99">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8.标志、包装、运输和贮存</w:t>
      </w:r>
    </w:p>
    <w:p w14:paraId="7F2A6554">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包括了盐碱地改良用高分子功能凝胶的标志、包装、运输和贮存。</w:t>
      </w:r>
    </w:p>
    <w:bookmarkEnd w:id="51"/>
    <w:p w14:paraId="2545AB1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w:t>
      </w:r>
      <w:r>
        <w:rPr>
          <w:rFonts w:hint="eastAsia" w:ascii="仿宋" w:hAnsi="仿宋" w:eastAsia="仿宋" w:cs="仿宋"/>
          <w:b/>
          <w:bCs/>
          <w:color w:val="000000"/>
          <w:sz w:val="21"/>
          <w:szCs w:val="21"/>
        </w:rPr>
        <w:t>、与有关的现行法律、法规和强制性国家标准及相关标准协调配套情况</w:t>
      </w:r>
    </w:p>
    <w:p w14:paraId="3C228C4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本文件的制定过程等符合现行法律、法规和强制性国家标准的规定。</w:t>
      </w:r>
    </w:p>
    <w:p w14:paraId="433D6DCC">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十一</w:t>
      </w:r>
      <w:r>
        <w:rPr>
          <w:rFonts w:hint="eastAsia" w:ascii="仿宋" w:hAnsi="仿宋" w:eastAsia="仿宋" w:cs="仿宋"/>
          <w:b/>
          <w:bCs/>
          <w:color w:val="000000"/>
          <w:sz w:val="21"/>
          <w:szCs w:val="21"/>
        </w:rPr>
        <w:t>、重大分歧意见的处理经过和依据</w:t>
      </w:r>
    </w:p>
    <w:p w14:paraId="106E5E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0912C1A3">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十二</w:t>
      </w:r>
      <w:r>
        <w:rPr>
          <w:rFonts w:hint="eastAsia" w:ascii="仿宋" w:hAnsi="仿宋" w:eastAsia="仿宋" w:cs="仿宋"/>
          <w:b/>
          <w:bCs/>
          <w:color w:val="000000"/>
          <w:sz w:val="21"/>
          <w:szCs w:val="21"/>
        </w:rPr>
        <w:t>、标准作为强制性或推荐性标准的建议</w:t>
      </w:r>
    </w:p>
    <w:p w14:paraId="24C07FB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建议该标准作为推荐性团体标准。</w:t>
      </w:r>
    </w:p>
    <w:p w14:paraId="6F001D2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三</w:t>
      </w:r>
      <w:r>
        <w:rPr>
          <w:rFonts w:hint="eastAsia" w:ascii="仿宋" w:hAnsi="仿宋" w:eastAsia="仿宋" w:cs="仿宋"/>
          <w:b/>
          <w:bCs/>
          <w:color w:val="000000"/>
          <w:sz w:val="21"/>
          <w:szCs w:val="21"/>
        </w:rPr>
        <w:t>、贯彻标准的要求和措施建议，包括（组织措施、技术措施、过渡办法）</w:t>
      </w:r>
    </w:p>
    <w:p w14:paraId="29A3120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由于本文件首次制定，没有特殊要求。</w:t>
      </w:r>
    </w:p>
    <w:p w14:paraId="7C9E39C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、废止现有有关标准的建议</w:t>
      </w:r>
    </w:p>
    <w:p w14:paraId="1C5211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58A3884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p>
    <w:p w14:paraId="180512C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团体标准工作组</w:t>
      </w:r>
    </w:p>
    <w:p w14:paraId="57A2996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2026年8月</w:t>
      </w:r>
    </w:p>
    <w:sectPr>
      <w:footerReference r:id="rId4" w:type="default"/>
      <w:headerReference r:id="rId3" w:type="even"/>
      <w:footerReference r:id="rId5" w:type="even"/>
      <w:pgSz w:w="11906" w:h="16838"/>
      <w:pgMar w:top="850" w:right="1134" w:bottom="850" w:left="1134"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3D482">
    <w:pPr>
      <w:pStyle w:val="24"/>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32914">
    <w:pPr>
      <w:pStyle w:val="24"/>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77314">
    <w:pPr>
      <w:pStyle w:val="9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10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
    <w:nsid w:val="1FC91163"/>
    <w:multiLevelType w:val="multilevel"/>
    <w:tmpl w:val="1FC91163"/>
    <w:lvl w:ilvl="0" w:tentative="0">
      <w:start w:val="1"/>
      <w:numFmt w:val="decimal"/>
      <w:pStyle w:val="14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9"/>
      <w:suff w:val="nothing"/>
      <w:lvlText w:val="%1.%2.%3　"/>
      <w:lvlJc w:val="left"/>
      <w:pPr>
        <w:ind w:left="0" w:firstLine="0"/>
      </w:pPr>
      <w:rPr>
        <w:rFonts w:hint="eastAsia" w:ascii="黑体" w:hAnsi="Times New Roman" w:eastAsia="黑体"/>
        <w:b w:val="0"/>
        <w:i w:val="0"/>
        <w:sz w:val="21"/>
      </w:rPr>
    </w:lvl>
    <w:lvl w:ilvl="3" w:tentative="0">
      <w:start w:val="1"/>
      <w:numFmt w:val="decimal"/>
      <w:pStyle w:val="62"/>
      <w:suff w:val="nothing"/>
      <w:lvlText w:val="%1.%2.%3.%4　"/>
      <w:lvlJc w:val="left"/>
      <w:pPr>
        <w:ind w:left="283" w:firstLine="0"/>
      </w:pPr>
      <w:rPr>
        <w:rFonts w:hint="eastAsia" w:ascii="黑体" w:hAnsi="Times New Roman" w:eastAsia="黑体"/>
        <w:b w:val="0"/>
        <w:i w:val="0"/>
        <w:sz w:val="21"/>
      </w:rPr>
    </w:lvl>
    <w:lvl w:ilvl="4" w:tentative="0">
      <w:start w:val="1"/>
      <w:numFmt w:val="decimal"/>
      <w:pStyle w:val="95"/>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A8F7113"/>
    <w:multiLevelType w:val="multilevel"/>
    <w:tmpl w:val="2A8F7113"/>
    <w:lvl w:ilvl="0" w:tentative="0">
      <w:start w:val="1"/>
      <w:numFmt w:val="upperLetter"/>
      <w:pStyle w:val="100"/>
      <w:suff w:val="space"/>
      <w:lvlText w:val="%1"/>
      <w:lvlJc w:val="left"/>
      <w:pPr>
        <w:ind w:left="623" w:hanging="425"/>
      </w:pPr>
      <w:rPr>
        <w:rFonts w:hint="eastAsia"/>
      </w:rPr>
    </w:lvl>
    <w:lvl w:ilvl="1" w:tentative="0">
      <w:start w:val="1"/>
      <w:numFmt w:val="decimal"/>
      <w:pStyle w:val="145"/>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
    <w:nsid w:val="2C5917C3"/>
    <w:multiLevelType w:val="multilevel"/>
    <w:tmpl w:val="2C5917C3"/>
    <w:lvl w:ilvl="0" w:tentative="0">
      <w:start w:val="1"/>
      <w:numFmt w:val="none"/>
      <w:pStyle w:val="190"/>
      <w:suff w:val="nothing"/>
      <w:lvlText w:val="%1——"/>
      <w:lvlJc w:val="left"/>
      <w:pPr>
        <w:ind w:left="833" w:hanging="408"/>
      </w:pPr>
      <w:rPr>
        <w:rFonts w:hint="eastAsia"/>
      </w:rPr>
    </w:lvl>
    <w:lvl w:ilvl="1" w:tentative="0">
      <w:start w:val="1"/>
      <w:numFmt w:val="bullet"/>
      <w:pStyle w:val="118"/>
      <w:lvlText w:val=""/>
      <w:lvlJc w:val="left"/>
      <w:pPr>
        <w:tabs>
          <w:tab w:val="left" w:pos="760"/>
        </w:tabs>
        <w:ind w:left="1264" w:hanging="413"/>
      </w:pPr>
      <w:rPr>
        <w:rFonts w:hint="default" w:ascii="Symbol" w:hAnsi="Symbol"/>
        <w:color w:val="auto"/>
      </w:rPr>
    </w:lvl>
    <w:lvl w:ilvl="2" w:tentative="0">
      <w:start w:val="1"/>
      <w:numFmt w:val="bullet"/>
      <w:pStyle w:val="10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3D733618"/>
    <w:multiLevelType w:val="multilevel"/>
    <w:tmpl w:val="3D733618"/>
    <w:lvl w:ilvl="0" w:tentative="0">
      <w:start w:val="1"/>
      <w:numFmt w:val="decimal"/>
      <w:pStyle w:val="3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5">
    <w:nsid w:val="44C50F90"/>
    <w:multiLevelType w:val="multilevel"/>
    <w:tmpl w:val="44C50F90"/>
    <w:lvl w:ilvl="0" w:tentative="0">
      <w:start w:val="1"/>
      <w:numFmt w:val="lowerLetter"/>
      <w:pStyle w:val="180"/>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6"/>
      <w:lvlText w:val="%2)"/>
      <w:lvlJc w:val="left"/>
      <w:pPr>
        <w:tabs>
          <w:tab w:val="left" w:pos="1260"/>
        </w:tabs>
        <w:ind w:left="1259" w:hanging="419"/>
      </w:pPr>
      <w:rPr>
        <w:rFonts w:hint="eastAsia"/>
      </w:rPr>
    </w:lvl>
    <w:lvl w:ilvl="2" w:tentative="0">
      <w:start w:val="1"/>
      <w:numFmt w:val="decimal"/>
      <w:pStyle w:val="134"/>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48802D1C"/>
    <w:multiLevelType w:val="multilevel"/>
    <w:tmpl w:val="48802D1C"/>
    <w:lvl w:ilvl="0" w:tentative="0">
      <w:start w:val="1"/>
      <w:numFmt w:val="upperLetter"/>
      <w:pStyle w:val="183"/>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557C2AF5"/>
    <w:multiLevelType w:val="multilevel"/>
    <w:tmpl w:val="557C2AF5"/>
    <w:lvl w:ilvl="0" w:tentative="0">
      <w:start w:val="1"/>
      <w:numFmt w:val="decimal"/>
      <w:pStyle w:val="17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8">
    <w:nsid w:val="5603797C"/>
    <w:multiLevelType w:val="multilevel"/>
    <w:tmpl w:val="5603797C"/>
    <w:lvl w:ilvl="0" w:tentative="0">
      <w:start w:val="1"/>
      <w:numFmt w:val="upperLetter"/>
      <w:pStyle w:val="184"/>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60B55DC2"/>
    <w:multiLevelType w:val="multilevel"/>
    <w:tmpl w:val="60B55DC2"/>
    <w:lvl w:ilvl="0" w:tentative="0">
      <w:start w:val="1"/>
      <w:numFmt w:val="upperLetter"/>
      <w:pStyle w:val="156"/>
      <w:lvlText w:val="%1"/>
      <w:lvlJc w:val="left"/>
      <w:pPr>
        <w:tabs>
          <w:tab w:val="left" w:pos="0"/>
        </w:tabs>
        <w:ind w:left="0" w:hanging="425"/>
      </w:pPr>
      <w:rPr>
        <w:rFonts w:hint="eastAsia"/>
      </w:rPr>
    </w:lvl>
    <w:lvl w:ilvl="1" w:tentative="0">
      <w:start w:val="1"/>
      <w:numFmt w:val="decimal"/>
      <w:pStyle w:val="101"/>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46260FA"/>
    <w:multiLevelType w:val="multilevel"/>
    <w:tmpl w:val="646260FA"/>
    <w:lvl w:ilvl="0" w:tentative="0">
      <w:start w:val="1"/>
      <w:numFmt w:val="decimal"/>
      <w:pStyle w:val="17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657D3FBC"/>
    <w:multiLevelType w:val="multilevel"/>
    <w:tmpl w:val="657D3FBC"/>
    <w:lvl w:ilvl="0" w:tentative="0">
      <w:start w:val="1"/>
      <w:numFmt w:val="upperLetter"/>
      <w:pStyle w:val="18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8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73"/>
      <w:suff w:val="nothing"/>
      <w:lvlText w:val="%1%2　"/>
      <w:lvlJc w:val="left"/>
      <w:pPr>
        <w:ind w:left="0" w:firstLine="0"/>
      </w:pPr>
      <w:rPr>
        <w:rFonts w:hint="eastAsia" w:ascii="黑体" w:eastAsia="黑体"/>
        <w:b w:val="0"/>
        <w:i w:val="0"/>
        <w:sz w:val="21"/>
      </w:rPr>
    </w:lvl>
    <w:lvl w:ilvl="2" w:tentative="0">
      <w:start w:val="1"/>
      <w:numFmt w:val="decimal"/>
      <w:pStyle w:val="17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75"/>
      <w:suff w:val="nothing"/>
      <w:lvlText w:val="%1%2.%3.%4　"/>
      <w:lvlJc w:val="left"/>
      <w:pPr>
        <w:ind w:left="0" w:firstLine="0"/>
      </w:pPr>
      <w:rPr>
        <w:rFonts w:hint="eastAsia" w:ascii="黑体" w:eastAsia="黑体"/>
        <w:b w:val="0"/>
        <w:i w:val="0"/>
        <w:sz w:val="21"/>
      </w:rPr>
    </w:lvl>
    <w:lvl w:ilvl="4" w:tentative="0">
      <w:start w:val="1"/>
      <w:numFmt w:val="decimal"/>
      <w:pStyle w:val="178"/>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6D6C07CD"/>
    <w:multiLevelType w:val="multilevel"/>
    <w:tmpl w:val="6D6C07CD"/>
    <w:lvl w:ilvl="0" w:tentative="0">
      <w:start w:val="1"/>
      <w:numFmt w:val="lowerLetter"/>
      <w:pStyle w:val="133"/>
      <w:lvlText w:val="%1)"/>
      <w:lvlJc w:val="left"/>
      <w:pPr>
        <w:tabs>
          <w:tab w:val="left" w:pos="839"/>
        </w:tabs>
        <w:ind w:left="839" w:hanging="419"/>
      </w:pPr>
      <w:rPr>
        <w:rFonts w:hint="eastAsia" w:ascii="宋体" w:eastAsia="宋体"/>
        <w:b w:val="0"/>
        <w:i w:val="0"/>
        <w:sz w:val="21"/>
      </w:rPr>
    </w:lvl>
    <w:lvl w:ilvl="1" w:tentative="0">
      <w:start w:val="1"/>
      <w:numFmt w:val="decimal"/>
      <w:pStyle w:val="8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4"/>
  </w:num>
  <w:num w:numId="2">
    <w:abstractNumId w:val="1"/>
  </w:num>
  <w:num w:numId="3">
    <w:abstractNumId w:val="11"/>
  </w:num>
  <w:num w:numId="4">
    <w:abstractNumId w:val="13"/>
  </w:num>
  <w:num w:numId="5">
    <w:abstractNumId w:val="2"/>
  </w:num>
  <w:num w:numId="6">
    <w:abstractNumId w:val="9"/>
  </w:num>
  <w:num w:numId="7">
    <w:abstractNumId w:val="0"/>
  </w:num>
  <w:num w:numId="8">
    <w:abstractNumId w:val="3"/>
  </w:num>
  <w:num w:numId="9">
    <w:abstractNumId w:val="5"/>
  </w:num>
  <w:num w:numId="10">
    <w:abstractNumId w:val="12"/>
  </w:num>
  <w:num w:numId="11">
    <w:abstractNumId w:val="7"/>
  </w:num>
  <w:num w:numId="12">
    <w:abstractNumId w:val="10"/>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movePersonalInformation/>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xMjU0YWRiNjhmNzkyNDkwNmUzZWY0ZjhkYmVlMzgifQ=="/>
  </w:docVars>
  <w:rsids>
    <w:rsidRoot w:val="00650531"/>
    <w:rsid w:val="00000244"/>
    <w:rsid w:val="0000025A"/>
    <w:rsid w:val="0000185F"/>
    <w:rsid w:val="00002107"/>
    <w:rsid w:val="00002850"/>
    <w:rsid w:val="00002B97"/>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10CC"/>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1D6A"/>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4FA6"/>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2C87"/>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1DC"/>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975B7"/>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08EB"/>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2316"/>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40A"/>
    <w:rsid w:val="00F06BCF"/>
    <w:rsid w:val="00F075D1"/>
    <w:rsid w:val="00F11139"/>
    <w:rsid w:val="00F11296"/>
    <w:rsid w:val="00F11BB5"/>
    <w:rsid w:val="00F122E2"/>
    <w:rsid w:val="00F12353"/>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927D66"/>
    <w:rsid w:val="01AC3A93"/>
    <w:rsid w:val="02057360"/>
    <w:rsid w:val="02626557"/>
    <w:rsid w:val="026E651E"/>
    <w:rsid w:val="02DA1673"/>
    <w:rsid w:val="03EB77C0"/>
    <w:rsid w:val="03F9277D"/>
    <w:rsid w:val="042E630D"/>
    <w:rsid w:val="047459CF"/>
    <w:rsid w:val="0537491E"/>
    <w:rsid w:val="057B5C57"/>
    <w:rsid w:val="060774EA"/>
    <w:rsid w:val="066162C0"/>
    <w:rsid w:val="06EB3D51"/>
    <w:rsid w:val="07634114"/>
    <w:rsid w:val="07D4164E"/>
    <w:rsid w:val="083D0E5B"/>
    <w:rsid w:val="08966B4A"/>
    <w:rsid w:val="08F63AE4"/>
    <w:rsid w:val="094B2BCC"/>
    <w:rsid w:val="095E6352"/>
    <w:rsid w:val="09D01CF6"/>
    <w:rsid w:val="0AA14B1F"/>
    <w:rsid w:val="0AE4604C"/>
    <w:rsid w:val="0B026DDC"/>
    <w:rsid w:val="0C122745"/>
    <w:rsid w:val="0C8D427D"/>
    <w:rsid w:val="0CC7751C"/>
    <w:rsid w:val="0CD342B6"/>
    <w:rsid w:val="0D6A7E17"/>
    <w:rsid w:val="0DA9093F"/>
    <w:rsid w:val="0E290DBD"/>
    <w:rsid w:val="0E4D4CDF"/>
    <w:rsid w:val="0E9B6AB7"/>
    <w:rsid w:val="0EB75EDE"/>
    <w:rsid w:val="0FB926D7"/>
    <w:rsid w:val="100E1475"/>
    <w:rsid w:val="10F07A96"/>
    <w:rsid w:val="1132553A"/>
    <w:rsid w:val="119500A0"/>
    <w:rsid w:val="11E37C04"/>
    <w:rsid w:val="11EF2883"/>
    <w:rsid w:val="12512550"/>
    <w:rsid w:val="125A6BF4"/>
    <w:rsid w:val="12C86253"/>
    <w:rsid w:val="12CF6372"/>
    <w:rsid w:val="13042DDB"/>
    <w:rsid w:val="139B5716"/>
    <w:rsid w:val="1436325E"/>
    <w:rsid w:val="148D41AD"/>
    <w:rsid w:val="14CF174C"/>
    <w:rsid w:val="153C0D7C"/>
    <w:rsid w:val="15483208"/>
    <w:rsid w:val="15505DDD"/>
    <w:rsid w:val="158D7AE3"/>
    <w:rsid w:val="159B1B8F"/>
    <w:rsid w:val="16F84A8E"/>
    <w:rsid w:val="173B6C95"/>
    <w:rsid w:val="178D48F7"/>
    <w:rsid w:val="196E7664"/>
    <w:rsid w:val="19D4303C"/>
    <w:rsid w:val="1A6A4539"/>
    <w:rsid w:val="1B063DBD"/>
    <w:rsid w:val="1B740D26"/>
    <w:rsid w:val="1C8A13E1"/>
    <w:rsid w:val="1C994529"/>
    <w:rsid w:val="1D297145"/>
    <w:rsid w:val="1E3C2C0B"/>
    <w:rsid w:val="1E3F091B"/>
    <w:rsid w:val="1E434ACA"/>
    <w:rsid w:val="1EB81FDE"/>
    <w:rsid w:val="1EF32FF2"/>
    <w:rsid w:val="1F3A7C37"/>
    <w:rsid w:val="20022AF0"/>
    <w:rsid w:val="202A7BF8"/>
    <w:rsid w:val="20C242E2"/>
    <w:rsid w:val="20DF41FE"/>
    <w:rsid w:val="212E7BC9"/>
    <w:rsid w:val="2144119B"/>
    <w:rsid w:val="217D7697"/>
    <w:rsid w:val="22061A13"/>
    <w:rsid w:val="222800C3"/>
    <w:rsid w:val="228026A7"/>
    <w:rsid w:val="237D604C"/>
    <w:rsid w:val="23FE39BD"/>
    <w:rsid w:val="245F4818"/>
    <w:rsid w:val="24786C81"/>
    <w:rsid w:val="255D282B"/>
    <w:rsid w:val="256A59C8"/>
    <w:rsid w:val="267E4497"/>
    <w:rsid w:val="268E3C87"/>
    <w:rsid w:val="27AD772F"/>
    <w:rsid w:val="27B564C5"/>
    <w:rsid w:val="27D551EF"/>
    <w:rsid w:val="2802590C"/>
    <w:rsid w:val="28A16ED3"/>
    <w:rsid w:val="29236BB2"/>
    <w:rsid w:val="29287901"/>
    <w:rsid w:val="2935321D"/>
    <w:rsid w:val="2A677F6B"/>
    <w:rsid w:val="2BBA5A9A"/>
    <w:rsid w:val="2C386CC9"/>
    <w:rsid w:val="2CE00993"/>
    <w:rsid w:val="2D830B39"/>
    <w:rsid w:val="2E257B1B"/>
    <w:rsid w:val="2E677AE4"/>
    <w:rsid w:val="2F4635EA"/>
    <w:rsid w:val="2FD87AD3"/>
    <w:rsid w:val="30CA5BDB"/>
    <w:rsid w:val="30E86825"/>
    <w:rsid w:val="311961A0"/>
    <w:rsid w:val="3135465C"/>
    <w:rsid w:val="326655EE"/>
    <w:rsid w:val="327B69E7"/>
    <w:rsid w:val="33C34EFC"/>
    <w:rsid w:val="34366F6E"/>
    <w:rsid w:val="344F3C87"/>
    <w:rsid w:val="35AB7232"/>
    <w:rsid w:val="35D61655"/>
    <w:rsid w:val="361A2073"/>
    <w:rsid w:val="362A1092"/>
    <w:rsid w:val="36461B5D"/>
    <w:rsid w:val="3690287C"/>
    <w:rsid w:val="36AD56C5"/>
    <w:rsid w:val="36DC5408"/>
    <w:rsid w:val="37905325"/>
    <w:rsid w:val="37BA0B09"/>
    <w:rsid w:val="386364AA"/>
    <w:rsid w:val="38822CFA"/>
    <w:rsid w:val="388554EB"/>
    <w:rsid w:val="38C83DE7"/>
    <w:rsid w:val="3923202B"/>
    <w:rsid w:val="393B7239"/>
    <w:rsid w:val="39A246ED"/>
    <w:rsid w:val="39DA644F"/>
    <w:rsid w:val="3A744447"/>
    <w:rsid w:val="3AAF1923"/>
    <w:rsid w:val="3AC950C9"/>
    <w:rsid w:val="3B0C28D2"/>
    <w:rsid w:val="3B3011F7"/>
    <w:rsid w:val="3B963D3A"/>
    <w:rsid w:val="3D8739B6"/>
    <w:rsid w:val="3F0E0FB1"/>
    <w:rsid w:val="3F575F4A"/>
    <w:rsid w:val="40624A0E"/>
    <w:rsid w:val="40657ACF"/>
    <w:rsid w:val="41BF5866"/>
    <w:rsid w:val="41D4737F"/>
    <w:rsid w:val="41EE70DB"/>
    <w:rsid w:val="41F16D17"/>
    <w:rsid w:val="42397461"/>
    <w:rsid w:val="42943327"/>
    <w:rsid w:val="431F3CCE"/>
    <w:rsid w:val="4476626D"/>
    <w:rsid w:val="44A361F7"/>
    <w:rsid w:val="45126EB0"/>
    <w:rsid w:val="4539127E"/>
    <w:rsid w:val="4571647E"/>
    <w:rsid w:val="465D414E"/>
    <w:rsid w:val="46641814"/>
    <w:rsid w:val="47303087"/>
    <w:rsid w:val="4770243A"/>
    <w:rsid w:val="47A27D2C"/>
    <w:rsid w:val="48120A86"/>
    <w:rsid w:val="48895562"/>
    <w:rsid w:val="48A028AB"/>
    <w:rsid w:val="49187E48"/>
    <w:rsid w:val="49D514FA"/>
    <w:rsid w:val="49F66C27"/>
    <w:rsid w:val="4A742353"/>
    <w:rsid w:val="4A9F67FA"/>
    <w:rsid w:val="4AB8769B"/>
    <w:rsid w:val="4ADD58CC"/>
    <w:rsid w:val="4AFA44F5"/>
    <w:rsid w:val="4BDA60D4"/>
    <w:rsid w:val="4BE6053A"/>
    <w:rsid w:val="4C362B3D"/>
    <w:rsid w:val="4CA47D11"/>
    <w:rsid w:val="4CE600FB"/>
    <w:rsid w:val="4CED47CD"/>
    <w:rsid w:val="4CF219AF"/>
    <w:rsid w:val="4D065771"/>
    <w:rsid w:val="4D190D53"/>
    <w:rsid w:val="4D4C78BC"/>
    <w:rsid w:val="4DD3727F"/>
    <w:rsid w:val="4DE052E3"/>
    <w:rsid w:val="4DE337D5"/>
    <w:rsid w:val="4E700F79"/>
    <w:rsid w:val="4EE07EA5"/>
    <w:rsid w:val="4F1D47D7"/>
    <w:rsid w:val="4F2F0767"/>
    <w:rsid w:val="4F6221DE"/>
    <w:rsid w:val="4F93291E"/>
    <w:rsid w:val="4FAE1D52"/>
    <w:rsid w:val="4FC0715B"/>
    <w:rsid w:val="50DD469C"/>
    <w:rsid w:val="51A67184"/>
    <w:rsid w:val="527C727C"/>
    <w:rsid w:val="52C17D91"/>
    <w:rsid w:val="53B37335"/>
    <w:rsid w:val="53EC3BAC"/>
    <w:rsid w:val="549A6186"/>
    <w:rsid w:val="55281DAF"/>
    <w:rsid w:val="55FD7055"/>
    <w:rsid w:val="56014794"/>
    <w:rsid w:val="568B0C91"/>
    <w:rsid w:val="56C500AD"/>
    <w:rsid w:val="56DC7EC7"/>
    <w:rsid w:val="570975B4"/>
    <w:rsid w:val="576222A2"/>
    <w:rsid w:val="578F7888"/>
    <w:rsid w:val="57EE097D"/>
    <w:rsid w:val="583166A5"/>
    <w:rsid w:val="58B60ACC"/>
    <w:rsid w:val="58D05DE7"/>
    <w:rsid w:val="592316E9"/>
    <w:rsid w:val="59E0617E"/>
    <w:rsid w:val="59FE7432"/>
    <w:rsid w:val="5A790E13"/>
    <w:rsid w:val="5A9329EF"/>
    <w:rsid w:val="5B076365"/>
    <w:rsid w:val="5BD72D72"/>
    <w:rsid w:val="5C10118B"/>
    <w:rsid w:val="5C2A169D"/>
    <w:rsid w:val="5CA05EB7"/>
    <w:rsid w:val="5E381B59"/>
    <w:rsid w:val="5E6C7D00"/>
    <w:rsid w:val="5EBE1A6C"/>
    <w:rsid w:val="5F8D65FE"/>
    <w:rsid w:val="5FC36A67"/>
    <w:rsid w:val="5FF64B64"/>
    <w:rsid w:val="615A7643"/>
    <w:rsid w:val="61846885"/>
    <w:rsid w:val="61F4714D"/>
    <w:rsid w:val="6298186E"/>
    <w:rsid w:val="62D559AF"/>
    <w:rsid w:val="63136946"/>
    <w:rsid w:val="634E0BFD"/>
    <w:rsid w:val="639C78BD"/>
    <w:rsid w:val="645D37AF"/>
    <w:rsid w:val="64BE00A4"/>
    <w:rsid w:val="64CE3BD1"/>
    <w:rsid w:val="65144950"/>
    <w:rsid w:val="65422D4F"/>
    <w:rsid w:val="656C6332"/>
    <w:rsid w:val="65B86EE6"/>
    <w:rsid w:val="66C85109"/>
    <w:rsid w:val="66E11A66"/>
    <w:rsid w:val="67AE2497"/>
    <w:rsid w:val="67C41CBB"/>
    <w:rsid w:val="681A56C2"/>
    <w:rsid w:val="684318AA"/>
    <w:rsid w:val="6A516F28"/>
    <w:rsid w:val="6A802926"/>
    <w:rsid w:val="6A88563D"/>
    <w:rsid w:val="6AB9187F"/>
    <w:rsid w:val="6AF13796"/>
    <w:rsid w:val="6B965E5B"/>
    <w:rsid w:val="6C33740F"/>
    <w:rsid w:val="6C9A5295"/>
    <w:rsid w:val="6CDE34BF"/>
    <w:rsid w:val="6D572222"/>
    <w:rsid w:val="6D6A6E60"/>
    <w:rsid w:val="6D8A711B"/>
    <w:rsid w:val="6EB54BA2"/>
    <w:rsid w:val="6EBB4295"/>
    <w:rsid w:val="6F7915DC"/>
    <w:rsid w:val="6FBE05E9"/>
    <w:rsid w:val="70112588"/>
    <w:rsid w:val="7045716D"/>
    <w:rsid w:val="704B617C"/>
    <w:rsid w:val="704C5591"/>
    <w:rsid w:val="705966B7"/>
    <w:rsid w:val="706E1D17"/>
    <w:rsid w:val="70702484"/>
    <w:rsid w:val="70B10931"/>
    <w:rsid w:val="718E48CE"/>
    <w:rsid w:val="72576487"/>
    <w:rsid w:val="72F17C4C"/>
    <w:rsid w:val="73272C99"/>
    <w:rsid w:val="732857F3"/>
    <w:rsid w:val="73547F49"/>
    <w:rsid w:val="73D47B1B"/>
    <w:rsid w:val="743D4B16"/>
    <w:rsid w:val="7524023C"/>
    <w:rsid w:val="75605DEF"/>
    <w:rsid w:val="75F705EE"/>
    <w:rsid w:val="7610099A"/>
    <w:rsid w:val="76276979"/>
    <w:rsid w:val="767173B7"/>
    <w:rsid w:val="76A74C81"/>
    <w:rsid w:val="76AC5DF9"/>
    <w:rsid w:val="77F17B85"/>
    <w:rsid w:val="78202F3D"/>
    <w:rsid w:val="784813C5"/>
    <w:rsid w:val="786C45B6"/>
    <w:rsid w:val="78A07E1A"/>
    <w:rsid w:val="78AB3FAF"/>
    <w:rsid w:val="790F4618"/>
    <w:rsid w:val="795456E5"/>
    <w:rsid w:val="79C25BC5"/>
    <w:rsid w:val="79DF5F38"/>
    <w:rsid w:val="7A86111E"/>
    <w:rsid w:val="7B223D6B"/>
    <w:rsid w:val="7C260CFC"/>
    <w:rsid w:val="7C413482"/>
    <w:rsid w:val="7C6605B8"/>
    <w:rsid w:val="7CD90CCA"/>
    <w:rsid w:val="7D453845"/>
    <w:rsid w:val="7D754A9C"/>
    <w:rsid w:val="7DE44C08"/>
    <w:rsid w:val="7E082795"/>
    <w:rsid w:val="7F413E4E"/>
    <w:rsid w:val="7F637BB3"/>
    <w:rsid w:val="7F8A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link w:val="165"/>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8">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9">
    <w:name w:val="index 8"/>
    <w:basedOn w:val="1"/>
    <w:next w:val="1"/>
    <w:autoRedefine/>
    <w:qFormat/>
    <w:uiPriority w:val="0"/>
    <w:pPr>
      <w:ind w:left="1680" w:hanging="210"/>
      <w:jc w:val="left"/>
    </w:pPr>
    <w:rPr>
      <w:rFonts w:ascii="Calibri" w:hAnsi="Calibri"/>
      <w:sz w:val="20"/>
      <w:szCs w:val="20"/>
    </w:rPr>
  </w:style>
  <w:style w:type="paragraph" w:styleId="10">
    <w:name w:val="caption"/>
    <w:basedOn w:val="1"/>
    <w:next w:val="1"/>
    <w:autoRedefine/>
    <w:qFormat/>
    <w:uiPriority w:val="0"/>
    <w:pPr>
      <w:spacing w:before="152" w:after="160"/>
    </w:pPr>
    <w:rPr>
      <w:rFonts w:ascii="Arial" w:hAnsi="Arial" w:eastAsia="黑体" w:cs="Arial"/>
      <w:sz w:val="20"/>
      <w:szCs w:val="20"/>
    </w:rPr>
  </w:style>
  <w:style w:type="paragraph" w:styleId="11">
    <w:name w:val="index 5"/>
    <w:basedOn w:val="1"/>
    <w:next w:val="1"/>
    <w:autoRedefine/>
    <w:qFormat/>
    <w:uiPriority w:val="0"/>
    <w:pPr>
      <w:ind w:left="1050" w:hanging="210"/>
      <w:jc w:val="left"/>
    </w:pPr>
    <w:rPr>
      <w:rFonts w:ascii="Calibri" w:hAnsi="Calibri"/>
      <w:sz w:val="20"/>
      <w:szCs w:val="20"/>
    </w:rPr>
  </w:style>
  <w:style w:type="paragraph" w:styleId="12">
    <w:name w:val="Document Map"/>
    <w:basedOn w:val="1"/>
    <w:autoRedefine/>
    <w:semiHidden/>
    <w:qFormat/>
    <w:uiPriority w:val="0"/>
    <w:pPr>
      <w:shd w:val="clear" w:color="auto" w:fill="000080"/>
    </w:pPr>
  </w:style>
  <w:style w:type="paragraph" w:styleId="13">
    <w:name w:val="annotation text"/>
    <w:basedOn w:val="1"/>
    <w:autoRedefine/>
    <w:qFormat/>
    <w:uiPriority w:val="0"/>
    <w:pPr>
      <w:jc w:val="left"/>
    </w:pPr>
  </w:style>
  <w:style w:type="paragraph" w:styleId="14">
    <w:name w:val="index 6"/>
    <w:basedOn w:val="1"/>
    <w:next w:val="1"/>
    <w:autoRedefine/>
    <w:qFormat/>
    <w:uiPriority w:val="0"/>
    <w:pPr>
      <w:ind w:left="1260" w:hanging="210"/>
      <w:jc w:val="left"/>
    </w:pPr>
    <w:rPr>
      <w:rFonts w:ascii="Calibri" w:hAnsi="Calibri"/>
      <w:sz w:val="20"/>
      <w:szCs w:val="20"/>
    </w:rPr>
  </w:style>
  <w:style w:type="paragraph" w:styleId="15">
    <w:name w:val="Body Text"/>
    <w:basedOn w:val="1"/>
    <w:autoRedefine/>
    <w:semiHidden/>
    <w:unhideWhenUsed/>
    <w:qFormat/>
    <w:uiPriority w:val="99"/>
    <w:pPr>
      <w:spacing w:after="120"/>
    </w:pPr>
  </w:style>
  <w:style w:type="paragraph" w:styleId="16">
    <w:name w:val="index 4"/>
    <w:basedOn w:val="1"/>
    <w:next w:val="1"/>
    <w:autoRedefine/>
    <w:qFormat/>
    <w:uiPriority w:val="0"/>
    <w:pPr>
      <w:ind w:left="840" w:hanging="210"/>
      <w:jc w:val="left"/>
    </w:pPr>
    <w:rPr>
      <w:rFonts w:ascii="Calibri" w:hAnsi="Calibri"/>
      <w:sz w:val="20"/>
      <w:szCs w:val="20"/>
    </w:rPr>
  </w:style>
  <w:style w:type="paragraph" w:styleId="17">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8">
    <w:name w:val="toc 3"/>
    <w:basedOn w:val="1"/>
    <w:next w:val="1"/>
    <w:autoRedefine/>
    <w:qFormat/>
    <w:uiPriority w:val="39"/>
    <w:pPr>
      <w:tabs>
        <w:tab w:val="right" w:leader="dot" w:pos="9242"/>
      </w:tabs>
      <w:ind w:firstLine="1252" w:firstLineChars="100"/>
      <w:jc w:val="left"/>
    </w:pPr>
    <w:rPr>
      <w:rFonts w:ascii="宋体"/>
      <w:szCs w:val="21"/>
    </w:rPr>
  </w:style>
  <w:style w:type="paragraph" w:styleId="19">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20">
    <w:name w:val="index 3"/>
    <w:basedOn w:val="1"/>
    <w:next w:val="1"/>
    <w:autoRedefine/>
    <w:qFormat/>
    <w:uiPriority w:val="0"/>
    <w:pPr>
      <w:ind w:left="630" w:hanging="210"/>
      <w:jc w:val="left"/>
    </w:pPr>
    <w:rPr>
      <w:rFonts w:ascii="Calibri" w:hAnsi="Calibri"/>
      <w:sz w:val="20"/>
      <w:szCs w:val="20"/>
    </w:rPr>
  </w:style>
  <w:style w:type="paragraph" w:styleId="21">
    <w:name w:val="Body Text Indent 2"/>
    <w:basedOn w:val="1"/>
    <w:link w:val="168"/>
    <w:autoRedefine/>
    <w:unhideWhenUsed/>
    <w:qFormat/>
    <w:uiPriority w:val="99"/>
    <w:pPr>
      <w:spacing w:after="120" w:line="480" w:lineRule="auto"/>
      <w:ind w:left="420" w:leftChars="200"/>
      <w:jc w:val="left"/>
    </w:pPr>
    <w:rPr>
      <w:rFonts w:eastAsia="PMingLiU"/>
      <w:sz w:val="24"/>
      <w:lang w:eastAsia="zh-TW"/>
    </w:rPr>
  </w:style>
  <w:style w:type="paragraph" w:styleId="22">
    <w:name w:val="endnote text"/>
    <w:basedOn w:val="1"/>
    <w:autoRedefine/>
    <w:semiHidden/>
    <w:qFormat/>
    <w:uiPriority w:val="0"/>
    <w:pPr>
      <w:snapToGrid w:val="0"/>
      <w:jc w:val="left"/>
    </w:pPr>
  </w:style>
  <w:style w:type="paragraph" w:styleId="23">
    <w:name w:val="Balloon Text"/>
    <w:basedOn w:val="1"/>
    <w:autoRedefine/>
    <w:semiHidden/>
    <w:qFormat/>
    <w:uiPriority w:val="0"/>
    <w:rPr>
      <w:sz w:val="18"/>
      <w:szCs w:val="18"/>
    </w:rPr>
  </w:style>
  <w:style w:type="paragraph" w:styleId="24">
    <w:name w:val="footer"/>
    <w:basedOn w:val="1"/>
    <w:link w:val="166"/>
    <w:autoRedefine/>
    <w:qFormat/>
    <w:uiPriority w:val="99"/>
    <w:pPr>
      <w:snapToGrid w:val="0"/>
      <w:ind w:right="210" w:rightChars="100"/>
      <w:jc w:val="right"/>
    </w:pPr>
    <w:rPr>
      <w:sz w:val="18"/>
      <w:szCs w:val="18"/>
    </w:rPr>
  </w:style>
  <w:style w:type="paragraph" w:styleId="25">
    <w:name w:val="header"/>
    <w:basedOn w:val="1"/>
    <w:link w:val="63"/>
    <w:autoRedefine/>
    <w:qFormat/>
    <w:uiPriority w:val="99"/>
    <w:pPr>
      <w:snapToGrid w:val="0"/>
      <w:jc w:val="left"/>
    </w:pPr>
    <w:rPr>
      <w:sz w:val="18"/>
      <w:szCs w:val="18"/>
    </w:rPr>
  </w:style>
  <w:style w:type="paragraph" w:styleId="26">
    <w:name w:val="toc 1"/>
    <w:basedOn w:val="1"/>
    <w:next w:val="1"/>
    <w:autoRedefine/>
    <w:qFormat/>
    <w:uiPriority w:val="39"/>
    <w:pPr>
      <w:tabs>
        <w:tab w:val="right" w:leader="dot" w:pos="9242"/>
      </w:tabs>
      <w:spacing w:beforeLines="25" w:afterLines="25"/>
      <w:jc w:val="left"/>
    </w:pPr>
    <w:rPr>
      <w:rFonts w:ascii="宋体"/>
      <w:szCs w:val="21"/>
    </w:rPr>
  </w:style>
  <w:style w:type="paragraph" w:styleId="27">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8">
    <w:name w:val="index heading"/>
    <w:basedOn w:val="1"/>
    <w:next w:val="29"/>
    <w:autoRedefine/>
    <w:qFormat/>
    <w:uiPriority w:val="0"/>
    <w:pPr>
      <w:spacing w:before="120" w:after="120"/>
      <w:jc w:val="center"/>
    </w:pPr>
    <w:rPr>
      <w:rFonts w:ascii="Calibri" w:hAnsi="Calibri"/>
      <w:b/>
      <w:bCs/>
      <w:iCs/>
      <w:szCs w:val="20"/>
    </w:rPr>
  </w:style>
  <w:style w:type="paragraph" w:styleId="29">
    <w:name w:val="index 1"/>
    <w:basedOn w:val="1"/>
    <w:next w:val="30"/>
    <w:autoRedefine/>
    <w:qFormat/>
    <w:uiPriority w:val="0"/>
    <w:pPr>
      <w:tabs>
        <w:tab w:val="right" w:leader="dot" w:pos="9299"/>
      </w:tabs>
      <w:jc w:val="left"/>
    </w:pPr>
    <w:rPr>
      <w:rFonts w:ascii="宋体"/>
      <w:szCs w:val="21"/>
    </w:rPr>
  </w:style>
  <w:style w:type="paragraph" w:customStyle="1" w:styleId="30">
    <w:name w:val="段"/>
    <w:link w:val="6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1">
    <w:name w:val="footnote text"/>
    <w:basedOn w:val="1"/>
    <w:autoRedefine/>
    <w:qFormat/>
    <w:uiPriority w:val="0"/>
    <w:pPr>
      <w:numPr>
        <w:ilvl w:val="0"/>
        <w:numId w:val="1"/>
      </w:numPr>
      <w:snapToGrid w:val="0"/>
      <w:jc w:val="left"/>
    </w:pPr>
    <w:rPr>
      <w:rFonts w:ascii="宋体"/>
      <w:sz w:val="18"/>
      <w:szCs w:val="18"/>
    </w:rPr>
  </w:style>
  <w:style w:type="paragraph" w:styleId="32">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33">
    <w:name w:val="index 7"/>
    <w:basedOn w:val="1"/>
    <w:next w:val="1"/>
    <w:autoRedefine/>
    <w:qFormat/>
    <w:uiPriority w:val="0"/>
    <w:pPr>
      <w:ind w:left="1470" w:hanging="210"/>
      <w:jc w:val="left"/>
    </w:pPr>
    <w:rPr>
      <w:rFonts w:ascii="Calibri" w:hAnsi="Calibri"/>
      <w:sz w:val="20"/>
      <w:szCs w:val="20"/>
    </w:rPr>
  </w:style>
  <w:style w:type="paragraph" w:styleId="34">
    <w:name w:val="index 9"/>
    <w:basedOn w:val="1"/>
    <w:next w:val="1"/>
    <w:autoRedefine/>
    <w:qFormat/>
    <w:uiPriority w:val="0"/>
    <w:pPr>
      <w:ind w:left="1890" w:hanging="210"/>
      <w:jc w:val="left"/>
    </w:pPr>
    <w:rPr>
      <w:rFonts w:ascii="Calibri" w:hAnsi="Calibri"/>
      <w:sz w:val="20"/>
      <w:szCs w:val="20"/>
    </w:rPr>
  </w:style>
  <w:style w:type="paragraph" w:styleId="35">
    <w:name w:val="toc 2"/>
    <w:basedOn w:val="1"/>
    <w:next w:val="1"/>
    <w:autoRedefine/>
    <w:qFormat/>
    <w:uiPriority w:val="39"/>
    <w:pPr>
      <w:tabs>
        <w:tab w:val="right" w:leader="dot" w:pos="9242"/>
      </w:tabs>
    </w:pPr>
    <w:rPr>
      <w:rFonts w:ascii="宋体"/>
      <w:szCs w:val="21"/>
    </w:rPr>
  </w:style>
  <w:style w:type="paragraph" w:styleId="36">
    <w:name w:val="toc 9"/>
    <w:basedOn w:val="1"/>
    <w:next w:val="1"/>
    <w:autoRedefine/>
    <w:semiHidden/>
    <w:qFormat/>
    <w:uiPriority w:val="0"/>
    <w:pPr>
      <w:ind w:left="1470"/>
      <w:jc w:val="left"/>
    </w:pPr>
    <w:rPr>
      <w:sz w:val="20"/>
      <w:szCs w:val="20"/>
    </w:rPr>
  </w:style>
  <w:style w:type="paragraph" w:styleId="37">
    <w:name w:val="Normal (Web)"/>
    <w:basedOn w:val="1"/>
    <w:autoRedefine/>
    <w:qFormat/>
    <w:uiPriority w:val="0"/>
    <w:pPr>
      <w:spacing w:beforeAutospacing="1" w:afterAutospacing="1"/>
      <w:jc w:val="left"/>
    </w:pPr>
    <w:rPr>
      <w:kern w:val="0"/>
      <w:sz w:val="24"/>
    </w:rPr>
  </w:style>
  <w:style w:type="paragraph" w:styleId="38">
    <w:name w:val="index 2"/>
    <w:basedOn w:val="1"/>
    <w:next w:val="1"/>
    <w:autoRedefine/>
    <w:qFormat/>
    <w:uiPriority w:val="0"/>
    <w:pPr>
      <w:ind w:left="420" w:hanging="210"/>
      <w:jc w:val="left"/>
    </w:pPr>
    <w:rPr>
      <w:rFonts w:ascii="Calibri" w:hAnsi="Calibri"/>
      <w:sz w:val="20"/>
      <w:szCs w:val="20"/>
    </w:rPr>
  </w:style>
  <w:style w:type="paragraph" w:styleId="39">
    <w:name w:val="annotation subject"/>
    <w:basedOn w:val="13"/>
    <w:next w:val="13"/>
    <w:autoRedefine/>
    <w:semiHidden/>
    <w:qFormat/>
    <w:uiPriority w:val="0"/>
    <w:rPr>
      <w:b/>
      <w:bCs/>
    </w:rPr>
  </w:style>
  <w:style w:type="paragraph" w:styleId="40">
    <w:name w:val="Body Text First Indent"/>
    <w:basedOn w:val="15"/>
    <w:autoRedefine/>
    <w:qFormat/>
    <w:uiPriority w:val="0"/>
    <w:pPr>
      <w:ind w:firstLine="420" w:firstLineChars="100"/>
    </w:pPr>
  </w:style>
  <w:style w:type="table" w:styleId="42">
    <w:name w:val="Table Grid"/>
    <w:basedOn w:val="41"/>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basedOn w:val="43"/>
    <w:autoRedefine/>
    <w:qFormat/>
    <w:uiPriority w:val="0"/>
    <w:rPr>
      <w:b/>
    </w:rPr>
  </w:style>
  <w:style w:type="character" w:styleId="45">
    <w:name w:val="endnote reference"/>
    <w:autoRedefine/>
    <w:semiHidden/>
    <w:qFormat/>
    <w:uiPriority w:val="0"/>
    <w:rPr>
      <w:vertAlign w:val="superscript"/>
    </w:rPr>
  </w:style>
  <w:style w:type="character" w:styleId="46">
    <w:name w:val="page number"/>
    <w:autoRedefine/>
    <w:qFormat/>
    <w:uiPriority w:val="0"/>
    <w:rPr>
      <w:rFonts w:ascii="Times New Roman" w:hAnsi="Times New Roman" w:eastAsia="宋体"/>
      <w:sz w:val="18"/>
    </w:rPr>
  </w:style>
  <w:style w:type="character" w:styleId="47">
    <w:name w:val="FollowedHyperlink"/>
    <w:autoRedefine/>
    <w:qFormat/>
    <w:uiPriority w:val="0"/>
    <w:rPr>
      <w:color w:val="800080"/>
      <w:u w:val="single"/>
    </w:rPr>
  </w:style>
  <w:style w:type="character" w:styleId="48">
    <w:name w:val="Emphasis"/>
    <w:autoRedefine/>
    <w:qFormat/>
    <w:uiPriority w:val="20"/>
    <w:rPr>
      <w:i/>
      <w:iCs/>
    </w:rPr>
  </w:style>
  <w:style w:type="character" w:styleId="49">
    <w:name w:val="Hyperlink"/>
    <w:autoRedefine/>
    <w:qFormat/>
    <w:uiPriority w:val="99"/>
    <w:rPr>
      <w:color w:val="0000FF"/>
      <w:spacing w:val="0"/>
      <w:w w:val="100"/>
      <w:szCs w:val="21"/>
      <w:u w:val="single"/>
    </w:rPr>
  </w:style>
  <w:style w:type="character" w:styleId="50">
    <w:name w:val="annotation reference"/>
    <w:autoRedefine/>
    <w:semiHidden/>
    <w:qFormat/>
    <w:uiPriority w:val="0"/>
    <w:rPr>
      <w:sz w:val="21"/>
      <w:szCs w:val="21"/>
    </w:rPr>
  </w:style>
  <w:style w:type="character" w:styleId="51">
    <w:name w:val="footnote reference"/>
    <w:autoRedefine/>
    <w:semiHidden/>
    <w:qFormat/>
    <w:uiPriority w:val="0"/>
    <w:rPr>
      <w:vertAlign w:val="superscript"/>
    </w:rPr>
  </w:style>
  <w:style w:type="paragraph" w:styleId="52">
    <w:name w:val="List Paragraph"/>
    <w:basedOn w:val="1"/>
    <w:autoRedefine/>
    <w:qFormat/>
    <w:uiPriority w:val="34"/>
    <w:pPr>
      <w:ind w:firstLine="420" w:firstLineChars="200"/>
    </w:pPr>
  </w:style>
  <w:style w:type="character" w:styleId="53">
    <w:name w:val="Placeholder Text"/>
    <w:autoRedefine/>
    <w:semiHidden/>
    <w:qFormat/>
    <w:uiPriority w:val="99"/>
    <w:rPr>
      <w:color w:val="808080"/>
    </w:rPr>
  </w:style>
  <w:style w:type="character" w:customStyle="1" w:styleId="54">
    <w:name w:val="font531"/>
    <w:autoRedefine/>
    <w:qFormat/>
    <w:uiPriority w:val="0"/>
    <w:rPr>
      <w:rFonts w:hint="default" w:ascii="Arial" w:hAnsi="Arial" w:cs="Arial"/>
      <w:color w:val="000000"/>
      <w:sz w:val="24"/>
      <w:szCs w:val="24"/>
      <w:u w:val="none"/>
    </w:rPr>
  </w:style>
  <w:style w:type="character" w:customStyle="1" w:styleId="55">
    <w:name w:val="首示例 Char"/>
    <w:link w:val="56"/>
    <w:autoRedefine/>
    <w:qFormat/>
    <w:uiPriority w:val="0"/>
    <w:rPr>
      <w:rFonts w:ascii="宋体" w:hAnsi="宋体"/>
      <w:kern w:val="2"/>
      <w:sz w:val="18"/>
      <w:szCs w:val="18"/>
      <w:lang w:val="en-US" w:eastAsia="zh-CN" w:bidi="ar-SA"/>
    </w:rPr>
  </w:style>
  <w:style w:type="paragraph" w:customStyle="1" w:styleId="56">
    <w:name w:val="首示例"/>
    <w:next w:val="30"/>
    <w:link w:val="55"/>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7">
    <w:name w:val="font451"/>
    <w:autoRedefine/>
    <w:qFormat/>
    <w:uiPriority w:val="0"/>
    <w:rPr>
      <w:rFonts w:hint="eastAsia" w:ascii="等线" w:hAnsi="等线" w:eastAsia="等线"/>
      <w:color w:val="000000"/>
      <w:sz w:val="22"/>
      <w:szCs w:val="22"/>
      <w:u w:val="none"/>
    </w:rPr>
  </w:style>
  <w:style w:type="character" w:customStyle="1" w:styleId="58">
    <w:name w:val="二级条标题 Char"/>
    <w:link w:val="59"/>
    <w:autoRedefine/>
    <w:qFormat/>
    <w:locked/>
    <w:uiPriority w:val="0"/>
    <w:rPr>
      <w:rFonts w:ascii="黑体" w:eastAsia="黑体"/>
      <w:sz w:val="21"/>
      <w:szCs w:val="21"/>
    </w:rPr>
  </w:style>
  <w:style w:type="paragraph" w:customStyle="1" w:styleId="59">
    <w:name w:val="二级条标题"/>
    <w:basedOn w:val="60"/>
    <w:next w:val="30"/>
    <w:link w:val="58"/>
    <w:autoRedefine/>
    <w:qFormat/>
    <w:uiPriority w:val="0"/>
    <w:pPr>
      <w:numPr>
        <w:ilvl w:val="2"/>
      </w:numPr>
      <w:spacing w:before="50" w:after="50"/>
      <w:ind w:left="1843"/>
      <w:outlineLvl w:val="3"/>
    </w:pPr>
  </w:style>
  <w:style w:type="paragraph" w:customStyle="1" w:styleId="60">
    <w:name w:val="一级条标题"/>
    <w:next w:val="30"/>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61">
    <w:name w:val="三级条标题 Char"/>
    <w:link w:val="62"/>
    <w:autoRedefine/>
    <w:qFormat/>
    <w:uiPriority w:val="0"/>
    <w:rPr>
      <w:rFonts w:ascii="黑体" w:eastAsia="黑体"/>
      <w:sz w:val="21"/>
      <w:szCs w:val="21"/>
    </w:rPr>
  </w:style>
  <w:style w:type="paragraph" w:customStyle="1" w:styleId="62">
    <w:name w:val="三级条标题"/>
    <w:basedOn w:val="59"/>
    <w:next w:val="30"/>
    <w:link w:val="61"/>
    <w:autoRedefine/>
    <w:qFormat/>
    <w:uiPriority w:val="0"/>
    <w:pPr>
      <w:numPr>
        <w:ilvl w:val="3"/>
      </w:numPr>
      <w:outlineLvl w:val="4"/>
    </w:pPr>
  </w:style>
  <w:style w:type="character" w:customStyle="1" w:styleId="63">
    <w:name w:val="页眉 字符"/>
    <w:link w:val="25"/>
    <w:autoRedefine/>
    <w:qFormat/>
    <w:uiPriority w:val="99"/>
    <w:rPr>
      <w:kern w:val="2"/>
      <w:sz w:val="18"/>
      <w:szCs w:val="18"/>
    </w:rPr>
  </w:style>
  <w:style w:type="character" w:customStyle="1" w:styleId="64">
    <w:name w:val="样式1 字符"/>
    <w:link w:val="65"/>
    <w:autoRedefine/>
    <w:qFormat/>
    <w:uiPriority w:val="0"/>
    <w:rPr>
      <w:rFonts w:ascii="Cambria Math" w:hAnsi="Cambria Math"/>
      <w:i/>
      <w:sz w:val="28"/>
      <w:szCs w:val="28"/>
      <w:lang w:val="en-US" w:eastAsia="zh-CN" w:bidi="ar-SA"/>
    </w:rPr>
  </w:style>
  <w:style w:type="paragraph" w:customStyle="1" w:styleId="65">
    <w:name w:val="样式1"/>
    <w:basedOn w:val="66"/>
    <w:link w:val="64"/>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6">
    <w:name w:val="附录公式"/>
    <w:basedOn w:val="30"/>
    <w:next w:val="30"/>
    <w:link w:val="67"/>
    <w:autoRedefine/>
    <w:qFormat/>
    <w:uiPriority w:val="0"/>
  </w:style>
  <w:style w:type="character" w:customStyle="1" w:styleId="67">
    <w:name w:val="附录公式 Char"/>
    <w:link w:val="66"/>
    <w:autoRedefine/>
    <w:qFormat/>
    <w:uiPriority w:val="0"/>
    <w:rPr>
      <w:rFonts w:ascii="宋体"/>
      <w:sz w:val="21"/>
      <w:lang w:val="en-US" w:eastAsia="zh-CN" w:bidi="ar-SA"/>
    </w:rPr>
  </w:style>
  <w:style w:type="character" w:customStyle="1" w:styleId="68">
    <w:name w:val="段 Char"/>
    <w:link w:val="30"/>
    <w:autoRedefine/>
    <w:qFormat/>
    <w:uiPriority w:val="0"/>
    <w:rPr>
      <w:rFonts w:ascii="宋体"/>
      <w:sz w:val="21"/>
      <w:lang w:val="en-US" w:eastAsia="zh-CN" w:bidi="ar-SA"/>
    </w:rPr>
  </w:style>
  <w:style w:type="character" w:customStyle="1" w:styleId="69">
    <w:name w:val="font441"/>
    <w:autoRedefine/>
    <w:qFormat/>
    <w:uiPriority w:val="0"/>
    <w:rPr>
      <w:rFonts w:hint="eastAsia" w:ascii="等线" w:hAnsi="等线" w:eastAsia="等线"/>
      <w:color w:val="000000"/>
      <w:sz w:val="24"/>
      <w:szCs w:val="24"/>
      <w:u w:val="none"/>
    </w:rPr>
  </w:style>
  <w:style w:type="character" w:customStyle="1" w:styleId="70">
    <w:name w:val="font541"/>
    <w:autoRedefine/>
    <w:qFormat/>
    <w:uiPriority w:val="0"/>
    <w:rPr>
      <w:rFonts w:hint="default" w:ascii="Arial" w:hAnsi="Arial" w:cs="Arial"/>
      <w:color w:val="000000"/>
      <w:sz w:val="22"/>
      <w:szCs w:val="22"/>
      <w:u w:val="none"/>
    </w:rPr>
  </w:style>
  <w:style w:type="character" w:customStyle="1" w:styleId="71">
    <w:name w:val="发布"/>
    <w:autoRedefine/>
    <w:qFormat/>
    <w:uiPriority w:val="0"/>
    <w:rPr>
      <w:rFonts w:ascii="黑体" w:eastAsia="黑体"/>
      <w:spacing w:val="85"/>
      <w:w w:val="100"/>
      <w:position w:val="3"/>
      <w:sz w:val="28"/>
      <w:szCs w:val="28"/>
    </w:rPr>
  </w:style>
  <w:style w:type="character" w:customStyle="1" w:styleId="72">
    <w:name w:val="apple-style-span"/>
    <w:autoRedefine/>
    <w:qFormat/>
    <w:uiPriority w:val="0"/>
  </w:style>
  <w:style w:type="paragraph" w:customStyle="1" w:styleId="73">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4">
    <w:name w:val="参考文献"/>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附录五级无"/>
    <w:basedOn w:val="76"/>
    <w:autoRedefine/>
    <w:qFormat/>
    <w:uiPriority w:val="0"/>
    <w:pPr>
      <w:spacing w:beforeLines="0" w:afterLines="0"/>
    </w:pPr>
    <w:rPr>
      <w:rFonts w:ascii="宋体" w:eastAsia="宋体"/>
      <w:szCs w:val="21"/>
    </w:rPr>
  </w:style>
  <w:style w:type="paragraph" w:customStyle="1" w:styleId="76">
    <w:name w:val="附录五级条标题"/>
    <w:basedOn w:val="77"/>
    <w:next w:val="30"/>
    <w:autoRedefine/>
    <w:qFormat/>
    <w:uiPriority w:val="0"/>
    <w:pPr>
      <w:outlineLvl w:val="6"/>
    </w:pPr>
  </w:style>
  <w:style w:type="paragraph" w:customStyle="1" w:styleId="77">
    <w:name w:val="附录四级条标题"/>
    <w:basedOn w:val="78"/>
    <w:next w:val="30"/>
    <w:autoRedefine/>
    <w:qFormat/>
    <w:uiPriority w:val="0"/>
    <w:pPr>
      <w:outlineLvl w:val="5"/>
    </w:pPr>
  </w:style>
  <w:style w:type="paragraph" w:customStyle="1" w:styleId="78">
    <w:name w:val="附录三级条标题"/>
    <w:basedOn w:val="79"/>
    <w:next w:val="30"/>
    <w:autoRedefine/>
    <w:qFormat/>
    <w:uiPriority w:val="0"/>
    <w:pPr>
      <w:outlineLvl w:val="4"/>
    </w:pPr>
  </w:style>
  <w:style w:type="paragraph" w:customStyle="1" w:styleId="79">
    <w:name w:val="附录二级条标题"/>
    <w:basedOn w:val="1"/>
    <w:next w:val="30"/>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0">
    <w:name w:val="附录标题"/>
    <w:basedOn w:val="30"/>
    <w:next w:val="30"/>
    <w:autoRedefine/>
    <w:qFormat/>
    <w:uiPriority w:val="0"/>
    <w:pPr>
      <w:ind w:firstLine="0" w:firstLineChars="0"/>
      <w:jc w:val="center"/>
    </w:pPr>
    <w:rPr>
      <w:rFonts w:ascii="黑体" w:eastAsia="黑体"/>
    </w:rPr>
  </w:style>
  <w:style w:type="paragraph" w:customStyle="1" w:styleId="81">
    <w:name w:val="注：（正文）"/>
    <w:basedOn w:val="82"/>
    <w:next w:val="30"/>
    <w:autoRedefine/>
    <w:qFormat/>
    <w:uiPriority w:val="0"/>
  </w:style>
  <w:style w:type="paragraph" w:customStyle="1" w:styleId="82">
    <w:name w:val="注："/>
    <w:next w:val="30"/>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83">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附录一级无"/>
    <w:basedOn w:val="85"/>
    <w:autoRedefine/>
    <w:qFormat/>
    <w:uiPriority w:val="0"/>
    <w:pPr>
      <w:spacing w:beforeLines="0" w:afterLines="0"/>
    </w:pPr>
    <w:rPr>
      <w:rFonts w:ascii="宋体" w:eastAsia="宋体"/>
      <w:szCs w:val="21"/>
    </w:rPr>
  </w:style>
  <w:style w:type="paragraph" w:customStyle="1" w:styleId="85">
    <w:name w:val="附录一级条标题"/>
    <w:basedOn w:val="86"/>
    <w:next w:val="30"/>
    <w:autoRedefine/>
    <w:qFormat/>
    <w:uiPriority w:val="0"/>
    <w:pPr>
      <w:numPr>
        <w:ilvl w:val="0"/>
        <w:numId w:val="0"/>
      </w:numPr>
      <w:autoSpaceDN w:val="0"/>
      <w:spacing w:beforeLines="50" w:afterLines="50"/>
      <w:outlineLvl w:val="2"/>
    </w:pPr>
  </w:style>
  <w:style w:type="paragraph" w:customStyle="1" w:styleId="86">
    <w:name w:val="附录章标题"/>
    <w:next w:val="30"/>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7">
    <w:name w:val="附录三级无"/>
    <w:basedOn w:val="78"/>
    <w:autoRedefine/>
    <w:qFormat/>
    <w:uiPriority w:val="0"/>
    <w:pPr>
      <w:spacing w:beforeLines="0" w:afterLines="0"/>
    </w:pPr>
    <w:rPr>
      <w:rFonts w:ascii="宋体" w:eastAsia="宋体"/>
      <w:szCs w:val="21"/>
    </w:rPr>
  </w:style>
  <w:style w:type="paragraph" w:customStyle="1" w:styleId="8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90">
    <w:name w:val="标准书眉_偶数页"/>
    <w:basedOn w:val="91"/>
    <w:next w:val="1"/>
    <w:autoRedefine/>
    <w:qFormat/>
    <w:uiPriority w:val="0"/>
    <w:pPr>
      <w:tabs>
        <w:tab w:val="center" w:pos="4154"/>
        <w:tab w:val="right" w:pos="8306"/>
      </w:tabs>
      <w:jc w:val="left"/>
    </w:pPr>
  </w:style>
  <w:style w:type="paragraph" w:customStyle="1" w:styleId="91">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2">
    <w:name w:val="发布部门"/>
    <w:next w:val="30"/>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3">
    <w:name w:val="五级无"/>
    <w:basedOn w:val="94"/>
    <w:autoRedefine/>
    <w:qFormat/>
    <w:uiPriority w:val="0"/>
    <w:pPr>
      <w:spacing w:beforeLines="0" w:afterLines="0"/>
    </w:pPr>
    <w:rPr>
      <w:rFonts w:ascii="宋体" w:eastAsia="宋体"/>
    </w:rPr>
  </w:style>
  <w:style w:type="paragraph" w:customStyle="1" w:styleId="94">
    <w:name w:val="五级条标题"/>
    <w:basedOn w:val="95"/>
    <w:next w:val="30"/>
    <w:autoRedefine/>
    <w:qFormat/>
    <w:uiPriority w:val="0"/>
    <w:pPr>
      <w:numPr>
        <w:ilvl w:val="0"/>
        <w:numId w:val="0"/>
      </w:numPr>
      <w:outlineLvl w:val="6"/>
    </w:pPr>
  </w:style>
  <w:style w:type="paragraph" w:customStyle="1" w:styleId="95">
    <w:name w:val="四级条标题"/>
    <w:basedOn w:val="62"/>
    <w:next w:val="30"/>
    <w:autoRedefine/>
    <w:qFormat/>
    <w:uiPriority w:val="0"/>
    <w:pPr>
      <w:numPr>
        <w:ilvl w:val="4"/>
      </w:numPr>
      <w:outlineLvl w:val="5"/>
    </w:pPr>
  </w:style>
  <w:style w:type="paragraph" w:customStyle="1" w:styleId="96">
    <w:name w:val="封面一致性程度标识"/>
    <w:basedOn w:val="97"/>
    <w:autoRedefine/>
    <w:qFormat/>
    <w:uiPriority w:val="0"/>
    <w:pPr>
      <w:framePr w:wrap="around"/>
      <w:spacing w:before="440"/>
    </w:pPr>
    <w:rPr>
      <w:rFonts w:ascii="宋体" w:eastAsia="宋体"/>
    </w:rPr>
  </w:style>
  <w:style w:type="paragraph" w:customStyle="1" w:styleId="97">
    <w:name w:val="封面标准英文名称"/>
    <w:basedOn w:val="83"/>
    <w:autoRedefine/>
    <w:qFormat/>
    <w:uiPriority w:val="0"/>
    <w:pPr>
      <w:framePr w:wrap="around"/>
      <w:spacing w:before="370" w:line="400" w:lineRule="exact"/>
    </w:pPr>
    <w:rPr>
      <w:rFonts w:ascii="Times New Roman"/>
      <w:sz w:val="28"/>
      <w:szCs w:val="28"/>
    </w:rPr>
  </w:style>
  <w:style w:type="paragraph" w:customStyle="1" w:styleId="98">
    <w:name w:val="其他发布部门"/>
    <w:basedOn w:val="92"/>
    <w:autoRedefine/>
    <w:qFormat/>
    <w:uiPriority w:val="0"/>
    <w:pPr>
      <w:framePr w:wrap="around" w:y="15310"/>
      <w:spacing w:line="0" w:lineRule="atLeast"/>
    </w:pPr>
    <w:rPr>
      <w:rFonts w:ascii="黑体" w:eastAsia="黑体"/>
      <w:b w:val="0"/>
    </w:rPr>
  </w:style>
  <w:style w:type="paragraph" w:customStyle="1" w:styleId="99">
    <w:name w:val="目次、标准名称标题"/>
    <w:basedOn w:val="1"/>
    <w:next w:val="30"/>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0">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101">
    <w:name w:val="附录表标题"/>
    <w:basedOn w:val="1"/>
    <w:next w:val="30"/>
    <w:autoRedefine/>
    <w:qFormat/>
    <w:uiPriority w:val="0"/>
    <w:pPr>
      <w:numPr>
        <w:ilvl w:val="1"/>
        <w:numId w:val="6"/>
      </w:numPr>
      <w:spacing w:beforeLines="50" w:afterLines="50"/>
      <w:jc w:val="center"/>
    </w:pPr>
    <w:rPr>
      <w:rFonts w:ascii="黑体" w:eastAsia="黑体"/>
      <w:szCs w:val="21"/>
    </w:rPr>
  </w:style>
  <w:style w:type="paragraph" w:customStyle="1" w:styleId="102">
    <w:name w:val="附录公式编号制表符"/>
    <w:basedOn w:val="1"/>
    <w:next w:val="30"/>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03">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4">
    <w:name w:val="附录标识"/>
    <w:basedOn w:val="1"/>
    <w:next w:val="30"/>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5">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6">
    <w:name w:val="封面标准文稿编辑信息"/>
    <w:basedOn w:val="107"/>
    <w:autoRedefine/>
    <w:qFormat/>
    <w:uiPriority w:val="0"/>
    <w:pPr>
      <w:framePr w:wrap="around"/>
      <w:spacing w:before="180" w:line="180" w:lineRule="exact"/>
    </w:pPr>
    <w:rPr>
      <w:sz w:val="21"/>
    </w:rPr>
  </w:style>
  <w:style w:type="paragraph" w:customStyle="1" w:styleId="107">
    <w:name w:val="封面标准文稿类别"/>
    <w:basedOn w:val="96"/>
    <w:autoRedefine/>
    <w:qFormat/>
    <w:uiPriority w:val="0"/>
    <w:pPr>
      <w:framePr w:wrap="around"/>
      <w:spacing w:after="160" w:line="240" w:lineRule="auto"/>
    </w:pPr>
    <w:rPr>
      <w:sz w:val="24"/>
    </w:rPr>
  </w:style>
  <w:style w:type="paragraph" w:customStyle="1" w:styleId="108">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9">
    <w:name w:val="列项◆（三级）"/>
    <w:basedOn w:val="1"/>
    <w:autoRedefine/>
    <w:qFormat/>
    <w:uiPriority w:val="0"/>
    <w:pPr>
      <w:numPr>
        <w:ilvl w:val="2"/>
        <w:numId w:val="8"/>
      </w:numPr>
    </w:pPr>
    <w:rPr>
      <w:rFonts w:ascii="宋体"/>
      <w:szCs w:val="21"/>
    </w:rPr>
  </w:style>
  <w:style w:type="paragraph" w:customStyle="1" w:styleId="110">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1">
    <w:name w:val="附录二级无"/>
    <w:basedOn w:val="79"/>
    <w:autoRedefine/>
    <w:qFormat/>
    <w:uiPriority w:val="0"/>
    <w:pPr>
      <w:spacing w:beforeLines="0" w:afterLines="0"/>
    </w:pPr>
    <w:rPr>
      <w:rFonts w:ascii="宋体" w:eastAsia="宋体"/>
      <w:szCs w:val="21"/>
    </w:rPr>
  </w:style>
  <w:style w:type="paragraph" w:customStyle="1" w:styleId="112">
    <w:name w:val="实施日期"/>
    <w:basedOn w:val="113"/>
    <w:autoRedefine/>
    <w:qFormat/>
    <w:uiPriority w:val="0"/>
    <w:pPr>
      <w:framePr w:wrap="around" w:vAnchor="page" w:hAnchor="text"/>
      <w:jc w:val="right"/>
    </w:pPr>
  </w:style>
  <w:style w:type="paragraph" w:customStyle="1" w:styleId="113">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4">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5">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6">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7">
    <w:name w:val="图表脚注说明"/>
    <w:basedOn w:val="1"/>
    <w:autoRedefine/>
    <w:qFormat/>
    <w:uiPriority w:val="0"/>
    <w:pPr>
      <w:ind w:left="544" w:hanging="181"/>
    </w:pPr>
    <w:rPr>
      <w:rFonts w:ascii="宋体"/>
      <w:sz w:val="18"/>
      <w:szCs w:val="18"/>
    </w:rPr>
  </w:style>
  <w:style w:type="paragraph" w:customStyle="1" w:styleId="118">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9">
    <w:name w:val="示例"/>
    <w:next w:val="120"/>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0">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1">
    <w:name w:val="Char Char"/>
    <w:basedOn w:val="1"/>
    <w:autoRedefine/>
    <w:qFormat/>
    <w:uiPriority w:val="0"/>
    <w:rPr>
      <w:rFonts w:ascii="黑体" w:eastAsia="黑体"/>
      <w:sz w:val="36"/>
      <w:szCs w:val="36"/>
    </w:rPr>
  </w:style>
  <w:style w:type="paragraph" w:customStyle="1" w:styleId="122">
    <w:name w:val="Char Char1"/>
    <w:basedOn w:val="1"/>
    <w:autoRedefine/>
    <w:qFormat/>
    <w:uiPriority w:val="0"/>
    <w:rPr>
      <w:rFonts w:ascii="黑体" w:eastAsia="黑体"/>
      <w:sz w:val="36"/>
      <w:szCs w:val="36"/>
    </w:rPr>
  </w:style>
  <w:style w:type="paragraph" w:customStyle="1" w:styleId="123">
    <w:name w:val="参考文献、索引标题"/>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4">
    <w:name w:val="正文表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5">
    <w:name w:val="二级无"/>
    <w:basedOn w:val="59"/>
    <w:autoRedefine/>
    <w:qFormat/>
    <w:uiPriority w:val="0"/>
    <w:pPr>
      <w:spacing w:beforeLines="0" w:afterLines="0"/>
      <w:ind w:left="0"/>
    </w:pPr>
    <w:rPr>
      <w:rFonts w:ascii="宋体" w:eastAsia="宋体"/>
    </w:rPr>
  </w:style>
  <w:style w:type="paragraph" w:customStyle="1" w:styleId="126">
    <w:name w:val="图标脚注说明"/>
    <w:basedOn w:val="30"/>
    <w:autoRedefine/>
    <w:qFormat/>
    <w:uiPriority w:val="0"/>
    <w:pPr>
      <w:ind w:left="840" w:hanging="420" w:firstLineChars="0"/>
    </w:pPr>
    <w:rPr>
      <w:sz w:val="18"/>
      <w:szCs w:val="18"/>
    </w:rPr>
  </w:style>
  <w:style w:type="paragraph" w:customStyle="1" w:styleId="127">
    <w:name w:val="其他标准标志"/>
    <w:basedOn w:val="128"/>
    <w:autoRedefine/>
    <w:qFormat/>
    <w:uiPriority w:val="0"/>
    <w:pPr>
      <w:framePr w:w="6101" w:wrap="around" w:vAnchor="page" w:hAnchor="page" w:x="4673" w:y="942"/>
    </w:pPr>
    <w:rPr>
      <w:w w:val="130"/>
    </w:rPr>
  </w:style>
  <w:style w:type="paragraph" w:customStyle="1" w:styleId="128">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9">
    <w:name w:val="封面一致性程度标识2"/>
    <w:basedOn w:val="96"/>
    <w:autoRedefine/>
    <w:qFormat/>
    <w:uiPriority w:val="0"/>
    <w:pPr>
      <w:framePr w:wrap="around" w:y="4469"/>
    </w:pPr>
  </w:style>
  <w:style w:type="paragraph" w:customStyle="1" w:styleId="130">
    <w:name w:val="标准书眉一"/>
    <w:autoRedefine/>
    <w:qFormat/>
    <w:uiPriority w:val="0"/>
    <w:pPr>
      <w:jc w:val="both"/>
    </w:pPr>
    <w:rPr>
      <w:rFonts w:ascii="Times New Roman" w:hAnsi="Times New Roman" w:eastAsia="宋体" w:cs="Times New Roman"/>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33">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4">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5">
    <w:name w:val="正文公式编号制表符"/>
    <w:basedOn w:val="30"/>
    <w:next w:val="30"/>
    <w:autoRedefine/>
    <w:qFormat/>
    <w:uiPriority w:val="0"/>
    <w:pPr>
      <w:ind w:firstLine="0" w:firstLineChars="0"/>
    </w:pPr>
  </w:style>
  <w:style w:type="paragraph" w:customStyle="1" w:styleId="136">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7">
    <w:name w:val="四级无"/>
    <w:basedOn w:val="95"/>
    <w:autoRedefine/>
    <w:qFormat/>
    <w:uiPriority w:val="0"/>
    <w:pPr>
      <w:spacing w:beforeLines="0" w:afterLines="0"/>
    </w:pPr>
    <w:rPr>
      <w:rFonts w:ascii="宋体" w:eastAsia="宋体"/>
    </w:rPr>
  </w:style>
  <w:style w:type="paragraph" w:customStyle="1" w:styleId="138">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9">
    <w:name w:val="附录四级无"/>
    <w:basedOn w:val="77"/>
    <w:autoRedefine/>
    <w:qFormat/>
    <w:uiPriority w:val="0"/>
    <w:pPr>
      <w:spacing w:beforeLines="0" w:afterLines="0"/>
    </w:pPr>
    <w:rPr>
      <w:rFonts w:ascii="宋体" w:eastAsia="宋体"/>
      <w:szCs w:val="21"/>
    </w:rPr>
  </w:style>
  <w:style w:type="paragraph" w:customStyle="1" w:styleId="140">
    <w:name w:val="封面标准英文名称2"/>
    <w:basedOn w:val="97"/>
    <w:autoRedefine/>
    <w:qFormat/>
    <w:uiPriority w:val="0"/>
    <w:pPr>
      <w:framePr w:wrap="around" w:y="4469"/>
    </w:pPr>
  </w:style>
  <w:style w:type="paragraph" w:customStyle="1" w:styleId="141">
    <w:name w:val="封面标准文稿类别2"/>
    <w:basedOn w:val="107"/>
    <w:autoRedefine/>
    <w:qFormat/>
    <w:uiPriority w:val="0"/>
    <w:pPr>
      <w:framePr w:wrap="around" w:y="4469"/>
    </w:pPr>
  </w:style>
  <w:style w:type="paragraph" w:customStyle="1" w:styleId="142">
    <w:name w:val="示例×："/>
    <w:basedOn w:val="143"/>
    <w:autoRedefine/>
    <w:qFormat/>
    <w:uiPriority w:val="0"/>
    <w:pPr>
      <w:numPr>
        <w:numId w:val="0"/>
      </w:numPr>
      <w:spacing w:beforeLines="0" w:afterLines="0"/>
      <w:ind w:firstLine="363"/>
      <w:outlineLvl w:val="9"/>
    </w:pPr>
    <w:rPr>
      <w:rFonts w:ascii="宋体" w:eastAsia="宋体"/>
      <w:sz w:val="18"/>
      <w:szCs w:val="18"/>
    </w:rPr>
  </w:style>
  <w:style w:type="paragraph" w:customStyle="1" w:styleId="143">
    <w:name w:val="章标题"/>
    <w:next w:val="30"/>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4">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5">
    <w:name w:val="附录图标题"/>
    <w:basedOn w:val="1"/>
    <w:next w:val="30"/>
    <w:autoRedefine/>
    <w:qFormat/>
    <w:uiPriority w:val="0"/>
    <w:pPr>
      <w:numPr>
        <w:ilvl w:val="1"/>
        <w:numId w:val="5"/>
      </w:numPr>
      <w:spacing w:beforeLines="50" w:afterLines="50"/>
      <w:jc w:val="center"/>
    </w:pPr>
    <w:rPr>
      <w:rFonts w:ascii="黑体" w:eastAsia="黑体"/>
      <w:szCs w:val="21"/>
    </w:rPr>
  </w:style>
  <w:style w:type="paragraph" w:customStyle="1" w:styleId="146">
    <w:name w:val="其他实施日期"/>
    <w:basedOn w:val="112"/>
    <w:autoRedefine/>
    <w:qFormat/>
    <w:uiPriority w:val="0"/>
    <w:pPr>
      <w:framePr w:wrap="around" w:vAnchor="margin" w:hAnchor="page"/>
    </w:pPr>
  </w:style>
  <w:style w:type="paragraph" w:customStyle="1" w:styleId="147">
    <w:name w:val="三级无"/>
    <w:basedOn w:val="62"/>
    <w:autoRedefine/>
    <w:qFormat/>
    <w:uiPriority w:val="0"/>
    <w:pPr>
      <w:spacing w:beforeLines="0" w:afterLines="0"/>
    </w:pPr>
    <w:rPr>
      <w:rFonts w:ascii="宋体" w:eastAsia="宋体"/>
    </w:rPr>
  </w:style>
  <w:style w:type="paragraph" w:customStyle="1" w:styleId="148">
    <w:name w:val="封面标准名称2"/>
    <w:basedOn w:val="83"/>
    <w:autoRedefine/>
    <w:qFormat/>
    <w:uiPriority w:val="0"/>
    <w:pPr>
      <w:framePr w:wrap="around" w:y="4469"/>
      <w:spacing w:beforeLines="630"/>
    </w:pPr>
  </w:style>
  <w:style w:type="paragraph" w:customStyle="1" w:styleId="149">
    <w:name w:val="正文图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50">
    <w:name w:val="示例后文字"/>
    <w:basedOn w:val="30"/>
    <w:next w:val="30"/>
    <w:autoRedefine/>
    <w:qFormat/>
    <w:uiPriority w:val="0"/>
    <w:pPr>
      <w:ind w:firstLine="360"/>
    </w:pPr>
    <w:rPr>
      <w:sz w:val="18"/>
    </w:rPr>
  </w:style>
  <w:style w:type="paragraph" w:customStyle="1" w:styleId="151">
    <w:name w:val="其他发布日期"/>
    <w:basedOn w:val="113"/>
    <w:autoRedefine/>
    <w:qFormat/>
    <w:uiPriority w:val="0"/>
    <w:pPr>
      <w:framePr w:wrap="around" w:vAnchor="page" w:hAnchor="text" w:x="1419"/>
    </w:pPr>
  </w:style>
  <w:style w:type="paragraph" w:customStyle="1" w:styleId="152">
    <w:name w:val="封面标准文稿编辑信息2"/>
    <w:basedOn w:val="106"/>
    <w:autoRedefine/>
    <w:qFormat/>
    <w:uiPriority w:val="0"/>
    <w:pPr>
      <w:framePr w:wrap="around" w:y="4469"/>
    </w:pPr>
  </w:style>
  <w:style w:type="paragraph" w:customStyle="1" w:styleId="153">
    <w:name w:val="一级无"/>
    <w:basedOn w:val="60"/>
    <w:autoRedefine/>
    <w:qFormat/>
    <w:uiPriority w:val="0"/>
    <w:pPr>
      <w:spacing w:before="156" w:after="156"/>
    </w:pPr>
    <w:rPr>
      <w:rFonts w:ascii="Times New Roman" w:eastAsia="宋体"/>
      <w:color w:val="000000"/>
    </w:rPr>
  </w:style>
  <w:style w:type="paragraph" w:customStyle="1" w:styleId="154">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5">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6">
    <w:name w:val="附录表标号"/>
    <w:basedOn w:val="1"/>
    <w:next w:val="30"/>
    <w:autoRedefine/>
    <w:qFormat/>
    <w:uiPriority w:val="0"/>
    <w:pPr>
      <w:numPr>
        <w:ilvl w:val="0"/>
        <w:numId w:val="6"/>
      </w:numPr>
      <w:spacing w:line="14" w:lineRule="exact"/>
      <w:jc w:val="center"/>
      <w:outlineLvl w:val="0"/>
    </w:pPr>
    <w:rPr>
      <w:color w:val="FFFFFF"/>
    </w:rPr>
  </w:style>
  <w:style w:type="paragraph" w:customStyle="1" w:styleId="157">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8">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9">
    <w:name w:val="条文脚注"/>
    <w:basedOn w:val="31"/>
    <w:autoRedefine/>
    <w:qFormat/>
    <w:uiPriority w:val="0"/>
    <w:pPr>
      <w:numPr>
        <w:numId w:val="0"/>
      </w:numPr>
      <w:jc w:val="both"/>
    </w:pPr>
  </w:style>
  <w:style w:type="paragraph" w:customStyle="1" w:styleId="160">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61">
    <w:name w:val="终结线"/>
    <w:basedOn w:val="1"/>
    <w:autoRedefine/>
    <w:qFormat/>
    <w:uiPriority w:val="0"/>
    <w:pPr>
      <w:framePr w:hSpace="181" w:vSpace="181" w:wrap="around" w:vAnchor="text" w:hAnchor="margin" w:xAlign="center" w:y="285"/>
    </w:pPr>
  </w:style>
  <w:style w:type="paragraph" w:customStyle="1" w:styleId="162">
    <w:name w:val="前言、引言标题"/>
    <w:next w:val="30"/>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图的脚注"/>
    <w:next w:val="30"/>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4">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5">
    <w:name w:val="标题 6 字符"/>
    <w:link w:val="7"/>
    <w:autoRedefine/>
    <w:semiHidden/>
    <w:qFormat/>
    <w:uiPriority w:val="0"/>
    <w:rPr>
      <w:rFonts w:ascii="等线 Light" w:hAnsi="等线 Light" w:eastAsia="等线 Light" w:cs="Times New Roman"/>
      <w:b/>
      <w:bCs/>
      <w:kern w:val="2"/>
      <w:sz w:val="24"/>
      <w:szCs w:val="24"/>
    </w:rPr>
  </w:style>
  <w:style w:type="character" w:customStyle="1" w:styleId="166">
    <w:name w:val="页脚 字符"/>
    <w:link w:val="24"/>
    <w:autoRedefine/>
    <w:qFormat/>
    <w:uiPriority w:val="99"/>
    <w:rPr>
      <w:kern w:val="2"/>
      <w:sz w:val="18"/>
      <w:szCs w:val="18"/>
    </w:rPr>
  </w:style>
  <w:style w:type="paragraph" w:customStyle="1" w:styleId="167">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8">
    <w:name w:val="正文文本缩进 2 字符"/>
    <w:basedOn w:val="43"/>
    <w:link w:val="21"/>
    <w:autoRedefine/>
    <w:qFormat/>
    <w:uiPriority w:val="99"/>
    <w:rPr>
      <w:rFonts w:eastAsia="PMingLiU"/>
      <w:kern w:val="2"/>
      <w:sz w:val="24"/>
      <w:szCs w:val="24"/>
      <w:lang w:eastAsia="zh-TW"/>
    </w:rPr>
  </w:style>
  <w:style w:type="paragraph" w:customStyle="1" w:styleId="169">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0">
    <w:name w:val="标准文件_术语条一"/>
    <w:basedOn w:val="171"/>
    <w:next w:val="169"/>
    <w:autoRedefine/>
    <w:qFormat/>
    <w:uiPriority w:val="0"/>
  </w:style>
  <w:style w:type="paragraph" w:customStyle="1" w:styleId="171">
    <w:name w:val="标准文件_一级无标题"/>
    <w:basedOn w:val="172"/>
    <w:autoRedefine/>
    <w:qFormat/>
    <w:uiPriority w:val="0"/>
    <w:pPr>
      <w:spacing w:before="0" w:beforeLines="0" w:after="0" w:afterLines="0"/>
      <w:outlineLvl w:val="9"/>
    </w:pPr>
    <w:rPr>
      <w:rFonts w:ascii="宋体" w:eastAsia="宋体"/>
    </w:rPr>
  </w:style>
  <w:style w:type="paragraph" w:customStyle="1" w:styleId="172">
    <w:name w:val="标准文件_一级条标题"/>
    <w:basedOn w:val="173"/>
    <w:next w:val="169"/>
    <w:autoRedefine/>
    <w:qFormat/>
    <w:uiPriority w:val="0"/>
    <w:pPr>
      <w:numPr>
        <w:ilvl w:val="2"/>
      </w:numPr>
      <w:spacing w:before="50" w:beforeLines="50" w:after="50" w:afterLines="50"/>
      <w:outlineLvl w:val="1"/>
    </w:pPr>
  </w:style>
  <w:style w:type="paragraph" w:customStyle="1" w:styleId="173">
    <w:name w:val="标准文件_章标题"/>
    <w:next w:val="169"/>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74">
    <w:name w:val="标准文件_正文图标题"/>
    <w:next w:val="169"/>
    <w:autoRedefine/>
    <w:qFormat/>
    <w:uiPriority w:val="0"/>
    <w:pPr>
      <w:numPr>
        <w:ilvl w:val="0"/>
        <w:numId w:val="11"/>
      </w:numPr>
      <w:spacing w:before="50" w:beforeLines="50" w:after="50" w:afterLines="50"/>
      <w:jc w:val="center"/>
    </w:pPr>
    <w:rPr>
      <w:rFonts w:ascii="黑体" w:hAnsi="Times New Roman" w:eastAsia="黑体" w:cs="Times New Roman"/>
      <w:sz w:val="21"/>
      <w:lang w:val="en-US" w:eastAsia="zh-CN" w:bidi="ar-SA"/>
    </w:rPr>
  </w:style>
  <w:style w:type="paragraph" w:customStyle="1" w:styleId="175">
    <w:name w:val="标准文件_二级条标题"/>
    <w:next w:val="169"/>
    <w:autoRedefine/>
    <w:qFormat/>
    <w:uiPriority w:val="0"/>
    <w:pPr>
      <w:widowControl w:val="0"/>
      <w:numPr>
        <w:ilvl w:val="3"/>
        <w:numId w:val="10"/>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76">
    <w:name w:val="标准文件_正文表标题"/>
    <w:next w:val="169"/>
    <w:autoRedefine/>
    <w:qFormat/>
    <w:uiPriority w:val="0"/>
    <w:pPr>
      <w:numPr>
        <w:ilvl w:val="0"/>
        <w:numId w:val="12"/>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77">
    <w:name w:val="标准文件_表格"/>
    <w:basedOn w:val="169"/>
    <w:autoRedefine/>
    <w:qFormat/>
    <w:uiPriority w:val="0"/>
    <w:pPr>
      <w:ind w:firstLine="0" w:firstLineChars="0"/>
      <w:jc w:val="center"/>
    </w:pPr>
    <w:rPr>
      <w:sz w:val="18"/>
    </w:rPr>
  </w:style>
  <w:style w:type="paragraph" w:customStyle="1" w:styleId="178">
    <w:name w:val="标准文件_三级条标题"/>
    <w:basedOn w:val="175"/>
    <w:next w:val="169"/>
    <w:autoRedefine/>
    <w:qFormat/>
    <w:uiPriority w:val="0"/>
    <w:pPr>
      <w:widowControl/>
      <w:numPr>
        <w:ilvl w:val="4"/>
      </w:numPr>
      <w:outlineLvl w:val="3"/>
    </w:pPr>
  </w:style>
  <w:style w:type="paragraph" w:customStyle="1" w:styleId="179">
    <w:name w:val="标准文件_二级无标题"/>
    <w:basedOn w:val="175"/>
    <w:autoRedefine/>
    <w:qFormat/>
    <w:uiPriority w:val="0"/>
    <w:pPr>
      <w:spacing w:before="0" w:beforeLines="0" w:after="0" w:afterLines="0"/>
      <w:outlineLvl w:val="9"/>
    </w:pPr>
    <w:rPr>
      <w:rFonts w:ascii="宋体" w:eastAsia="宋体"/>
    </w:rPr>
  </w:style>
  <w:style w:type="paragraph" w:customStyle="1" w:styleId="180">
    <w:name w:val="标准文件_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table" w:customStyle="1" w:styleId="181">
    <w:name w:val="Table Normal"/>
    <w:basedOn w:val="41"/>
    <w:autoRedefine/>
    <w:qFormat/>
    <w:uiPriority w:val="0"/>
    <w:rPr>
      <w:rFonts w:eastAsia="Times New Roman"/>
    </w:rPr>
    <w:tblPr>
      <w:tblCellMar>
        <w:left w:w="0" w:type="dxa"/>
        <w:right w:w="0" w:type="dxa"/>
      </w:tblCellMar>
    </w:tblPr>
  </w:style>
  <w:style w:type="character" w:customStyle="1" w:styleId="182">
    <w:name w:val="15"/>
    <w:basedOn w:val="43"/>
    <w:autoRedefine/>
    <w:qFormat/>
    <w:uiPriority w:val="0"/>
    <w:rPr>
      <w:rFonts w:hint="eastAsia" w:ascii="等线" w:hAnsi="等线" w:eastAsia="等线"/>
      <w:sz w:val="21"/>
      <w:szCs w:val="21"/>
    </w:rPr>
  </w:style>
  <w:style w:type="paragraph" w:customStyle="1" w:styleId="183">
    <w:name w:val="标准文件_附录图标号"/>
    <w:basedOn w:val="169"/>
    <w:next w:val="169"/>
    <w:autoRedefine/>
    <w:qFormat/>
    <w:uiPriority w:val="0"/>
    <w:pPr>
      <w:numPr>
        <w:ilvl w:val="0"/>
        <w:numId w:val="13"/>
      </w:numPr>
      <w:spacing w:line="14" w:lineRule="exact"/>
      <w:ind w:firstLine="0" w:firstLineChars="0"/>
      <w:jc w:val="center"/>
    </w:pPr>
    <w:rPr>
      <w:rFonts w:ascii="黑体" w:hAnsi="黑体" w:eastAsia="黑体"/>
      <w:vanish/>
      <w:sz w:val="2"/>
      <w:szCs w:val="21"/>
    </w:rPr>
  </w:style>
  <w:style w:type="paragraph" w:customStyle="1" w:styleId="184">
    <w:name w:val="标准文件_附录表标号"/>
    <w:basedOn w:val="169"/>
    <w:next w:val="169"/>
    <w:autoRedefine/>
    <w:qFormat/>
    <w:uiPriority w:val="0"/>
    <w:pPr>
      <w:numPr>
        <w:ilvl w:val="0"/>
        <w:numId w:val="14"/>
      </w:numPr>
      <w:spacing w:line="14" w:lineRule="exact"/>
      <w:ind w:firstLine="0" w:firstLineChars="0"/>
      <w:jc w:val="center"/>
    </w:pPr>
    <w:rPr>
      <w:rFonts w:eastAsia="黑体"/>
      <w:vanish/>
      <w:sz w:val="2"/>
    </w:rPr>
  </w:style>
  <w:style w:type="paragraph" w:customStyle="1" w:styleId="185">
    <w:name w:val="标准文件_附录标识"/>
    <w:next w:val="169"/>
    <w:autoRedefine/>
    <w:qFormat/>
    <w:uiPriority w:val="0"/>
    <w:pPr>
      <w:numPr>
        <w:ilvl w:val="0"/>
        <w:numId w:val="3"/>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186">
    <w:name w:val="标准文件_附录一级条标题"/>
    <w:next w:val="169"/>
    <w:autoRedefine/>
    <w:qFormat/>
    <w:uiPriority w:val="0"/>
    <w:pPr>
      <w:widowControl w:val="0"/>
      <w:numPr>
        <w:ilvl w:val="1"/>
        <w:numId w:val="3"/>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87">
    <w:name w:val="标准文件_附录二级条标题"/>
    <w:basedOn w:val="186"/>
    <w:next w:val="169"/>
    <w:autoRedefine/>
    <w:qFormat/>
    <w:uiPriority w:val="0"/>
    <w:pPr>
      <w:widowControl/>
      <w:numPr>
        <w:ilvl w:val="2"/>
      </w:numPr>
      <w:wordWrap w:val="0"/>
      <w:overflowPunct w:val="0"/>
      <w:autoSpaceDE w:val="0"/>
      <w:autoSpaceDN w:val="0"/>
      <w:textAlignment w:val="baseline"/>
      <w:outlineLvl w:val="3"/>
    </w:pPr>
  </w:style>
  <w:style w:type="paragraph" w:customStyle="1" w:styleId="188">
    <w:name w:val="列表段落1"/>
    <w:basedOn w:val="1"/>
    <w:autoRedefine/>
    <w:qFormat/>
    <w:uiPriority w:val="0"/>
    <w:pPr>
      <w:adjustRightInd/>
      <w:spacing w:line="240" w:lineRule="auto"/>
      <w:ind w:firstLine="420" w:firstLineChars="200"/>
    </w:pPr>
  </w:style>
  <w:style w:type="paragraph" w:customStyle="1" w:styleId="189">
    <w:name w:val="Table Text"/>
    <w:basedOn w:val="1"/>
    <w:autoRedefine/>
    <w:semiHidden/>
    <w:qFormat/>
    <w:uiPriority w:val="0"/>
    <w:rPr>
      <w:rFonts w:ascii="宋体" w:hAnsi="宋体" w:eastAsia="宋体" w:cs="宋体"/>
      <w:sz w:val="21"/>
      <w:szCs w:val="21"/>
      <w:lang w:val="en-US" w:eastAsia="en-US" w:bidi="ar-SA"/>
    </w:rPr>
  </w:style>
  <w:style w:type="paragraph" w:customStyle="1" w:styleId="190">
    <w:name w:val="标准文件_一级项"/>
    <w:autoRedefine/>
    <w:qFormat/>
    <w:uiPriority w:val="0"/>
    <w:pPr>
      <w:numPr>
        <w:ilvl w:val="0"/>
        <w:numId w:val="8"/>
      </w:numPr>
    </w:pPr>
    <w:rPr>
      <w:rFonts w:ascii="宋体" w:hAnsi="Times New Roman" w:eastAsia="宋体" w:cs="Times New Roman"/>
      <w:sz w:val="21"/>
      <w:lang w:val="en-US" w:eastAsia="zh-CN" w:bidi="ar-SA"/>
    </w:rPr>
  </w:style>
  <w:style w:type="paragraph" w:customStyle="1" w:styleId="191">
    <w:name w:val="标准文件_三级无标题"/>
    <w:basedOn w:val="178"/>
    <w:autoRedefine/>
    <w:qFormat/>
    <w:uiPriority w:val="0"/>
    <w:pPr>
      <w:spacing w:before="0" w:beforeLines="0" w:after="0" w:afterLines="0"/>
      <w:outlineLvl w:val="9"/>
    </w:pPr>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D57B-1FEB-4124-B8A9-DCBF421AB3D7}">
  <ds:schemaRefs/>
</ds:datastoreItem>
</file>

<file path=docProps/app.xml><?xml version="1.0" encoding="utf-8"?>
<Properties xmlns="http://schemas.openxmlformats.org/officeDocument/2006/extended-properties" xmlns:vt="http://schemas.openxmlformats.org/officeDocument/2006/docPropsVTypes">
  <Template>02_GZBD标准模板</Template>
  <Pages>4</Pages>
  <Words>1264</Words>
  <Characters>1324</Characters>
  <Lines>17</Lines>
  <Paragraphs>4</Paragraphs>
  <TotalTime>2</TotalTime>
  <ScaleCrop>false</ScaleCrop>
  <LinksUpToDate>false</LinksUpToDate>
  <CharactersWithSpaces>1336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2018-07-04T02:56:00Z</cp:lastPrinted>
  <dcterms:modified xsi:type="dcterms:W3CDTF">2026-08-28T02:56:12Z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91BA3EEC2C9F44B18FC48FD317A9ECC4_13</vt:lpwstr>
  </property>
  <property fmtid="{D5CDD505-2E9C-101B-9397-08002B2CF9AE}" pid="4" name="KSOTemplateDocerSaveRecord">
    <vt:lpwstr>eyJoZGlkIjoiOWQ4ZGY3ZTZlYTg3MDY1ZDA4ZTQ3Y2RhYWYyZThkZDUiLCJ1c2VySWQiOiIzMjQ1OTgwNzkifQ==</vt:lpwstr>
  </property>
</Properties>
</file>