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34361">
      <w:pPr>
        <w:framePr w:w="904" w:h="1540" w:hRule="exact" w:wrap="around" w:vAnchor="page" w:hAnchor="page" w:x="8621" w:y="194"/>
        <w:widowControl/>
        <w:shd w:val="solid" w:color="FFFFFF" w:fill="FFFFFF"/>
        <w:spacing w:line="0" w:lineRule="atLeast"/>
        <w:rPr>
          <w:rFonts w:hint="eastAsia" w:ascii="等线" w:hAnsi="等线" w:eastAsia="等线" w:cs="等线"/>
          <w:b/>
          <w:w w:val="130"/>
          <w:kern w:val="0"/>
          <w:sz w:val="100"/>
          <w:szCs w:val="100"/>
        </w:rPr>
      </w:pPr>
      <w:r>
        <w:rPr>
          <w:rFonts w:hint="eastAsia" w:ascii="等线" w:hAnsi="等线" w:eastAsia="等线" w:cs="等线"/>
          <w:b/>
          <w:w w:val="130"/>
          <w:kern w:val="0"/>
          <w:sz w:val="110"/>
          <w:szCs w:val="110"/>
        </w:rPr>
        <w:t>T</w:t>
      </w:r>
    </w:p>
    <w:p w14:paraId="7E5B73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Cs w:val="22"/>
          <w:lang w:eastAsia="zh-CN"/>
        </w:rPr>
      </w:pPr>
    </w:p>
    <w:p w14:paraId="5BF4A1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黑体" w:hAnsi="黑体" w:eastAsia="黑体" w:cs="黑体"/>
          <w:color w:val="FF0000"/>
          <w:szCs w:val="22"/>
          <w:lang w:val="en-US" w:eastAsia="zh-CN"/>
        </w:rPr>
      </w:pPr>
      <w:r>
        <w:rPr>
          <w:rFonts w:hint="eastAsia" w:ascii="黑体" w:hAnsi="黑体" w:eastAsia="黑体" w:cs="黑体"/>
          <w:szCs w:val="22"/>
        </w:rPr>
        <w:t xml:space="preserve">ICS  </w:t>
      </w:r>
      <w:r>
        <w:rPr>
          <w:rFonts w:hint="eastAsia" w:ascii="黑体" w:hAnsi="黑体" w:eastAsia="黑体" w:cs="黑体"/>
          <w:szCs w:val="22"/>
          <w:lang w:val="en-US" w:eastAsia="zh-CN"/>
        </w:rPr>
        <w:t>23.080</w:t>
      </w:r>
      <w:r>
        <w:rPr>
          <w:rFonts w:hint="eastAsia" w:ascii="黑体" w:hAnsi="黑体" w:eastAsia="黑体" w:cs="黑体"/>
          <w:color w:val="FF0000"/>
          <w:szCs w:val="22"/>
        </w:rPr>
        <w:t xml:space="preserve">   </w:t>
      </w:r>
      <w:r>
        <w:rPr>
          <w:rFonts w:hint="eastAsia" w:ascii="黑体" w:hAnsi="黑体" w:eastAsia="黑体" w:cs="黑体"/>
          <w:color w:val="FF0000"/>
          <w:szCs w:val="22"/>
          <w:lang w:val="en-US" w:eastAsia="zh-CN"/>
        </w:rPr>
        <w:t xml:space="preserve">    </w:t>
      </w:r>
    </w:p>
    <w:p w14:paraId="02484EC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zCs w:val="22"/>
          <w:lang w:val="en-US" w:eastAsia="zh-CN"/>
        </w:rPr>
      </w:pPr>
      <w:r>
        <w:rPr>
          <w:rFonts w:hint="eastAsia" w:ascii="黑体" w:hAnsi="黑体" w:eastAsia="黑体" w:cs="黑体"/>
          <w:szCs w:val="22"/>
        </w:rPr>
        <w:t xml:space="preserve">CCS  </w:t>
      </w:r>
      <w:r>
        <w:rPr>
          <w:rFonts w:hint="eastAsia" w:ascii="黑体" w:hAnsi="黑体" w:eastAsia="黑体" w:cs="黑体"/>
          <w:szCs w:val="22"/>
          <w:lang w:val="en-US" w:eastAsia="zh-CN"/>
        </w:rPr>
        <w:t>J 71</w:t>
      </w:r>
    </w:p>
    <w:p w14:paraId="1373853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zCs w:val="22"/>
          <w:lang w:val="en-US" w:eastAsia="zh-CN"/>
        </w:rPr>
      </w:pPr>
    </w:p>
    <w:p w14:paraId="2ADCE863">
      <w:pPr>
        <w:spacing w:beforeAutospacing="0" w:line="360" w:lineRule="auto"/>
        <w:jc w:val="distribute"/>
        <w:rPr>
          <w:rFonts w:hint="eastAsia" w:ascii="隶属" w:hAnsi="隶属" w:eastAsia="隶属" w:cs="隶属"/>
          <w:b/>
          <w:bCs/>
          <w:sz w:val="84"/>
          <w:szCs w:val="84"/>
        </w:rPr>
      </w:pPr>
      <w:r>
        <w:rPr>
          <w:rFonts w:hint="eastAsia" w:ascii="黑体" w:hAnsi="黑体" w:eastAsia="黑体" w:cs="黑体"/>
          <w:b/>
          <w:bCs/>
          <w:sz w:val="84"/>
          <w:szCs w:val="84"/>
        </w:rPr>
        <w:t>团体标准</w:t>
      </w:r>
    </w:p>
    <w:p w14:paraId="344E3D92">
      <w:pPr>
        <w:wordWrap w:val="0"/>
        <w:spacing w:line="360" w:lineRule="auto"/>
        <w:ind w:right="0" w:rightChars="0"/>
        <w:jc w:val="right"/>
        <w:rPr>
          <w:rFonts w:hint="eastAsia" w:ascii="Times New Roman" w:hAnsi="Times New Roman" w:eastAsia="黑体" w:cs="Times New Roman"/>
          <w:szCs w:val="22"/>
          <w:lang w:eastAsia="zh-CN"/>
        </w:rPr>
      </w:pPr>
      <w:r>
        <w:rPr>
          <w:rFonts w:ascii="Times New Roman" w:hAnsi="Times New Roman" w:eastAsia="宋体" w:cs="Times New Roman"/>
          <w:color w:val="FF0000"/>
          <w:szCs w:val="22"/>
        </w:rPr>
        <w:t xml:space="preserve"> </w:t>
      </w:r>
      <w:r>
        <w:rPr>
          <w:rFonts w:ascii="Times New Roman" w:hAnsi="Times New Roman" w:eastAsia="宋体" w:cs="Times New Roman"/>
          <w:szCs w:val="22"/>
        </w:rPr>
        <w:t xml:space="preserve">  </w:t>
      </w:r>
      <w:r>
        <w:rPr>
          <w:rFonts w:hint="eastAsia" w:ascii="Times New Roman" w:hAnsi="Times New Roman" w:cs="Times New Roman"/>
          <w:szCs w:val="22"/>
          <w:lang w:val="en-US" w:eastAsia="zh-CN"/>
        </w:rPr>
        <w:t xml:space="preserve"> </w:t>
      </w:r>
      <w:r>
        <w:rPr>
          <w:rFonts w:hint="eastAsia" w:ascii="黑体" w:hAnsi="黑体" w:eastAsia="黑体" w:cs="黑体"/>
          <w:sz w:val="28"/>
          <w:szCs w:val="28"/>
        </w:rPr>
        <w:t xml:space="preserve"> T/</w:t>
      </w:r>
      <w:r>
        <w:rPr>
          <w:rFonts w:hint="eastAsia" w:ascii="黑体" w:hAnsi="黑体" w:eastAsia="黑体" w:cs="黑体"/>
          <w:sz w:val="28"/>
          <w:szCs w:val="28"/>
          <w:lang w:val="en-US" w:eastAsia="zh-CN"/>
        </w:rPr>
        <w:t>CWDPA</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XXX</w:t>
      </w:r>
      <w:r>
        <w:rPr>
          <w:rFonts w:hint="eastAsia" w:ascii="黑体" w:hAnsi="黑体" w:eastAsia="黑体" w:cs="黑体"/>
          <w:sz w:val="28"/>
          <w:szCs w:val="28"/>
        </w:rPr>
        <w:t>—202</w:t>
      </w:r>
      <w:r>
        <w:rPr>
          <w:rFonts w:hint="eastAsia" w:ascii="黑体" w:hAnsi="黑体" w:eastAsia="黑体" w:cs="黑体"/>
          <w:sz w:val="28"/>
          <w:szCs w:val="28"/>
          <w:lang w:val="en-US" w:eastAsia="zh-CN"/>
        </w:rPr>
        <w:t>6</w:t>
      </w:r>
    </w:p>
    <w:p w14:paraId="582FB557">
      <w:pPr>
        <w:spacing w:line="360" w:lineRule="auto"/>
        <w:jc w:val="left"/>
        <w:rPr>
          <w:rFonts w:ascii="Times New Roman" w:hAnsi="Times New Roman" w:eastAsia="宋体" w:cs="Times New Roman"/>
          <w:szCs w:val="22"/>
        </w:rPr>
      </w:pPr>
      <w:r>
        <w:rPr>
          <w:rFonts w:ascii="Times New Roman" w:hAnsi="Times New Roman" w:eastAsia="宋体" w:cs="Times New Roman"/>
          <w:szCs w:val="22"/>
        </w:rPr>
        <w:drawing>
          <wp:inline distT="0" distB="0" distL="114300" distR="114300">
            <wp:extent cx="5525770" cy="1079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4"/>
                    <a:stretch>
                      <a:fillRect/>
                    </a:stretch>
                  </pic:blipFill>
                  <pic:spPr>
                    <a:xfrm>
                      <a:off x="0" y="0"/>
                      <a:ext cx="5525770" cy="10795"/>
                    </a:xfrm>
                    <a:prstGeom prst="rect">
                      <a:avLst/>
                    </a:prstGeom>
                    <a:noFill/>
                    <a:ln>
                      <a:noFill/>
                    </a:ln>
                  </pic:spPr>
                </pic:pic>
              </a:graphicData>
            </a:graphic>
          </wp:inline>
        </w:drawing>
      </w:r>
    </w:p>
    <w:p w14:paraId="25AC21B8">
      <w:pPr>
        <w:spacing w:line="360" w:lineRule="auto"/>
        <w:rPr>
          <w:rFonts w:ascii="Times New Roman" w:hAnsi="Times New Roman" w:eastAsia="宋体" w:cs="Times New Roman"/>
          <w:szCs w:val="22"/>
        </w:rPr>
      </w:pPr>
    </w:p>
    <w:p w14:paraId="2E3D06D4">
      <w:pPr>
        <w:spacing w:line="360" w:lineRule="auto"/>
        <w:rPr>
          <w:rFonts w:ascii="Times New Roman" w:hAnsi="Times New Roman" w:eastAsia="宋体" w:cs="Times New Roman"/>
          <w:szCs w:val="22"/>
        </w:rPr>
      </w:pPr>
    </w:p>
    <w:p w14:paraId="118AED41">
      <w:pPr>
        <w:spacing w:line="360" w:lineRule="auto"/>
        <w:jc w:val="center"/>
        <w:rPr>
          <w:rFonts w:ascii="Times New Roman" w:hAnsi="Times New Roman" w:eastAsia="黑体" w:cs="Times New Roman"/>
          <w:sz w:val="52"/>
          <w:szCs w:val="52"/>
        </w:rPr>
      </w:pPr>
    </w:p>
    <w:p w14:paraId="6D94EED4">
      <w:pPr>
        <w:spacing w:line="360" w:lineRule="auto"/>
        <w:jc w:val="center"/>
        <w:rPr>
          <w:rFonts w:ascii="Times New Roman" w:hAnsi="Times New Roman" w:eastAsia="黑体" w:cs="Times New Roman"/>
          <w:sz w:val="52"/>
          <w:szCs w:val="52"/>
        </w:rPr>
      </w:pPr>
    </w:p>
    <w:p w14:paraId="3A02617A">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 w:val="52"/>
          <w:szCs w:val="52"/>
          <w:lang w:val="en-US" w:eastAsia="zh-CN"/>
        </w:rPr>
        <w:t>集成式微型液态金属电磁泵技术规范</w:t>
      </w:r>
    </w:p>
    <w:p w14:paraId="690AD6A7">
      <w:pPr>
        <w:spacing w:line="360" w:lineRule="auto"/>
        <w:jc w:val="center"/>
        <w:rPr>
          <w:rFonts w:hint="eastAsia" w:ascii="Times New Roman" w:hAnsi="Times New Roman" w:eastAsia="黑体" w:cs="Times New Roman"/>
          <w:sz w:val="28"/>
          <w:szCs w:val="28"/>
          <w:lang w:val="en-US" w:eastAsia="zh-CN"/>
        </w:rPr>
      </w:pPr>
      <w:r>
        <w:rPr>
          <w:rFonts w:hint="eastAsia" w:ascii="Times New Roman" w:hAnsi="Times New Roman" w:eastAsia="黑体" w:cs="Times New Roman"/>
          <w:sz w:val="28"/>
          <w:szCs w:val="28"/>
          <w:lang w:val="en-US" w:eastAsia="zh-CN"/>
        </w:rPr>
        <w:t>Technical specification for integrated micro liquid metal electromagnetic pump</w:t>
      </w:r>
    </w:p>
    <w:p w14:paraId="5ECA8331">
      <w:pPr>
        <w:spacing w:line="360" w:lineRule="auto"/>
        <w:jc w:val="both"/>
        <w:rPr>
          <w:rFonts w:ascii="Times New Roman" w:hAnsi="Times New Roman" w:eastAsia="宋体" w:cs="Times New Roman"/>
          <w:szCs w:val="22"/>
        </w:rPr>
      </w:pPr>
    </w:p>
    <w:p w14:paraId="3F30AC6E">
      <w:pPr>
        <w:spacing w:line="360" w:lineRule="auto"/>
        <w:jc w:val="both"/>
        <w:rPr>
          <w:rFonts w:ascii="Times New Roman" w:hAnsi="Times New Roman" w:eastAsia="宋体" w:cs="Times New Roman"/>
          <w:szCs w:val="22"/>
        </w:rPr>
      </w:pPr>
    </w:p>
    <w:p w14:paraId="2EC7DA65">
      <w:pPr>
        <w:spacing w:line="360" w:lineRule="auto"/>
        <w:rPr>
          <w:rFonts w:ascii="Times New Roman" w:hAnsi="Times New Roman" w:eastAsia="宋体" w:cs="Times New Roman"/>
          <w:szCs w:val="22"/>
        </w:rPr>
      </w:pPr>
    </w:p>
    <w:p w14:paraId="4B93F211">
      <w:pPr>
        <w:spacing w:line="360" w:lineRule="auto"/>
        <w:rPr>
          <w:rFonts w:ascii="Times New Roman" w:hAnsi="Times New Roman" w:eastAsia="宋体" w:cs="Times New Roman"/>
          <w:szCs w:val="22"/>
        </w:rPr>
      </w:pPr>
    </w:p>
    <w:p w14:paraId="21EB70ED">
      <w:pPr>
        <w:spacing w:line="360" w:lineRule="auto"/>
        <w:rPr>
          <w:rFonts w:ascii="Times New Roman" w:hAnsi="Times New Roman" w:eastAsia="宋体" w:cs="Times New Roman"/>
          <w:szCs w:val="22"/>
        </w:rPr>
      </w:pPr>
    </w:p>
    <w:p w14:paraId="6B55877D">
      <w:pPr>
        <w:spacing w:line="360" w:lineRule="auto"/>
        <w:rPr>
          <w:rFonts w:ascii="Times New Roman" w:hAnsi="Times New Roman" w:eastAsia="宋体" w:cs="Times New Roman"/>
          <w:szCs w:val="22"/>
        </w:rPr>
      </w:pPr>
    </w:p>
    <w:p w14:paraId="2591B8F7">
      <w:pPr>
        <w:spacing w:line="360" w:lineRule="auto"/>
        <w:jc w:val="left"/>
        <w:rPr>
          <w:rFonts w:ascii="Times New Roman" w:hAnsi="Times New Roman" w:eastAsia="黑体" w:cs="Times New Roman"/>
          <w:sz w:val="28"/>
          <w:szCs w:val="28"/>
        </w:rPr>
      </w:pPr>
    </w:p>
    <w:p w14:paraId="659402C9">
      <w:pPr>
        <w:spacing w:line="360" w:lineRule="auto"/>
        <w:jc w:val="left"/>
        <w:rPr>
          <w:rFonts w:ascii="Times New Roman" w:hAnsi="Times New Roman" w:eastAsia="黑体" w:cs="Times New Roman"/>
          <w:sz w:val="28"/>
          <w:szCs w:val="28"/>
        </w:rPr>
      </w:pPr>
    </w:p>
    <w:p w14:paraId="10943405">
      <w:pPr>
        <w:spacing w:line="360" w:lineRule="auto"/>
        <w:jc w:val="left"/>
        <w:rPr>
          <w:rFonts w:ascii="Times New Roman" w:hAnsi="Times New Roman" w:eastAsia="黑体" w:cs="Times New Roman"/>
          <w:sz w:val="28"/>
          <w:szCs w:val="28"/>
        </w:rPr>
      </w:pPr>
    </w:p>
    <w:p w14:paraId="65A79BEE">
      <w:pPr>
        <w:spacing w:line="360" w:lineRule="auto"/>
        <w:jc w:val="left"/>
        <w:rPr>
          <w:rFonts w:ascii="Times New Roman" w:hAnsi="Times New Roman" w:eastAsia="黑体" w:cs="Times New Roman"/>
          <w:sz w:val="28"/>
          <w:szCs w:val="28"/>
        </w:rPr>
      </w:pPr>
    </w:p>
    <w:p w14:paraId="6533516B">
      <w:pPr>
        <w:spacing w:line="360" w:lineRule="auto"/>
        <w:jc w:val="left"/>
        <w:rPr>
          <w:rFonts w:hint="eastAsia" w:ascii="黑体" w:hAnsi="黑体" w:eastAsia="黑体" w:cs="黑体"/>
          <w:sz w:val="52"/>
          <w:szCs w:val="52"/>
        </w:rPr>
      </w:pPr>
      <w:r>
        <w:rPr>
          <w:rFonts w:hint="eastAsia" w:ascii="黑体" w:hAnsi="黑体" w:eastAsia="黑体" w:cs="黑体"/>
          <w:sz w:val="28"/>
          <w:szCs w:val="28"/>
        </w:rPr>
        <w:t>202</w:t>
      </w:r>
      <w:r>
        <w:rPr>
          <w:rFonts w:hint="eastAsia" w:ascii="黑体" w:hAnsi="黑体" w:eastAsia="黑体" w:cs="黑体"/>
          <w:sz w:val="28"/>
          <w:szCs w:val="28"/>
          <w:lang w:val="en-US" w:eastAsia="zh-CN"/>
        </w:rPr>
        <w:t>6</w:t>
      </w:r>
      <w:r>
        <w:rPr>
          <w:rFonts w:hint="eastAsia" w:ascii="黑体" w:hAnsi="黑体" w:eastAsia="黑体" w:cs="黑体"/>
          <w:sz w:val="28"/>
          <w:szCs w:val="28"/>
        </w:rPr>
        <w:t>-</w:t>
      </w:r>
      <w:r>
        <w:rPr>
          <w:rFonts w:hint="eastAsia" w:ascii="黑体" w:hAnsi="黑体" w:eastAsia="黑体" w:cs="黑体"/>
          <w:sz w:val="28"/>
          <w:szCs w:val="28"/>
          <w:lang w:val="en-US" w:eastAsia="zh-CN"/>
        </w:rPr>
        <w:t>X</w:t>
      </w:r>
      <w:r>
        <w:rPr>
          <w:rFonts w:hint="eastAsia" w:ascii="黑体" w:hAnsi="黑体" w:eastAsia="黑体" w:cs="黑体"/>
          <w:sz w:val="28"/>
          <w:szCs w:val="28"/>
        </w:rPr>
        <w:t>-</w:t>
      </w:r>
      <w:r>
        <w:rPr>
          <w:rFonts w:hint="eastAsia" w:ascii="黑体" w:hAnsi="黑体" w:eastAsia="黑体" w:cs="黑体"/>
          <w:sz w:val="28"/>
          <w:szCs w:val="28"/>
          <w:lang w:val="en-US" w:eastAsia="zh-CN"/>
        </w:rPr>
        <w:t>XX</w:t>
      </w:r>
      <w:r>
        <w:rPr>
          <w:rFonts w:hint="eastAsia" w:ascii="黑体" w:hAnsi="黑体" w:eastAsia="黑体" w:cs="黑体"/>
          <w:sz w:val="28"/>
          <w:szCs w:val="28"/>
        </w:rPr>
        <w:t xml:space="preserve">发布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202</w:t>
      </w:r>
      <w:r>
        <w:rPr>
          <w:rFonts w:hint="eastAsia" w:ascii="黑体" w:hAnsi="黑体" w:eastAsia="黑体" w:cs="黑体"/>
          <w:sz w:val="28"/>
          <w:szCs w:val="28"/>
          <w:lang w:val="en-US" w:eastAsia="zh-CN"/>
        </w:rPr>
        <w:t>6</w:t>
      </w:r>
      <w:r>
        <w:rPr>
          <w:rFonts w:hint="eastAsia" w:ascii="黑体" w:hAnsi="黑体" w:eastAsia="黑体" w:cs="黑体"/>
          <w:sz w:val="28"/>
          <w:szCs w:val="28"/>
        </w:rPr>
        <w:t>-</w:t>
      </w:r>
      <w:r>
        <w:rPr>
          <w:rFonts w:hint="eastAsia" w:ascii="黑体" w:hAnsi="黑体" w:eastAsia="黑体" w:cs="黑体"/>
          <w:sz w:val="28"/>
          <w:szCs w:val="28"/>
          <w:lang w:val="en-US" w:eastAsia="zh-CN"/>
        </w:rPr>
        <w:t>X</w:t>
      </w:r>
      <w:r>
        <w:rPr>
          <w:rFonts w:hint="eastAsia" w:ascii="黑体" w:hAnsi="黑体" w:eastAsia="黑体" w:cs="黑体"/>
          <w:sz w:val="28"/>
          <w:szCs w:val="28"/>
        </w:rPr>
        <w:t>-</w:t>
      </w:r>
      <w:r>
        <w:rPr>
          <w:rFonts w:hint="eastAsia" w:ascii="黑体" w:hAnsi="黑体" w:eastAsia="黑体" w:cs="黑体"/>
          <w:sz w:val="28"/>
          <w:szCs w:val="28"/>
          <w:lang w:val="en-US" w:eastAsia="zh-CN"/>
        </w:rPr>
        <w:t>XX</w:t>
      </w:r>
      <w:r>
        <w:rPr>
          <w:rFonts w:hint="eastAsia" w:ascii="黑体" w:hAnsi="黑体" w:eastAsia="黑体" w:cs="黑体"/>
          <w:sz w:val="28"/>
          <w:szCs w:val="28"/>
        </w:rPr>
        <w:t>实施</w:t>
      </w:r>
    </w:p>
    <w:p w14:paraId="067624B1">
      <w:pPr>
        <w:spacing w:line="360" w:lineRule="auto"/>
        <w:jc w:val="center"/>
        <w:rPr>
          <w:rFonts w:hint="eastAsia" w:ascii="黑体" w:hAnsi="黑体" w:eastAsia="黑体" w:cs="黑体"/>
          <w:szCs w:val="22"/>
        </w:rPr>
        <w:sectPr>
          <w:footerReference r:id="rId8" w:type="first"/>
          <w:footerReference r:id="rId6" w:type="default"/>
          <w:headerReference r:id="rId5" w:type="even"/>
          <w:footerReference r:id="rId7" w:type="even"/>
          <w:type w:val="continuous"/>
          <w:pgSz w:w="11906" w:h="16838"/>
          <w:pgMar w:top="590" w:right="1800" w:bottom="1157" w:left="1463" w:header="851" w:footer="992" w:gutter="0"/>
          <w:pgBorders>
            <w:top w:val="none" w:sz="0" w:space="0"/>
            <w:left w:val="none" w:sz="0" w:space="0"/>
            <w:bottom w:val="none" w:sz="0" w:space="0"/>
            <w:right w:val="none" w:sz="0" w:space="0"/>
          </w:pgBorders>
          <w:pgNumType w:fmt="upperRoman" w:start="2" w:chapStyle="1"/>
          <w:cols w:space="425" w:num="1"/>
          <w:titlePg/>
          <w:docGrid w:type="lines" w:linePitch="312" w:charSpace="0"/>
        </w:sectPr>
      </w:pPr>
      <w:r>
        <w:rPr>
          <w:rFonts w:hint="eastAsia" w:ascii="隶属" w:hAnsi="隶属" w:eastAsia="隶属" w:cs="隶属"/>
          <w:b/>
          <w:bCs/>
          <w:szCs w:val="2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1270</wp:posOffset>
                </wp:positionV>
                <wp:extent cx="5504815" cy="20955"/>
                <wp:effectExtent l="0" t="4445" r="635" b="12700"/>
                <wp:wrapNone/>
                <wp:docPr id="2" name="直接箭头连接符 2"/>
                <wp:cNvGraphicFramePr/>
                <a:graphic xmlns:a="http://schemas.openxmlformats.org/drawingml/2006/main">
                  <a:graphicData uri="http://schemas.microsoft.com/office/word/2010/wordprocessingShape">
                    <wps:wsp>
                      <wps:cNvCnPr/>
                      <wps:spPr>
                        <a:xfrm flipV="1">
                          <a:off x="0" y="0"/>
                          <a:ext cx="5504815" cy="209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y;margin-left:-1.5pt;margin-top:0.1pt;height:1.65pt;width:433.45pt;z-index:251660288;mso-width-relative:page;mso-height-relative:page;" filled="f" stroked="t" coordsize="21600,21600" o:gfxdata="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HtugNUAAAAFAQAADwAAAAAAAAABACAAAAAiAAAA&#10;ZHJzL2Rvd25yZXYueG1sUEsBAhQAFAAAAAgAh07iQJRUPR8KAgAABAQAAA4AAAAAAAAAAQAgAAAA&#10;JAEAAGRycy9lMm9Eb2MueG1sUEsFBgAAAAAGAAYAWQEAAKAFAAAAAA==&#10;">
                <v:fill on="f" focussize="0,0"/>
                <v:stroke color="#000000" joinstyle="round"/>
                <v:imagedata o:title=""/>
                <o:lock v:ext="edit" aspectratio="f"/>
              </v:shape>
            </w:pict>
          </mc:Fallback>
        </mc:AlternateContent>
      </w:r>
      <w:r>
        <w:rPr>
          <w:rFonts w:hint="eastAsia" w:ascii="隶属" w:hAnsi="隶属" w:eastAsia="隶属" w:cs="隶属"/>
          <w:b/>
          <w:bCs/>
          <w:sz w:val="52"/>
          <w:szCs w:val="52"/>
          <w:lang w:eastAsia="zh-CN"/>
        </w:rPr>
        <w:t>中国西部开发促进会</w:t>
      </w:r>
      <w:r>
        <w:rPr>
          <w:rFonts w:hint="eastAsia" w:ascii="黑体" w:hAnsi="黑体" w:eastAsia="黑体" w:cs="黑体"/>
          <w:sz w:val="52"/>
          <w:szCs w:val="52"/>
        </w:rPr>
        <w:t xml:space="preserve"> </w:t>
      </w:r>
      <w:r>
        <w:rPr>
          <w:rFonts w:hint="eastAsia" w:ascii="黑体" w:hAnsi="黑体" w:eastAsia="黑体" w:cs="黑体"/>
          <w:sz w:val="28"/>
          <w:szCs w:val="28"/>
          <w:lang w:val="en-US" w:eastAsia="zh-CN"/>
        </w:rPr>
        <w:t>发 布</w:t>
      </w:r>
      <w:r>
        <w:rPr>
          <w:rFonts w:hint="eastAsia" w:ascii="黑体" w:hAnsi="黑体" w:eastAsia="黑体" w:cs="黑体"/>
          <w:sz w:val="52"/>
          <w:szCs w:val="52"/>
        </w:rPr>
        <w:t xml:space="preserve"> </w:t>
      </w:r>
    </w:p>
    <w:p w14:paraId="7EA1BE5F">
      <w:pPr>
        <w:pStyle w:val="94"/>
        <w:keepNext w:val="0"/>
        <w:keepLines w:val="0"/>
        <w:pageBreakBefore w:val="0"/>
        <w:widowControl w:val="0"/>
        <w:kinsoku/>
        <w:wordWrap/>
        <w:overflowPunct/>
        <w:topLinePunct w:val="0"/>
        <w:autoSpaceDE/>
        <w:autoSpaceDN/>
        <w:bidi w:val="0"/>
        <w:adjustRightInd w:val="0"/>
        <w:snapToGrid/>
        <w:spacing w:before="850" w:after="680" w:afterLines="0"/>
        <w:textAlignment w:val="auto"/>
      </w:pPr>
      <w:bookmarkStart w:id="0" w:name="BookMark1"/>
      <w:r>
        <w:rPr>
          <w:spacing w:val="320"/>
        </w:rPr>
        <w:t>目</w:t>
      </w:r>
      <w:r>
        <w:t>次</w:t>
      </w:r>
    </w:p>
    <w:p w14:paraId="25CE6828">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TOC \o "1-1" \h \t "标准文件_一级条标题,2,标准文件_附录一级条标题,2,"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_Toc11657 </w:instrText>
      </w:r>
      <w:r>
        <w:rPr>
          <w:rFonts w:hint="eastAsia" w:ascii="宋体" w:hAnsi="宋体" w:eastAsia="宋体" w:cs="宋体"/>
        </w:rPr>
        <w:fldChar w:fldCharType="separate"/>
      </w:r>
      <w:r>
        <w:rPr>
          <w:rFonts w:hint="eastAsia" w:ascii="宋体" w:hAnsi="宋体" w:eastAsia="宋体" w:cs="宋体"/>
          <w:lang w:eastAsia="zh-CN"/>
        </w:rPr>
        <w:t>前</w:t>
      </w:r>
      <w:r>
        <w:rPr>
          <w:rFonts w:hint="eastAsia" w:ascii="宋体" w:hAnsi="宋体" w:eastAsia="宋体" w:cs="宋体"/>
        </w:rPr>
        <w:t>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_Toc11657 \h </w:instrText>
      </w:r>
      <w:r>
        <w:rPr>
          <w:rFonts w:hint="eastAsia" w:ascii="宋体" w:hAnsi="宋体" w:eastAsia="宋体" w:cs="宋体"/>
        </w:rPr>
        <w:fldChar w:fldCharType="separate"/>
      </w:r>
      <w:r>
        <w:rPr>
          <w:rFonts w:hint="eastAsia" w:ascii="宋体" w:hAnsi="宋体" w:eastAsia="宋体" w:cs="宋体"/>
        </w:rPr>
        <w:t>III</w:t>
      </w:r>
      <w:r>
        <w:rPr>
          <w:rFonts w:hint="eastAsia" w:ascii="宋体" w:hAnsi="宋体" w:eastAsia="宋体" w:cs="宋体"/>
        </w:rPr>
        <w:fldChar w:fldCharType="end"/>
      </w:r>
      <w:r>
        <w:rPr>
          <w:rFonts w:hint="eastAsia" w:ascii="宋体" w:hAnsi="宋体" w:eastAsia="宋体" w:cs="宋体"/>
        </w:rPr>
        <w:fldChar w:fldCharType="end"/>
      </w:r>
    </w:p>
    <w:p w14:paraId="3B72E3F8">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_Toc7001 </w:instrText>
      </w:r>
      <w:r>
        <w:rPr>
          <w:rFonts w:hint="eastAsia" w:ascii="宋体" w:hAnsi="宋体" w:eastAsia="宋体" w:cs="宋体"/>
        </w:rPr>
        <w:fldChar w:fldCharType="separate"/>
      </w:r>
      <w:r>
        <w:rPr>
          <w:rFonts w:hint="eastAsia" w:ascii="宋体" w:hAnsi="宋体" w:eastAsia="宋体" w:cs="宋体"/>
          <w:i w:val="0"/>
        </w:rPr>
        <w:t xml:space="preserve">1 </w:t>
      </w:r>
      <w:r>
        <w:rPr>
          <w:rFonts w:hint="eastAsia" w:ascii="宋体" w:hAnsi="宋体" w:eastAsia="宋体" w:cs="宋体"/>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_Toc7001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31BCC36">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_Toc32237 </w:instrText>
      </w:r>
      <w:r>
        <w:rPr>
          <w:rFonts w:hint="eastAsia" w:ascii="宋体" w:hAnsi="宋体" w:eastAsia="宋体" w:cs="宋体"/>
        </w:rPr>
        <w:fldChar w:fldCharType="separate"/>
      </w:r>
      <w:r>
        <w:rPr>
          <w:rFonts w:hint="eastAsia" w:ascii="宋体" w:hAnsi="宋体" w:eastAsia="宋体" w:cs="宋体"/>
          <w:i w:val="0"/>
        </w:rPr>
        <w:t xml:space="preserve">2 </w:t>
      </w:r>
      <w:r>
        <w:rPr>
          <w:rFonts w:hint="eastAsia" w:ascii="宋体" w:hAnsi="宋体" w:eastAsia="宋体" w:cs="宋体"/>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_Toc32237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B5A3FF1">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_Toc12741 </w:instrText>
      </w:r>
      <w:r>
        <w:rPr>
          <w:rFonts w:hint="eastAsia" w:ascii="宋体" w:hAnsi="宋体" w:eastAsia="宋体" w:cs="宋体"/>
        </w:rPr>
        <w:fldChar w:fldCharType="separate"/>
      </w:r>
      <w:r>
        <w:rPr>
          <w:rFonts w:hint="eastAsia" w:ascii="宋体" w:hAnsi="宋体" w:eastAsia="宋体" w:cs="宋体"/>
          <w:i w:val="0"/>
        </w:rPr>
        <w:t xml:space="preserve">3 </w:t>
      </w:r>
      <w:r>
        <w:rPr>
          <w:rFonts w:hint="eastAsia" w:ascii="宋体" w:hAnsi="宋体" w:eastAsia="宋体" w:cs="宋体"/>
          <w:szCs w:val="21"/>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_Toc12741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1476D5C">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_Toc4061 </w:instrText>
      </w:r>
      <w:r>
        <w:rPr>
          <w:rFonts w:hint="eastAsia" w:ascii="宋体" w:hAnsi="宋体" w:eastAsia="宋体" w:cs="宋体"/>
        </w:rPr>
        <w:fldChar w:fldCharType="separate"/>
      </w:r>
      <w:r>
        <w:rPr>
          <w:rFonts w:hint="eastAsia" w:ascii="宋体" w:hAnsi="宋体" w:eastAsia="宋体" w:cs="宋体"/>
          <w:i w:val="0"/>
          <w:szCs w:val="21"/>
        </w:rPr>
        <w:t xml:space="preserve">4 </w:t>
      </w:r>
      <w:r>
        <w:rPr>
          <w:rFonts w:hint="eastAsia" w:ascii="宋体" w:hAnsi="宋体" w:eastAsia="宋体" w:cs="宋体"/>
          <w:szCs w:val="21"/>
        </w:rPr>
        <w:t>分类与型号命名</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_Toc4061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6BE8F1BE">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_Toc24219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rPr>
          <w:rFonts w:hint="eastAsia" w:ascii="宋体" w:hAnsi="宋体" w:eastAsia="宋体" w:cs="宋体"/>
          <w:lang w:val="en-US" w:eastAsia="zh-CN" w:bidi="ar-SA"/>
        </w:rPr>
        <w:t>分类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_Toc24219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C627C2D">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_Toc18314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rPr>
          <w:rFonts w:hint="eastAsia" w:ascii="宋体" w:hAnsi="宋体" w:eastAsia="宋体" w:cs="宋体"/>
          <w:lang w:val="en-US" w:eastAsia="zh-CN" w:bidi="ar-SA"/>
        </w:rPr>
        <w:t>型号命名</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_Toc18314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E0163C7">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_Toc31668 </w:instrText>
      </w:r>
      <w:r>
        <w:rPr>
          <w:rFonts w:hint="eastAsia" w:ascii="宋体" w:hAnsi="宋体" w:eastAsia="宋体" w:cs="宋体"/>
        </w:rPr>
        <w:fldChar w:fldCharType="separate"/>
      </w:r>
      <w:r>
        <w:rPr>
          <w:rFonts w:hint="eastAsia" w:ascii="宋体" w:hAnsi="宋体" w:eastAsia="宋体" w:cs="宋体"/>
          <w:i w:val="0"/>
          <w:szCs w:val="21"/>
        </w:rPr>
        <w:t xml:space="preserve">5 </w:t>
      </w:r>
      <w:r>
        <w:rPr>
          <w:rFonts w:hint="eastAsia" w:ascii="宋体" w:hAnsi="宋体" w:eastAsia="宋体" w:cs="宋体"/>
          <w:szCs w:val="21"/>
        </w:rPr>
        <w:t>技术要求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_Toc31668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EB69F54">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_Toc1798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 </w:t>
      </w:r>
      <w:r>
        <w:rPr>
          <w:rFonts w:hint="eastAsia" w:ascii="宋体" w:hAnsi="宋体" w:eastAsia="宋体" w:cs="宋体"/>
          <w:lang w:val="en-US" w:eastAsia="zh-CN" w:bidi="ar-SA"/>
        </w:rPr>
        <w:t>基本要求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_Toc1798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369CBB3C">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_Toc20368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 </w:t>
      </w:r>
      <w:r>
        <w:rPr>
          <w:rFonts w:hint="eastAsia" w:ascii="宋体" w:hAnsi="宋体" w:eastAsia="宋体" w:cs="宋体"/>
          <w:lang w:val="en-US" w:eastAsia="zh-CN" w:bidi="ar-SA"/>
        </w:rPr>
        <w:t>外观与结构要求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_Toc20368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219B7FD3">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_Toc20639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5.3 </w:t>
      </w:r>
      <w:r>
        <w:rPr>
          <w:rFonts w:hint="eastAsia" w:ascii="宋体" w:hAnsi="宋体" w:eastAsia="宋体" w:cs="宋体"/>
          <w:lang w:val="en-US" w:eastAsia="zh-CN" w:bidi="ar-SA"/>
        </w:rPr>
        <w:t>尺寸与公差要求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_Toc20639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3895D5A6">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_Toc11994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5.4 </w:t>
      </w:r>
      <w:r>
        <w:rPr>
          <w:rFonts w:hint="eastAsia" w:ascii="宋体" w:hAnsi="宋体" w:eastAsia="宋体" w:cs="宋体"/>
          <w:lang w:val="en-US" w:eastAsia="zh-CN" w:bidi="ar-SA"/>
        </w:rPr>
        <w:t>材料要求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_Toc11994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24A96B1">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_Toc23461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5.5 </w:t>
      </w:r>
      <w:r>
        <w:rPr>
          <w:rFonts w:hint="eastAsia" w:ascii="宋体" w:hAnsi="宋体" w:eastAsia="宋体" w:cs="宋体"/>
          <w:lang w:val="en-US" w:eastAsia="zh-CN" w:bidi="ar-SA"/>
        </w:rPr>
        <w:t>性能要求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_Toc23461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1B0E5C39">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_Toc31683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5.6 </w:t>
      </w:r>
      <w:r>
        <w:rPr>
          <w:rFonts w:hint="eastAsia" w:ascii="宋体" w:hAnsi="宋体" w:eastAsia="宋体" w:cs="宋体"/>
          <w:lang w:val="en-US" w:eastAsia="zh-CN" w:bidi="ar-SA"/>
        </w:rPr>
        <w:t>电气安全要求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_Toc31683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05D52E9E">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_Toc28953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5.7 </w:t>
      </w:r>
      <w:r>
        <w:rPr>
          <w:rFonts w:hint="eastAsia" w:ascii="宋体" w:hAnsi="宋体" w:eastAsia="宋体" w:cs="宋体"/>
          <w:lang w:val="en-US" w:eastAsia="zh-CN" w:bidi="ar-SA"/>
        </w:rPr>
        <w:t>磁场性能要求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_Toc28953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29EF4F56">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_Toc29820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5.8 </w:t>
      </w:r>
      <w:r>
        <w:rPr>
          <w:rFonts w:hint="eastAsia" w:ascii="宋体" w:hAnsi="宋体" w:eastAsia="宋体" w:cs="宋体"/>
          <w:lang w:val="en-US" w:eastAsia="zh-CN" w:bidi="ar-SA"/>
        </w:rPr>
        <w:t>密封性能要求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_Toc29820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37D4C58F">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_Toc21203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5.9 </w:t>
      </w:r>
      <w:r>
        <w:rPr>
          <w:rFonts w:hint="eastAsia" w:ascii="宋体" w:hAnsi="宋体" w:eastAsia="宋体" w:cs="宋体"/>
          <w:lang w:val="en-US" w:eastAsia="zh-CN" w:bidi="ar-SA"/>
        </w:rPr>
        <w:t>温度要求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_Toc21203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270E4E84">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_Toc1594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5.10 </w:t>
      </w:r>
      <w:r>
        <w:rPr>
          <w:rFonts w:hint="eastAsia" w:ascii="宋体" w:hAnsi="宋体" w:eastAsia="宋体" w:cs="宋体"/>
          <w:lang w:val="en-US" w:eastAsia="zh-CN" w:bidi="ar-SA"/>
        </w:rPr>
        <w:t>噪声与振动要求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_Toc1594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0C72847D">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_Toc10481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5.11 </w:t>
      </w:r>
      <w:r>
        <w:rPr>
          <w:rFonts w:hint="eastAsia" w:ascii="宋体" w:hAnsi="宋体" w:eastAsia="宋体" w:cs="宋体"/>
          <w:lang w:val="en-US" w:eastAsia="zh-CN" w:bidi="ar-SA"/>
        </w:rPr>
        <w:t>耐久性要求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_Toc10481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76A60E8F">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_Toc20858 </w:instrText>
      </w:r>
      <w:r>
        <w:rPr>
          <w:rFonts w:hint="eastAsia" w:ascii="宋体" w:hAnsi="宋体" w:eastAsia="宋体" w:cs="宋体"/>
        </w:rPr>
        <w:fldChar w:fldCharType="separate"/>
      </w:r>
      <w:r>
        <w:rPr>
          <w:rFonts w:hint="eastAsia" w:ascii="宋体" w:hAnsi="宋体" w:eastAsia="宋体" w:cs="宋体"/>
          <w:i w:val="0"/>
          <w:szCs w:val="21"/>
        </w:rPr>
        <w:t xml:space="preserve">6 </w:t>
      </w:r>
      <w:r>
        <w:rPr>
          <w:rFonts w:hint="eastAsia" w:ascii="宋体" w:hAnsi="宋体" w:eastAsia="宋体" w:cs="宋体"/>
          <w:szCs w:val="21"/>
        </w:rPr>
        <w:t>试验方法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_Toc20858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65B491DA">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_Toc3970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 </w:t>
      </w:r>
      <w:r>
        <w:rPr>
          <w:rFonts w:hint="eastAsia" w:ascii="宋体" w:hAnsi="宋体" w:eastAsia="宋体" w:cs="宋体"/>
          <w:lang w:val="en-US" w:eastAsia="zh-CN" w:bidi="ar-SA"/>
        </w:rPr>
        <w:t>试验条件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_Toc3970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4BC6C169">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_Toc12654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6.2 </w:t>
      </w:r>
      <w:r>
        <w:rPr>
          <w:rFonts w:hint="eastAsia" w:ascii="宋体" w:hAnsi="宋体" w:eastAsia="宋体" w:cs="宋体"/>
          <w:lang w:val="en-US" w:eastAsia="zh-CN" w:bidi="ar-SA"/>
        </w:rPr>
        <w:t>外观与结构试验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_Toc12654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5BFA8812">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_Toc28367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6.3 </w:t>
      </w:r>
      <w:r>
        <w:rPr>
          <w:rFonts w:hint="eastAsia" w:ascii="宋体" w:hAnsi="宋体" w:eastAsia="宋体" w:cs="宋体"/>
          <w:lang w:val="en-US" w:eastAsia="zh-CN" w:bidi="ar-SA"/>
        </w:rPr>
        <w:t>尺寸与公差试验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_Toc28367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62CCF231">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_Toc26543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6.4 </w:t>
      </w:r>
      <w:r>
        <w:rPr>
          <w:rFonts w:hint="eastAsia" w:ascii="宋体" w:hAnsi="宋体" w:eastAsia="宋体" w:cs="宋体"/>
          <w:lang w:val="en-US" w:eastAsia="zh-CN" w:bidi="ar-SA"/>
        </w:rPr>
        <w:t>材料试验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_Toc26543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47F49363">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_Toc23220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6.5 </w:t>
      </w:r>
      <w:r>
        <w:rPr>
          <w:rFonts w:hint="eastAsia" w:ascii="宋体" w:hAnsi="宋体" w:eastAsia="宋体" w:cs="宋体"/>
          <w:lang w:val="en-US" w:eastAsia="zh-CN" w:bidi="ar-SA"/>
        </w:rPr>
        <w:t>性能试验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_Toc23220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2013EF34">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_Toc22188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6.6 </w:t>
      </w:r>
      <w:r>
        <w:rPr>
          <w:rFonts w:hint="eastAsia" w:ascii="宋体" w:hAnsi="宋体" w:eastAsia="宋体" w:cs="宋体"/>
          <w:lang w:val="en-US" w:eastAsia="zh-CN" w:bidi="ar-SA"/>
        </w:rPr>
        <w:t>电气安全试验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_Toc22188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23851AD6">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_Toc23004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6.7 </w:t>
      </w:r>
      <w:r>
        <w:rPr>
          <w:rFonts w:hint="eastAsia" w:ascii="宋体" w:hAnsi="宋体" w:eastAsia="宋体" w:cs="宋体"/>
          <w:lang w:val="en-US" w:eastAsia="zh-CN" w:bidi="ar-SA"/>
        </w:rPr>
        <w:t>磁场性能试验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_Toc23004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2791A06B">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_Toc18547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6.8 </w:t>
      </w:r>
      <w:r>
        <w:rPr>
          <w:rFonts w:hint="eastAsia" w:ascii="宋体" w:hAnsi="宋体" w:eastAsia="宋体" w:cs="宋体"/>
          <w:lang w:val="en-US" w:eastAsia="zh-CN" w:bidi="ar-SA"/>
        </w:rPr>
        <w:t>密封性能试验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_Toc18547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3BE75449">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_Toc15339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6.9 </w:t>
      </w:r>
      <w:r>
        <w:rPr>
          <w:rFonts w:hint="eastAsia" w:ascii="宋体" w:hAnsi="宋体" w:eastAsia="宋体" w:cs="宋体"/>
          <w:lang w:val="en-US" w:eastAsia="zh-CN" w:bidi="ar-SA"/>
        </w:rPr>
        <w:t>温度试验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_Toc15339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34D00324">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_Toc27836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6.10 </w:t>
      </w:r>
      <w:r>
        <w:rPr>
          <w:rFonts w:hint="eastAsia" w:ascii="宋体" w:hAnsi="宋体" w:eastAsia="宋体" w:cs="宋体"/>
          <w:lang w:val="en-US" w:eastAsia="zh-CN" w:bidi="ar-SA"/>
        </w:rPr>
        <w:t>噪声与振动试验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_Toc27836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4D4AA1D4">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_Toc7633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6.11 </w:t>
      </w:r>
      <w:r>
        <w:rPr>
          <w:rFonts w:hint="eastAsia" w:ascii="宋体" w:hAnsi="宋体" w:eastAsia="宋体" w:cs="宋体"/>
          <w:lang w:val="en-US" w:eastAsia="zh-CN" w:bidi="ar-SA"/>
        </w:rPr>
        <w:t>耐久性试验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_Toc7633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3448E6D0">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_Toc20580 </w:instrText>
      </w:r>
      <w:r>
        <w:rPr>
          <w:rFonts w:hint="eastAsia" w:ascii="宋体" w:hAnsi="宋体" w:eastAsia="宋体" w:cs="宋体"/>
        </w:rPr>
        <w:fldChar w:fldCharType="separate"/>
      </w:r>
      <w:r>
        <w:rPr>
          <w:rFonts w:hint="eastAsia" w:ascii="宋体" w:hAnsi="宋体" w:eastAsia="宋体" w:cs="宋体"/>
          <w:i w:val="0"/>
          <w:szCs w:val="21"/>
        </w:rPr>
        <w:t xml:space="preserve">7 </w:t>
      </w:r>
      <w:r>
        <w:rPr>
          <w:rFonts w:hint="eastAsia" w:ascii="宋体" w:hAnsi="宋体" w:eastAsia="宋体" w:cs="宋体"/>
          <w:szCs w:val="21"/>
        </w:rPr>
        <w:t>检验规则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_Toc20580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2995590B">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_Toc30176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7.1 </w:t>
      </w:r>
      <w:r>
        <w:rPr>
          <w:rFonts w:hint="eastAsia" w:ascii="宋体" w:hAnsi="宋体" w:eastAsia="宋体" w:cs="宋体"/>
          <w:lang w:val="en-US" w:eastAsia="zh-CN" w:bidi="ar-SA"/>
        </w:rPr>
        <w:t>检验分类</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_Toc30176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3B8C787C">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_Toc25025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7.2 </w:t>
      </w:r>
      <w:r>
        <w:rPr>
          <w:rFonts w:hint="eastAsia" w:ascii="宋体" w:hAnsi="宋体" w:eastAsia="宋体" w:cs="宋体"/>
          <w:lang w:val="en-US" w:eastAsia="zh-CN" w:bidi="ar-SA"/>
        </w:rPr>
        <w:t>出厂检验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_Toc25025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024E34E2">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_Toc3413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 </w:t>
      </w:r>
      <w:r>
        <w:rPr>
          <w:rFonts w:hint="eastAsia" w:ascii="宋体" w:hAnsi="宋体" w:eastAsia="宋体" w:cs="宋体"/>
          <w:lang w:val="en-US" w:eastAsia="zh-CN" w:bidi="ar-SA"/>
        </w:rPr>
        <w:t>型式检验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_Toc3413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20B9AD51">
      <w:pPr>
        <w:pStyle w:val="20"/>
        <w:tabs>
          <w:tab w:val="right" w:leader="dot" w:pos="935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_Toc28775 </w:instrText>
      </w:r>
      <w:r>
        <w:rPr>
          <w:rFonts w:hint="eastAsia" w:ascii="宋体" w:hAnsi="宋体" w:eastAsia="宋体" w:cs="宋体"/>
        </w:rPr>
        <w:fldChar w:fldCharType="separate"/>
      </w:r>
      <w:r>
        <w:rPr>
          <w:rFonts w:hint="eastAsia" w:ascii="宋体" w:hAnsi="宋体" w:eastAsia="宋体" w:cs="宋体"/>
          <w:i w:val="0"/>
          <w:szCs w:val="21"/>
        </w:rPr>
        <w:t xml:space="preserve">8 </w:t>
      </w:r>
      <w:r>
        <w:rPr>
          <w:rFonts w:hint="eastAsia" w:ascii="宋体" w:hAnsi="宋体" w:eastAsia="宋体" w:cs="宋体"/>
          <w:szCs w:val="21"/>
        </w:rPr>
        <w:t>标志、包装、运输和贮存</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_Toc28775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21399078">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_Toc15223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8.1 </w:t>
      </w:r>
      <w:r>
        <w:rPr>
          <w:rFonts w:hint="eastAsia" w:ascii="宋体" w:hAnsi="宋体" w:eastAsia="宋体" w:cs="宋体"/>
          <w:lang w:val="en-US" w:eastAsia="zh-CN" w:bidi="ar-SA"/>
        </w:rPr>
        <w:t>标志</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_Toc15223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4C712ACF">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_Toc19552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8.2 </w:t>
      </w:r>
      <w:r>
        <w:rPr>
          <w:rFonts w:hint="eastAsia" w:ascii="宋体" w:hAnsi="宋体" w:eastAsia="宋体" w:cs="宋体"/>
          <w:lang w:val="en-US" w:eastAsia="zh-CN" w:bidi="ar-SA"/>
        </w:rPr>
        <w:t>包装</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_Toc19552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42A502EC">
      <w:pPr>
        <w:pStyle w:val="25"/>
        <w:tabs>
          <w:tab w:val="right" w:leader="dot" w:pos="9354"/>
          <w:tab w:val="clear" w:pos="9344"/>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_Toc5765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8.3 </w:t>
      </w:r>
      <w:r>
        <w:rPr>
          <w:rFonts w:hint="eastAsia" w:ascii="宋体" w:hAnsi="宋体" w:eastAsia="宋体" w:cs="宋体"/>
          <w:lang w:val="en-US" w:eastAsia="zh-CN" w:bidi="ar-SA"/>
        </w:rPr>
        <w:t>运输</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_Toc5765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363C59BC">
      <w:pPr>
        <w:pStyle w:val="25"/>
        <w:tabs>
          <w:tab w:val="right" w:leader="dot" w:pos="9354"/>
          <w:tab w:val="clear" w:pos="9344"/>
        </w:tabs>
      </w:pPr>
      <w:r>
        <w:rPr>
          <w:rFonts w:hint="eastAsia" w:ascii="宋体" w:hAnsi="宋体" w:eastAsia="宋体" w:cs="宋体"/>
        </w:rPr>
        <w:fldChar w:fldCharType="begin"/>
      </w:r>
      <w:r>
        <w:rPr>
          <w:rFonts w:hint="eastAsia" w:ascii="宋体" w:hAnsi="宋体" w:eastAsia="宋体" w:cs="宋体"/>
        </w:rPr>
        <w:instrText xml:space="preserve"> HYPERLINK \l _Toc2025 </w:instrText>
      </w:r>
      <w:r>
        <w:rPr>
          <w:rFonts w:hint="eastAsia" w:ascii="宋体" w:hAnsi="宋体" w:eastAsia="宋体" w:cs="宋体"/>
        </w:rPr>
        <w:fldChar w:fldCharType="separate"/>
      </w:r>
      <w:r>
        <w:rPr>
          <w:rFonts w:hint="eastAsia" w:ascii="宋体" w:hAnsi="宋体" w:eastAsia="宋体" w:cs="宋体"/>
          <w:bCs w:val="0"/>
          <w:i w:val="0"/>
          <w:iCs w:val="0"/>
          <w:caps w:val="0"/>
          <w:smallCaps w:val="0"/>
          <w:strike w:val="0"/>
          <w:dstrike w:val="0"/>
          <w:vanish w:val="0"/>
          <w:spacing w:val="0"/>
          <w:kern w:val="0"/>
          <w:position w:val="0"/>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8.4 </w:t>
      </w:r>
      <w:r>
        <w:rPr>
          <w:rFonts w:hint="eastAsia" w:ascii="宋体" w:hAnsi="宋体" w:eastAsia="宋体" w:cs="宋体"/>
          <w:lang w:val="en-US" w:eastAsia="zh-CN" w:bidi="ar-SA"/>
        </w:rPr>
        <w:t>贮存</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_Toc2025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034B4C16">
      <w:pPr>
        <w:pStyle w:val="20"/>
        <w:tabs>
          <w:tab w:val="right" w:leader="dot" w:pos="9354"/>
        </w:tabs>
        <w:rPr>
          <w:rFonts w:hint="eastAsia" w:eastAsia="宋体"/>
          <w:lang w:eastAsia="zh-CN"/>
        </w:rPr>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rPr>
          <w:rFonts w:hint="eastAsia" w:ascii="宋体" w:hAnsi="宋体" w:eastAsia="宋体" w:cs="宋体"/>
        </w:rPr>
        <w:fldChar w:fldCharType="end"/>
      </w:r>
    </w:p>
    <w:bookmarkEnd w:id="0"/>
    <w:p w14:paraId="77D679C7">
      <w:pPr>
        <w:pStyle w:val="92"/>
        <w:keepNext w:val="0"/>
        <w:keepLines w:val="0"/>
        <w:pageBreakBefore w:val="0"/>
        <w:widowControl/>
        <w:kinsoku/>
        <w:wordWrap/>
        <w:overflowPunct/>
        <w:topLinePunct w:val="0"/>
        <w:autoSpaceDE/>
        <w:autoSpaceDN/>
        <w:bidi w:val="0"/>
        <w:adjustRightInd/>
        <w:snapToGrid/>
        <w:spacing w:before="850" w:after="680" w:afterLines="0"/>
        <w:ind w:left="425" w:hanging="425"/>
        <w:textAlignment w:val="auto"/>
      </w:pPr>
      <w:bookmarkStart w:id="1" w:name="_Toc3964"/>
      <w:bookmarkStart w:id="2" w:name="_Toc11657"/>
      <w:bookmarkStart w:id="3" w:name="BookMark2"/>
      <w:r>
        <w:rPr>
          <w:rFonts w:hint="eastAsia"/>
          <w:lang w:eastAsia="zh-CN"/>
        </w:rPr>
        <w:t>前</w:t>
      </w:r>
      <w:r>
        <w:t>言</w:t>
      </w:r>
      <w:bookmarkEnd w:id="1"/>
      <w:bookmarkEnd w:id="2"/>
    </w:p>
    <w:p w14:paraId="144B386C">
      <w:pPr>
        <w:pStyle w:val="59"/>
        <w:ind w:firstLine="420"/>
        <w:rPr>
          <w:rFonts w:hint="eastAsia"/>
        </w:rPr>
      </w:pPr>
      <w:r>
        <w:rPr>
          <w:rFonts w:hint="eastAsia"/>
        </w:rPr>
        <w:t>本文件按照GB/T 1.1—2020《标准化工作导则</w:t>
      </w:r>
      <w:r>
        <w:rPr>
          <w:rFonts w:hint="eastAsia"/>
          <w:lang w:val="en-US" w:eastAsia="zh-CN"/>
        </w:rPr>
        <w:t xml:space="preserve"> </w:t>
      </w:r>
      <w:r>
        <w:rPr>
          <w:rFonts w:hint="eastAsia"/>
        </w:rPr>
        <w:t xml:space="preserve"> 第1部分：标准化文件的结构和起草规则》的规定起草。</w:t>
      </w:r>
    </w:p>
    <w:p w14:paraId="4624CC82">
      <w:pPr>
        <w:pStyle w:val="59"/>
        <w:ind w:firstLine="420"/>
        <w:rPr>
          <w:rFonts w:hint="eastAsia"/>
        </w:rPr>
      </w:pPr>
      <w:r>
        <w:rPr>
          <w:rFonts w:hint="eastAsia"/>
        </w:rPr>
        <w:t>请注意本文件的某些内容可能涉及专利。本文件的发布机构不承担识别专利的责任。</w:t>
      </w:r>
    </w:p>
    <w:p w14:paraId="778D99D7">
      <w:pPr>
        <w:pStyle w:val="59"/>
        <w:ind w:firstLine="420"/>
        <w:rPr>
          <w:rFonts w:hint="eastAsia"/>
        </w:rPr>
      </w:pPr>
      <w:r>
        <w:rPr>
          <w:rFonts w:hint="eastAsia"/>
        </w:rPr>
        <w:t>本文件由</w:t>
      </w:r>
      <w:r>
        <w:rPr>
          <w:rFonts w:hint="eastAsia"/>
          <w:lang w:eastAsia="zh-CN"/>
        </w:rPr>
        <w:t>中国西部开发促进会</w:t>
      </w:r>
      <w:r>
        <w:rPr>
          <w:rFonts w:hint="eastAsia"/>
        </w:rPr>
        <w:t>提出</w:t>
      </w:r>
      <w:r>
        <w:rPr>
          <w:rFonts w:hint="eastAsia"/>
          <w:lang w:val="en-US" w:eastAsia="zh-CN"/>
        </w:rPr>
        <w:t>并</w:t>
      </w:r>
      <w:r>
        <w:rPr>
          <w:rFonts w:hint="eastAsia"/>
        </w:rPr>
        <w:t>归口。</w:t>
      </w:r>
    </w:p>
    <w:p w14:paraId="1D8903AA">
      <w:pPr>
        <w:pStyle w:val="59"/>
        <w:ind w:firstLine="420"/>
        <w:rPr>
          <w:rFonts w:hint="eastAsia"/>
          <w:lang w:eastAsia="zh-CN"/>
        </w:rPr>
      </w:pPr>
      <w:r>
        <w:rPr>
          <w:rFonts w:hint="eastAsia"/>
          <w:lang w:eastAsia="zh-CN"/>
        </w:rPr>
        <w:t>本文件起草单位：。</w:t>
      </w:r>
    </w:p>
    <w:p w14:paraId="5B31DD22">
      <w:pPr>
        <w:pStyle w:val="59"/>
        <w:ind w:firstLine="420"/>
        <w:rPr>
          <w:rFonts w:hint="eastAsia" w:eastAsia="宋体"/>
          <w:lang w:val="en-US" w:eastAsia="zh-CN"/>
        </w:rPr>
      </w:pPr>
      <w:r>
        <w:rPr>
          <w:rFonts w:hint="eastAsia"/>
        </w:rPr>
        <w:t>本文件</w:t>
      </w:r>
      <w:r>
        <w:rPr>
          <w:rFonts w:hint="eastAsia"/>
          <w:lang w:val="en-US" w:eastAsia="zh-CN"/>
        </w:rPr>
        <w:t>主要</w:t>
      </w:r>
      <w:r>
        <w:rPr>
          <w:rFonts w:hint="eastAsia"/>
        </w:rPr>
        <w:t>起草人：</w:t>
      </w:r>
      <w:r>
        <w:rPr>
          <w:rFonts w:hint="eastAsia"/>
          <w:lang w:eastAsia="zh-CN"/>
        </w:rPr>
        <w:t>。</w:t>
      </w:r>
    </w:p>
    <w:p w14:paraId="51F993DF">
      <w:pPr>
        <w:pStyle w:val="59"/>
        <w:rPr>
          <w:rFonts w:hint="default" w:eastAsia="宋体"/>
          <w:lang w:val="en-US" w:eastAsia="zh-CN"/>
        </w:rPr>
      </w:pPr>
      <w:r>
        <w:rPr>
          <w:rFonts w:hint="eastAsia"/>
        </w:rPr>
        <w:t>本文件</w:t>
      </w:r>
      <w:r>
        <w:rPr>
          <w:rFonts w:hint="eastAsia"/>
          <w:lang w:val="en-US" w:eastAsia="zh-CN"/>
        </w:rPr>
        <w:t>为首次发布。</w:t>
      </w:r>
    </w:p>
    <w:p w14:paraId="0BDC35C7">
      <w:pPr>
        <w:pStyle w:val="59"/>
        <w:ind w:firstLine="420"/>
      </w:pPr>
    </w:p>
    <w:p w14:paraId="1386D582">
      <w:pPr>
        <w:pStyle w:val="59"/>
        <w:rPr>
          <w:rFonts w:hint="default" w:eastAsia="宋体"/>
          <w:lang w:val="en-US" w:eastAsia="zh-CN"/>
        </w:rPr>
        <w:sectPr>
          <w:pgSz w:w="11906" w:h="16838"/>
          <w:pgMar w:top="1928" w:right="1134" w:bottom="1134" w:left="1134" w:header="1418" w:footer="1134" w:gutter="284"/>
          <w:pgNumType w:fmt="upperRoman"/>
          <w:cols w:space="425" w:num="1"/>
          <w:formProt w:val="0"/>
          <w:docGrid w:linePitch="312" w:charSpace="0"/>
        </w:sectPr>
      </w:pPr>
    </w:p>
    <w:bookmarkEnd w:id="3"/>
    <w:p w14:paraId="48FD2902">
      <w:pPr>
        <w:spacing w:line="20" w:lineRule="exact"/>
        <w:jc w:val="center"/>
        <w:rPr>
          <w:rFonts w:ascii="黑体" w:hAnsi="黑体" w:eastAsia="黑体"/>
          <w:sz w:val="32"/>
          <w:szCs w:val="32"/>
        </w:rPr>
      </w:pPr>
      <w:bookmarkStart w:id="4" w:name="BookMark4"/>
    </w:p>
    <w:p w14:paraId="486FBE09">
      <w:pPr>
        <w:spacing w:line="20" w:lineRule="exact"/>
        <w:jc w:val="center"/>
        <w:rPr>
          <w:rFonts w:ascii="黑体" w:hAnsi="黑体" w:eastAsia="黑体"/>
          <w:sz w:val="32"/>
          <w:szCs w:val="32"/>
        </w:rPr>
      </w:pPr>
    </w:p>
    <w:p w14:paraId="5B152797">
      <w:pPr>
        <w:pStyle w:val="92"/>
        <w:spacing w:before="850" w:after="680" w:afterLines="0"/>
        <w:ind w:left="0" w:firstLine="0"/>
        <w:outlineLvl w:val="9"/>
      </w:pPr>
      <w:bookmarkStart w:id="5" w:name="_Toc20229"/>
      <w:bookmarkStart w:id="6" w:name="_Toc31"/>
      <w:bookmarkStart w:id="7" w:name="_Toc16733"/>
      <w:bookmarkStart w:id="8" w:name="_Toc3024"/>
      <w:bookmarkStart w:id="9" w:name="_Toc17233333"/>
      <w:bookmarkStart w:id="10" w:name="_Toc26648465"/>
      <w:bookmarkStart w:id="11" w:name="_Toc113284169"/>
      <w:bookmarkStart w:id="12" w:name="NEW_STAND_NAME"/>
      <w:bookmarkStart w:id="13" w:name="_Toc24884211"/>
      <w:bookmarkStart w:id="14" w:name="_Toc26718930"/>
      <w:bookmarkStart w:id="15" w:name="_Toc26986771"/>
      <w:bookmarkStart w:id="16" w:name="_Toc17233325"/>
      <w:bookmarkStart w:id="17" w:name="_Toc26986530"/>
      <w:bookmarkStart w:id="18" w:name="_Toc97192964"/>
      <w:bookmarkStart w:id="19" w:name="_Toc24884218"/>
      <w:r>
        <w:rPr>
          <w:rFonts w:hint="eastAsia"/>
          <w:lang w:eastAsia="zh-CN"/>
        </w:rPr>
        <w:t>集成式微型液态金属电磁泵技术规范</w:t>
      </w:r>
      <w:bookmarkEnd w:id="5"/>
      <w:bookmarkEnd w:id="6"/>
      <w:bookmarkEnd w:id="7"/>
      <w:bookmarkEnd w:id="8"/>
    </w:p>
    <w:bookmarkEnd w:id="9"/>
    <w:bookmarkEnd w:id="10"/>
    <w:bookmarkEnd w:id="11"/>
    <w:bookmarkEnd w:id="12"/>
    <w:bookmarkEnd w:id="13"/>
    <w:bookmarkEnd w:id="14"/>
    <w:bookmarkEnd w:id="15"/>
    <w:bookmarkEnd w:id="16"/>
    <w:bookmarkEnd w:id="17"/>
    <w:bookmarkEnd w:id="18"/>
    <w:bookmarkEnd w:id="19"/>
    <w:p w14:paraId="056DA4FB">
      <w:pPr>
        <w:pStyle w:val="107"/>
        <w:spacing w:before="240" w:after="240"/>
      </w:pPr>
      <w:bookmarkStart w:id="20" w:name="_Toc7001"/>
      <w:bookmarkStart w:id="21" w:name="_Toc113282590"/>
      <w:bookmarkStart w:id="22" w:name="_Toc23108"/>
      <w:bookmarkStart w:id="23" w:name="_Toc24419"/>
      <w:bookmarkStart w:id="24" w:name="_Toc7073"/>
      <w:r>
        <w:rPr>
          <w:rFonts w:hint="eastAsia"/>
        </w:rPr>
        <w:t>范围</w:t>
      </w:r>
      <w:bookmarkEnd w:id="20"/>
      <w:bookmarkEnd w:id="21"/>
      <w:bookmarkEnd w:id="22"/>
      <w:bookmarkEnd w:id="23"/>
      <w:bookmarkEnd w:id="24"/>
    </w:p>
    <w:p w14:paraId="2ADE793A">
      <w:pPr>
        <w:pStyle w:val="59"/>
        <w:ind w:firstLine="420"/>
        <w:rPr>
          <w:rFonts w:hint="eastAsia"/>
          <w:lang w:eastAsia="zh-CN"/>
        </w:rPr>
      </w:pPr>
      <w:bookmarkStart w:id="25" w:name="_Toc24884219"/>
      <w:bookmarkStart w:id="26" w:name="_Toc17233326"/>
      <w:bookmarkStart w:id="27" w:name="_Toc17233334"/>
      <w:bookmarkStart w:id="28" w:name="_Toc26648466"/>
      <w:bookmarkStart w:id="29" w:name="_Toc24884212"/>
      <w:r>
        <w:rPr>
          <w:rFonts w:hint="eastAsia"/>
          <w:lang w:eastAsia="zh-CN"/>
        </w:rPr>
        <w:t>本</w:t>
      </w:r>
      <w:r>
        <w:rPr>
          <w:rFonts w:hint="eastAsia"/>
          <w:lang w:val="en-US" w:eastAsia="zh-CN"/>
        </w:rPr>
        <w:t>文件</w:t>
      </w:r>
      <w:r>
        <w:rPr>
          <w:rFonts w:hint="eastAsia"/>
          <w:lang w:eastAsia="zh-CN"/>
        </w:rPr>
        <w:t>规定了集成式微型液态金属电磁泵</w:t>
      </w:r>
      <w:r>
        <w:rPr>
          <w:rFonts w:hint="eastAsia"/>
          <w:lang w:val="en-US" w:eastAsia="zh-CN"/>
        </w:rPr>
        <w:t>的技术要求、试验方法、检验规则、标志、包装、运输和贮存</w:t>
      </w:r>
      <w:r>
        <w:rPr>
          <w:rFonts w:hint="eastAsia"/>
          <w:lang w:eastAsia="zh-CN"/>
        </w:rPr>
        <w:t>。</w:t>
      </w:r>
    </w:p>
    <w:p w14:paraId="14BF4A9C">
      <w:pPr>
        <w:pStyle w:val="59"/>
        <w:ind w:firstLine="420"/>
        <w:rPr>
          <w:rFonts w:hint="eastAsia"/>
          <w:lang w:eastAsia="zh-CN"/>
        </w:rPr>
      </w:pPr>
      <w:r>
        <w:rPr>
          <w:rFonts w:hint="eastAsia"/>
          <w:lang w:eastAsia="zh-CN"/>
        </w:rPr>
        <w:t>本</w:t>
      </w:r>
      <w:r>
        <w:rPr>
          <w:rFonts w:hint="eastAsia"/>
          <w:lang w:val="en-US" w:eastAsia="zh-CN"/>
        </w:rPr>
        <w:t>文件</w:t>
      </w:r>
      <w:r>
        <w:rPr>
          <w:rFonts w:hint="eastAsia"/>
          <w:lang w:eastAsia="zh-CN"/>
        </w:rPr>
        <w:t>适用于以镓基、铋锡基等低熔点导电液态金属为工作介质的集成式微型液态金属电磁泵（以下简称“电磁泵”）的设计、制造与检验。</w:t>
      </w:r>
    </w:p>
    <w:p w14:paraId="136AE366">
      <w:pPr>
        <w:pStyle w:val="107"/>
        <w:spacing w:before="240" w:after="240"/>
      </w:pPr>
      <w:bookmarkStart w:id="30" w:name="_Toc32237"/>
      <w:bookmarkStart w:id="31" w:name="_Toc26986772"/>
      <w:bookmarkStart w:id="32" w:name="_Toc26986531"/>
      <w:bookmarkStart w:id="33" w:name="_Toc97192965"/>
      <w:bookmarkStart w:id="34" w:name="_Toc1048"/>
      <w:bookmarkStart w:id="35" w:name="_Toc113282591"/>
      <w:bookmarkStart w:id="36" w:name="_Toc13917"/>
      <w:bookmarkStart w:id="37" w:name="_Toc19575"/>
      <w:bookmarkStart w:id="38" w:name="_Toc26718931"/>
      <w:r>
        <w:rPr>
          <w:rFonts w:hint="eastAsia"/>
        </w:rPr>
        <w:t>规范性引用文件</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2C3E6BB">
      <w:pPr>
        <w:autoSpaceDE w:val="0"/>
        <w:autoSpaceDN w:val="0"/>
        <w:spacing w:line="240" w:lineRule="auto"/>
        <w:ind w:firstLine="420" w:firstLineChars="200"/>
        <w:rPr>
          <w:rFonts w:hint="eastAsia"/>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39" w:name="_Toc97192966"/>
      <w:bookmarkStart w:id="40" w:name="_Toc113282592"/>
    </w:p>
    <w:p w14:paraId="6A3C52A7">
      <w:pPr>
        <w:autoSpaceDE w:val="0"/>
        <w:autoSpaceDN w:val="0"/>
        <w:spacing w:line="240" w:lineRule="auto"/>
        <w:ind w:firstLine="420" w:firstLineChars="200"/>
        <w:rPr>
          <w:rFonts w:hint="default" w:ascii="宋体" w:hAnsi="宋体" w:cs="宋体"/>
          <w:lang w:val="en-US" w:eastAsia="zh-CN"/>
        </w:rPr>
      </w:pPr>
      <w:bookmarkStart w:id="121" w:name="_GoBack"/>
      <w:r>
        <w:rPr>
          <w:rFonts w:hint="default" w:ascii="宋体" w:hAnsi="宋体" w:cs="宋体"/>
          <w:lang w:val="en-US" w:eastAsia="zh-CN"/>
        </w:rPr>
        <w:t>GB/T 191</w:t>
      </w:r>
      <w:r>
        <w:rPr>
          <w:rFonts w:hint="eastAsia" w:cs="宋体"/>
          <w:lang w:val="en-US" w:eastAsia="zh-CN"/>
        </w:rPr>
        <w:t xml:space="preserve"> </w:t>
      </w:r>
      <w:r>
        <w:rPr>
          <w:rFonts w:hint="default" w:ascii="宋体" w:hAnsi="宋体" w:cs="宋体"/>
          <w:lang w:val="en-US" w:eastAsia="zh-CN"/>
        </w:rPr>
        <w:t>包装储运图形符号标志</w:t>
      </w:r>
    </w:p>
    <w:p w14:paraId="5922F5E3">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2828.1</w:t>
      </w:r>
      <w:r>
        <w:rPr>
          <w:rFonts w:hint="eastAsia" w:cs="宋体"/>
          <w:lang w:val="en-US" w:eastAsia="zh-CN"/>
        </w:rPr>
        <w:t xml:space="preserve"> </w:t>
      </w:r>
      <w:r>
        <w:rPr>
          <w:rFonts w:hint="default" w:ascii="宋体" w:hAnsi="宋体" w:cs="宋体"/>
          <w:lang w:val="en-US" w:eastAsia="zh-CN"/>
        </w:rPr>
        <w:t>计数抽样检验程序 第1部分：按接收质量限（AQL）检索的逐批检验抽样计划</w:t>
      </w:r>
    </w:p>
    <w:p w14:paraId="23E1567A">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2900.1</w:t>
      </w:r>
      <w:r>
        <w:rPr>
          <w:rFonts w:hint="eastAsia" w:cs="宋体"/>
          <w:lang w:val="en-US" w:eastAsia="zh-CN"/>
        </w:rPr>
        <w:t xml:space="preserve"> </w:t>
      </w:r>
      <w:r>
        <w:rPr>
          <w:rFonts w:hint="default" w:ascii="宋体" w:hAnsi="宋体" w:cs="宋体"/>
          <w:lang w:val="en-US" w:eastAsia="zh-CN"/>
        </w:rPr>
        <w:t>电工术语 基本术语</w:t>
      </w:r>
    </w:p>
    <w:p w14:paraId="765AEC8C">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2900.50</w:t>
      </w:r>
      <w:r>
        <w:rPr>
          <w:rFonts w:hint="eastAsia" w:cs="宋体"/>
          <w:lang w:val="en-US" w:eastAsia="zh-CN"/>
        </w:rPr>
        <w:t xml:space="preserve"> </w:t>
      </w:r>
      <w:r>
        <w:rPr>
          <w:rFonts w:hint="default" w:ascii="宋体" w:hAnsi="宋体" w:cs="宋体"/>
          <w:lang w:val="en-US" w:eastAsia="zh-CN"/>
        </w:rPr>
        <w:t>电工术语 发电、输电及配电 通用术语</w:t>
      </w:r>
    </w:p>
    <w:p w14:paraId="656B89F8">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3048.5</w:t>
      </w:r>
      <w:r>
        <w:rPr>
          <w:rFonts w:hint="eastAsia" w:cs="宋体"/>
          <w:lang w:val="en-US" w:eastAsia="zh-CN"/>
        </w:rPr>
        <w:t xml:space="preserve"> </w:t>
      </w:r>
      <w:r>
        <w:rPr>
          <w:rFonts w:hint="default" w:ascii="宋体" w:hAnsi="宋体" w:cs="宋体"/>
          <w:lang w:val="en-US" w:eastAsia="zh-CN"/>
        </w:rPr>
        <w:t>电线电缆电性能试验方法　第5部分：绝缘电阻试验</w:t>
      </w:r>
    </w:p>
    <w:p w14:paraId="6E354114">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4208</w:t>
      </w:r>
      <w:r>
        <w:rPr>
          <w:rFonts w:hint="eastAsia" w:cs="宋体"/>
          <w:lang w:val="en-US" w:eastAsia="zh-CN"/>
        </w:rPr>
        <w:t xml:space="preserve"> </w:t>
      </w:r>
      <w:r>
        <w:rPr>
          <w:rFonts w:hint="default" w:ascii="宋体" w:hAnsi="宋体" w:cs="宋体"/>
          <w:lang w:val="en-US" w:eastAsia="zh-CN"/>
        </w:rPr>
        <w:t>外壳防护等级(IP代码)</w:t>
      </w:r>
    </w:p>
    <w:p w14:paraId="41B39B20">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5959.1</w:t>
      </w:r>
      <w:r>
        <w:rPr>
          <w:rFonts w:hint="eastAsia" w:cs="宋体"/>
          <w:lang w:val="en-US" w:eastAsia="zh-CN"/>
        </w:rPr>
        <w:t xml:space="preserve"> </w:t>
      </w:r>
      <w:r>
        <w:rPr>
          <w:rFonts w:hint="default" w:ascii="宋体" w:hAnsi="宋体" w:cs="宋体"/>
          <w:lang w:val="en-US" w:eastAsia="zh-CN"/>
        </w:rPr>
        <w:t>电热和电磁处理装置的安全 第1部分：通用要求</w:t>
      </w:r>
    </w:p>
    <w:p w14:paraId="16E95910">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5959.11</w:t>
      </w:r>
      <w:r>
        <w:rPr>
          <w:rFonts w:hint="eastAsia" w:cs="宋体"/>
          <w:lang w:val="en-US" w:eastAsia="zh-CN"/>
        </w:rPr>
        <w:t xml:space="preserve"> </w:t>
      </w:r>
      <w:r>
        <w:rPr>
          <w:rFonts w:hint="default" w:ascii="宋体" w:hAnsi="宋体" w:cs="宋体"/>
          <w:lang w:val="en-US" w:eastAsia="zh-CN"/>
        </w:rPr>
        <w:t>电热装置的安全 第11部分：对液态金属电磁力作用装置的特殊要求</w:t>
      </w:r>
    </w:p>
    <w:p w14:paraId="4C15660C">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11026.1</w:t>
      </w:r>
      <w:r>
        <w:rPr>
          <w:rFonts w:hint="eastAsia" w:cs="宋体"/>
          <w:lang w:val="en-US" w:eastAsia="zh-CN"/>
        </w:rPr>
        <w:t xml:space="preserve"> </w:t>
      </w:r>
      <w:r>
        <w:rPr>
          <w:rFonts w:hint="default" w:ascii="宋体" w:hAnsi="宋体" w:cs="宋体"/>
          <w:lang w:val="en-US" w:eastAsia="zh-CN"/>
        </w:rPr>
        <w:t>电气绝缘材料 耐热性 第1部分：老化程序和试验结果的评定</w:t>
      </w:r>
    </w:p>
    <w:p w14:paraId="7A3120F9">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12350</w:t>
      </w:r>
      <w:r>
        <w:rPr>
          <w:rFonts w:hint="eastAsia" w:cs="宋体"/>
          <w:lang w:val="en-US" w:eastAsia="zh-CN"/>
        </w:rPr>
        <w:t xml:space="preserve"> </w:t>
      </w:r>
      <w:r>
        <w:rPr>
          <w:rFonts w:hint="default" w:ascii="宋体" w:hAnsi="宋体" w:cs="宋体"/>
          <w:lang w:val="en-US" w:eastAsia="zh-CN"/>
        </w:rPr>
        <w:t>小功率电动机的安全要求</w:t>
      </w:r>
    </w:p>
    <w:p w14:paraId="7A1C5999">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13560</w:t>
      </w:r>
      <w:r>
        <w:rPr>
          <w:rFonts w:hint="eastAsia" w:cs="宋体"/>
          <w:lang w:val="en-US" w:eastAsia="zh-CN"/>
        </w:rPr>
        <w:t xml:space="preserve"> </w:t>
      </w:r>
      <w:r>
        <w:rPr>
          <w:rFonts w:hint="default" w:ascii="宋体" w:hAnsi="宋体" w:cs="宋体"/>
          <w:lang w:val="en-US" w:eastAsia="zh-CN"/>
        </w:rPr>
        <w:t>烧结钕铁硼永磁材料</w:t>
      </w:r>
    </w:p>
    <w:p w14:paraId="1A0B3EAA">
      <w:pPr>
        <w:autoSpaceDE w:val="0"/>
        <w:autoSpaceDN w:val="0"/>
        <w:spacing w:line="240" w:lineRule="auto"/>
        <w:ind w:firstLine="420" w:firstLineChars="200"/>
        <w:rPr>
          <w:rFonts w:hint="default" w:ascii="宋体" w:hAnsi="宋体" w:cs="宋体"/>
          <w:lang w:val="en-US" w:eastAsia="zh-CN"/>
        </w:rPr>
      </w:pPr>
      <w:r>
        <w:rPr>
          <w:rFonts w:hint="default" w:ascii="宋体" w:hAnsi="宋体" w:cs="宋体"/>
          <w:lang w:val="en-US" w:eastAsia="zh-CN"/>
        </w:rPr>
        <w:t>GB/T 21067</w:t>
      </w:r>
      <w:r>
        <w:rPr>
          <w:rFonts w:hint="eastAsia" w:cs="宋体"/>
          <w:lang w:val="en-US" w:eastAsia="zh-CN"/>
        </w:rPr>
        <w:t xml:space="preserve"> </w:t>
      </w:r>
      <w:r>
        <w:rPr>
          <w:rFonts w:hint="default" w:ascii="宋体" w:hAnsi="宋体" w:cs="宋体"/>
          <w:lang w:val="en-US" w:eastAsia="zh-CN"/>
        </w:rPr>
        <w:t>工业机械电气设备 电磁兼容 通用抗扰度要求</w:t>
      </w:r>
      <w:bookmarkEnd w:id="121"/>
    </w:p>
    <w:p w14:paraId="6E4A9259">
      <w:pPr>
        <w:pStyle w:val="107"/>
        <w:spacing w:before="240" w:after="240"/>
      </w:pPr>
      <w:bookmarkStart w:id="41" w:name="_Toc12741"/>
      <w:bookmarkStart w:id="42" w:name="_Toc2656"/>
      <w:bookmarkStart w:id="43" w:name="_Toc4140"/>
      <w:bookmarkStart w:id="44" w:name="_Toc6287"/>
      <w:r>
        <w:rPr>
          <w:rFonts w:hint="eastAsia"/>
          <w:szCs w:val="21"/>
        </w:rPr>
        <w:t>术语和定义</w:t>
      </w:r>
      <w:bookmarkEnd w:id="39"/>
      <w:bookmarkEnd w:id="40"/>
      <w:bookmarkEnd w:id="41"/>
      <w:bookmarkEnd w:id="42"/>
      <w:bookmarkEnd w:id="43"/>
      <w:bookmarkEnd w:id="44"/>
    </w:p>
    <w:p w14:paraId="48640116">
      <w:pPr>
        <w:pStyle w:val="59"/>
        <w:rPr>
          <w:rFonts w:hint="eastAsia"/>
          <w:lang w:val="en-US" w:eastAsia="zh-CN"/>
        </w:rPr>
      </w:pPr>
      <w:r>
        <w:rPr>
          <w:rFonts w:hint="eastAsia"/>
          <w:lang w:val="en-US" w:eastAsia="zh-CN"/>
        </w:rPr>
        <w:t>GB/T 2900.1、GB/T 2900.50界定的以及下列</w:t>
      </w:r>
      <w:r>
        <w:rPr>
          <w:rFonts w:hint="eastAsia"/>
        </w:rPr>
        <w:t>术语和定义适用于本文件</w:t>
      </w:r>
      <w:r>
        <w:rPr>
          <w:rFonts w:hint="eastAsia"/>
          <w:lang w:val="en-US" w:eastAsia="zh-CN"/>
        </w:rPr>
        <w:t>。</w:t>
      </w:r>
    </w:p>
    <w:p w14:paraId="6CB23555">
      <w:pPr>
        <w:pStyle w:val="108"/>
        <w:spacing w:before="120" w:after="120"/>
        <w:rPr>
          <w:rFonts w:hint="eastAsia" w:ascii="黑体" w:hAnsi="黑体" w:eastAsia="黑体" w:cs="黑体"/>
          <w:sz w:val="21"/>
          <w:lang w:val="en-US" w:eastAsia="zh-CN" w:bidi="ar-SA"/>
        </w:rPr>
      </w:pPr>
      <w:bookmarkStart w:id="45" w:name="_Toc18256"/>
      <w:bookmarkEnd w:id="45"/>
      <w:bookmarkStart w:id="46" w:name="_Toc13894"/>
      <w:bookmarkEnd w:id="46"/>
      <w:bookmarkStart w:id="47" w:name="_Toc30049"/>
      <w:bookmarkEnd w:id="47"/>
      <w:bookmarkStart w:id="48" w:name="_Toc15346"/>
      <w:bookmarkEnd w:id="48"/>
      <w:bookmarkStart w:id="49" w:name="_Toc22168"/>
      <w:bookmarkStart w:id="50" w:name="_Toc19292"/>
      <w:bookmarkStart w:id="51" w:name="_Toc17642"/>
      <w:bookmarkStart w:id="52" w:name="_Toc7731"/>
      <w:bookmarkStart w:id="53" w:name="_Toc15123"/>
      <w:bookmarkStart w:id="54" w:name="_Toc8279"/>
    </w:p>
    <w:bookmarkEnd w:id="49"/>
    <w:bookmarkEnd w:id="50"/>
    <w:bookmarkEnd w:id="51"/>
    <w:bookmarkEnd w:id="52"/>
    <w:bookmarkEnd w:id="53"/>
    <w:bookmarkEnd w:id="54"/>
    <w:p w14:paraId="712E5A96">
      <w:pPr>
        <w:bidi w:val="0"/>
        <w:ind w:firstLine="420" w:firstLineChars="200"/>
        <w:rPr>
          <w:rFonts w:hint="eastAsia" w:ascii="Times New Roman" w:hAnsi="Times New Roman" w:eastAsia="黑体"/>
          <w:sz w:val="21"/>
          <w:lang w:val="en-US" w:eastAsia="zh-CN"/>
        </w:rPr>
      </w:pPr>
      <w:r>
        <w:rPr>
          <w:rFonts w:hint="eastAsia" w:ascii="Times New Roman" w:hAnsi="Times New Roman" w:eastAsia="黑体"/>
          <w:sz w:val="21"/>
          <w:lang w:val="en-US" w:eastAsia="zh-CN"/>
        </w:rPr>
        <w:t>液态金属电磁泵 liquid metal electromagnetic pump</w:t>
      </w:r>
    </w:p>
    <w:p w14:paraId="44250DB7">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ascii="宋体" w:hAnsi="宋体"/>
          <w:sz w:val="21"/>
          <w:lang w:val="en-US" w:eastAsia="zh-CN"/>
        </w:rPr>
      </w:pPr>
      <w:r>
        <w:rPr>
          <w:rFonts w:hint="eastAsia" w:ascii="宋体" w:hAnsi="宋体"/>
          <w:sz w:val="21"/>
          <w:lang w:val="en-US" w:eastAsia="zh-CN"/>
        </w:rPr>
        <w:t>利用磁场与导电液态金属中感应电流相互作用产生的洛伦兹力，驱动液态金属沿流道定向流动的非接触式流体输送装置。</w:t>
      </w:r>
    </w:p>
    <w:p w14:paraId="7723E43B">
      <w:pPr>
        <w:pStyle w:val="108"/>
        <w:spacing w:before="120" w:after="120"/>
        <w:rPr>
          <w:rFonts w:hint="eastAsia" w:ascii="黑体" w:hAnsi="黑体" w:eastAsia="黑体" w:cs="黑体"/>
          <w:sz w:val="21"/>
          <w:lang w:val="en-US" w:eastAsia="zh-CN" w:bidi="ar-SA"/>
        </w:rPr>
      </w:pPr>
      <w:bookmarkStart w:id="55" w:name="_Toc17145"/>
      <w:bookmarkEnd w:id="55"/>
    </w:p>
    <w:p w14:paraId="1FE17BDC">
      <w:pPr>
        <w:bidi w:val="0"/>
        <w:ind w:firstLine="420" w:firstLineChars="200"/>
        <w:rPr>
          <w:rFonts w:hint="eastAsia" w:ascii="Times New Roman" w:hAnsi="Times New Roman" w:eastAsia="黑体"/>
          <w:sz w:val="21"/>
          <w:lang w:val="en-US" w:eastAsia="zh-CN"/>
        </w:rPr>
      </w:pPr>
      <w:r>
        <w:rPr>
          <w:rFonts w:hint="eastAsia" w:ascii="Times New Roman" w:hAnsi="Times New Roman" w:eastAsia="黑体"/>
          <w:sz w:val="21"/>
          <w:lang w:val="en-US" w:eastAsia="zh-CN"/>
        </w:rPr>
        <w:t>额定流量 rated flow rate</w:t>
      </w:r>
    </w:p>
    <w:p w14:paraId="11EAAE8B">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ascii="宋体" w:hAnsi="宋体"/>
          <w:sz w:val="21"/>
          <w:lang w:val="en-US" w:eastAsia="zh-CN"/>
        </w:rPr>
      </w:pPr>
      <w:r>
        <w:rPr>
          <w:rFonts w:hint="eastAsia" w:ascii="宋体" w:hAnsi="宋体"/>
          <w:sz w:val="21"/>
          <w:lang w:val="en-US" w:eastAsia="zh-CN"/>
        </w:rPr>
        <w:t>在额定工作电压、额定频率及规定工作介质条件下，电磁泵在额定工况点输出的体积流量，单位为升每小时（L/h）。</w:t>
      </w:r>
    </w:p>
    <w:p w14:paraId="3D2FA36C">
      <w:pPr>
        <w:pStyle w:val="108"/>
        <w:spacing w:before="120" w:after="120"/>
        <w:rPr>
          <w:rFonts w:hint="eastAsia" w:ascii="黑体" w:hAnsi="黑体" w:eastAsia="黑体" w:cs="黑体"/>
          <w:sz w:val="21"/>
          <w:lang w:val="en-US" w:eastAsia="zh-CN" w:bidi="ar-SA"/>
        </w:rPr>
      </w:pPr>
      <w:bookmarkStart w:id="56" w:name="_Toc14635"/>
      <w:bookmarkEnd w:id="56"/>
    </w:p>
    <w:p w14:paraId="584EA647">
      <w:pPr>
        <w:bidi w:val="0"/>
        <w:ind w:firstLine="420" w:firstLineChars="200"/>
        <w:rPr>
          <w:rFonts w:hint="eastAsia" w:ascii="Times New Roman" w:hAnsi="Times New Roman" w:eastAsia="黑体"/>
          <w:sz w:val="21"/>
          <w:lang w:val="en-US" w:eastAsia="zh-CN"/>
        </w:rPr>
      </w:pPr>
      <w:r>
        <w:rPr>
          <w:rFonts w:hint="eastAsia" w:ascii="Times New Roman" w:hAnsi="Times New Roman" w:eastAsia="黑体"/>
          <w:sz w:val="21"/>
          <w:lang w:val="en-US" w:eastAsia="zh-CN"/>
        </w:rPr>
        <w:t>额定扬程 rated head</w:t>
      </w:r>
    </w:p>
    <w:p w14:paraId="3C57F2CE">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ascii="宋体" w:hAnsi="宋体"/>
          <w:sz w:val="21"/>
          <w:lang w:val="en-US" w:eastAsia="zh-CN"/>
        </w:rPr>
      </w:pPr>
      <w:r>
        <w:rPr>
          <w:rFonts w:hint="eastAsia" w:ascii="宋体" w:hAnsi="宋体"/>
          <w:sz w:val="21"/>
          <w:lang w:val="en-US" w:eastAsia="zh-CN"/>
        </w:rPr>
        <w:t>在额定流量下，电磁泵进出口单位重量液态金属的能量增量，换算为液柱高度或压力表示，单位为米（m）或兆帕（MPa）。</w:t>
      </w:r>
    </w:p>
    <w:p w14:paraId="3678AC5D">
      <w:pPr>
        <w:pStyle w:val="108"/>
        <w:spacing w:before="120" w:after="120"/>
        <w:rPr>
          <w:rFonts w:hint="eastAsia" w:ascii="黑体" w:hAnsi="黑体" w:eastAsia="黑体" w:cs="黑体"/>
          <w:sz w:val="21"/>
          <w:lang w:val="en-US" w:eastAsia="zh-CN" w:bidi="ar-SA"/>
        </w:rPr>
      </w:pPr>
      <w:bookmarkStart w:id="57" w:name="_Toc246"/>
      <w:bookmarkEnd w:id="57"/>
      <w:bookmarkStart w:id="58" w:name="_Toc1507"/>
      <w:bookmarkEnd w:id="58"/>
    </w:p>
    <w:p w14:paraId="18D3168B">
      <w:pPr>
        <w:bidi w:val="0"/>
        <w:ind w:firstLine="420" w:firstLineChars="200"/>
        <w:rPr>
          <w:rFonts w:hint="eastAsia" w:ascii="Times New Roman" w:hAnsi="Times New Roman" w:eastAsia="黑体"/>
          <w:sz w:val="21"/>
          <w:lang w:val="en-US" w:eastAsia="zh-CN"/>
        </w:rPr>
      </w:pPr>
      <w:r>
        <w:rPr>
          <w:rFonts w:hint="eastAsia" w:ascii="Times New Roman" w:hAnsi="Times New Roman" w:eastAsia="黑体"/>
          <w:sz w:val="21"/>
          <w:lang w:val="en-US" w:eastAsia="zh-CN"/>
        </w:rPr>
        <w:t>工作介质温度 working medium temperature</w:t>
      </w:r>
    </w:p>
    <w:p w14:paraId="18FA02D8">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ascii="宋体" w:hAnsi="宋体"/>
          <w:sz w:val="21"/>
          <w:lang w:val="en-US" w:eastAsia="zh-CN"/>
        </w:rPr>
      </w:pPr>
      <w:r>
        <w:rPr>
          <w:rFonts w:hint="eastAsia" w:ascii="宋体" w:hAnsi="宋体"/>
          <w:sz w:val="21"/>
          <w:lang w:val="en-US" w:eastAsia="zh-CN"/>
        </w:rPr>
        <w:t>电磁泵正常连续运行时，泵体内液态金属的平均温度，单位为摄氏度（℃）。</w:t>
      </w:r>
    </w:p>
    <w:p w14:paraId="2B8FF713">
      <w:pPr>
        <w:pStyle w:val="107"/>
        <w:spacing w:before="240" w:after="240"/>
        <w:rPr>
          <w:rFonts w:hint="eastAsia"/>
          <w:szCs w:val="21"/>
        </w:rPr>
      </w:pPr>
      <w:bookmarkStart w:id="59" w:name="_Toc4061"/>
      <w:bookmarkStart w:id="60" w:name="heading_5"/>
      <w:r>
        <w:rPr>
          <w:rFonts w:hint="eastAsia"/>
          <w:szCs w:val="21"/>
        </w:rPr>
        <w:t>分类与型号命名</w:t>
      </w:r>
      <w:bookmarkEnd w:id="59"/>
      <w:bookmarkEnd w:id="60"/>
    </w:p>
    <w:p w14:paraId="374AA2F6">
      <w:pPr>
        <w:pStyle w:val="108"/>
        <w:spacing w:before="120" w:after="120"/>
        <w:rPr>
          <w:rFonts w:hint="eastAsia" w:ascii="黑体" w:hAnsi="黑体" w:eastAsia="黑体" w:cs="黑体"/>
          <w:sz w:val="21"/>
          <w:lang w:val="en-US" w:eastAsia="zh-CN" w:bidi="ar-SA"/>
        </w:rPr>
      </w:pPr>
      <w:bookmarkStart w:id="61" w:name="heading_6"/>
      <w:bookmarkStart w:id="62" w:name="_Toc24219"/>
      <w:r>
        <w:rPr>
          <w:rFonts w:hint="eastAsia" w:ascii="黑体" w:hAnsi="黑体" w:eastAsia="黑体" w:cs="黑体"/>
          <w:sz w:val="21"/>
          <w:lang w:val="en-US" w:eastAsia="zh-CN" w:bidi="ar-SA"/>
        </w:rPr>
        <w:t>分类</w:t>
      </w:r>
      <w:bookmarkEnd w:id="61"/>
      <w:bookmarkEnd w:id="62"/>
    </w:p>
    <w:p w14:paraId="40DD55C9">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4.1.1 按工作原理分类</w:t>
      </w:r>
    </w:p>
    <w:p w14:paraId="1111DC89">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电磁泵按工作原理分为以下两类：</w:t>
      </w:r>
    </w:p>
    <w:p w14:paraId="5ED83FA4">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a) 传导式电磁泵（代号C）：通过电极将电流导入液态金属，利用电流与磁场的相互作用产生驱动力；</w:t>
      </w:r>
    </w:p>
    <w:p w14:paraId="28A5DE8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b) 感应式电磁泵（代号I）：利用交变磁场在液态金属中感应涡流产生驱动力。</w:t>
      </w:r>
    </w:p>
    <w:p w14:paraId="1127C52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4.1.2 按磁路类型分类</w:t>
      </w:r>
    </w:p>
    <w:p w14:paraId="6705B01F">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电磁泵按磁路类型分为以下两类：</w:t>
      </w:r>
    </w:p>
    <w:p w14:paraId="65CE6FB5">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a) 永磁体励磁型（代号P）：采用永磁体提供工作磁场；</w:t>
      </w:r>
    </w:p>
    <w:p w14:paraId="5765036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b) 电磁励磁型（代号E）：采用电磁线圈通电产生工作磁场。</w:t>
      </w:r>
    </w:p>
    <w:p w14:paraId="624C0550">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4.1.3 按流道截面形状分类</w:t>
      </w:r>
    </w:p>
    <w:p w14:paraId="2C6D6E13">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电磁泵按流道截面形状分为以下两类：</w:t>
      </w:r>
    </w:p>
    <w:p w14:paraId="7DDCDCB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a) 矩形流道型（代号R）；</w:t>
      </w:r>
    </w:p>
    <w:p w14:paraId="7C7A3655">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b) 圆形流道型（代号S）。</w:t>
      </w:r>
    </w:p>
    <w:p w14:paraId="0D6989F3">
      <w:pPr>
        <w:pStyle w:val="108"/>
        <w:spacing w:before="120" w:after="120"/>
        <w:rPr>
          <w:rFonts w:hint="eastAsia" w:ascii="黑体" w:hAnsi="黑体" w:eastAsia="黑体" w:cs="黑体"/>
          <w:sz w:val="21"/>
          <w:lang w:val="en-US" w:eastAsia="zh-CN" w:bidi="ar-SA"/>
        </w:rPr>
      </w:pPr>
      <w:bookmarkStart w:id="63" w:name="_Toc18314"/>
      <w:r>
        <w:rPr>
          <w:rFonts w:hint="eastAsia" w:ascii="黑体" w:hAnsi="黑体" w:eastAsia="黑体" w:cs="黑体"/>
          <w:sz w:val="21"/>
          <w:lang w:val="en-US" w:eastAsia="zh-CN" w:bidi="ar-SA"/>
        </w:rPr>
        <w:t>型号命名</w:t>
      </w:r>
      <w:bookmarkEnd w:id="63"/>
    </w:p>
    <w:p w14:paraId="3EA5646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电磁泵的型号由产品代号、工作原理代号、磁路类型代号、流道形状代号、额定流量和额定扬程组成，编排规则如下：</w:t>
      </w:r>
    </w:p>
    <w:p w14:paraId="7579C10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I</w:t>
      </w:r>
      <w:r>
        <w:rPr>
          <w:rFonts w:hint="eastAsia" w:cs="宋体"/>
          <w:b w:val="0"/>
          <w:bCs/>
          <w:sz w:val="21"/>
          <w:szCs w:val="21"/>
          <w:lang w:val="en-US" w:eastAsia="zh-CN"/>
        </w:rPr>
        <w:t>M</w:t>
      </w:r>
      <w:r>
        <w:rPr>
          <w:rFonts w:hint="eastAsia" w:ascii="宋体" w:hAnsi="宋体" w:eastAsia="宋体" w:cs="宋体"/>
          <w:b w:val="0"/>
          <w:bCs/>
          <w:sz w:val="21"/>
          <w:szCs w:val="21"/>
        </w:rPr>
        <w:t>LMEP-□-□-□-□□-□□□</w:t>
      </w:r>
    </w:p>
    <w:p w14:paraId="30C28837">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其中：</w:t>
      </w:r>
    </w:p>
    <w:p w14:paraId="1A4F295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——I</w:t>
      </w:r>
      <w:r>
        <w:rPr>
          <w:rFonts w:hint="eastAsia" w:cs="宋体"/>
          <w:b w:val="0"/>
          <w:bCs/>
          <w:sz w:val="21"/>
          <w:szCs w:val="21"/>
          <w:lang w:val="en-US" w:eastAsia="zh-CN"/>
        </w:rPr>
        <w:t>M</w:t>
      </w:r>
      <w:r>
        <w:rPr>
          <w:rFonts w:hint="eastAsia" w:ascii="宋体" w:hAnsi="宋体" w:eastAsia="宋体" w:cs="宋体"/>
          <w:b w:val="0"/>
          <w:bCs/>
          <w:sz w:val="21"/>
          <w:szCs w:val="21"/>
        </w:rPr>
        <w:t xml:space="preserve">LMEP为集成式微型液态金属电磁泵（Integrated </w:t>
      </w:r>
      <w:r>
        <w:rPr>
          <w:rFonts w:hint="eastAsia" w:cs="宋体"/>
          <w:b w:val="0"/>
          <w:bCs/>
          <w:sz w:val="21"/>
          <w:szCs w:val="21"/>
          <w:lang w:val="en-US" w:eastAsia="zh-CN"/>
        </w:rPr>
        <w:t>M</w:t>
      </w:r>
      <w:r>
        <w:rPr>
          <w:rFonts w:hint="eastAsia" w:ascii="宋体" w:hAnsi="宋体" w:eastAsia="宋体" w:cs="宋体"/>
          <w:b w:val="0"/>
          <w:bCs/>
          <w:sz w:val="21"/>
          <w:szCs w:val="21"/>
        </w:rPr>
        <w:t>icro</w:t>
      </w:r>
      <w:r>
        <w:rPr>
          <w:rFonts w:hint="eastAsia" w:cs="宋体"/>
          <w:b w:val="0"/>
          <w:bCs/>
          <w:sz w:val="21"/>
          <w:szCs w:val="21"/>
          <w:lang w:val="en-US" w:eastAsia="zh-CN"/>
        </w:rPr>
        <w:t xml:space="preserve"> </w:t>
      </w:r>
      <w:r>
        <w:rPr>
          <w:rFonts w:hint="eastAsia" w:ascii="宋体" w:hAnsi="宋体" w:eastAsia="宋体" w:cs="宋体"/>
          <w:b w:val="0"/>
          <w:bCs/>
          <w:sz w:val="21"/>
          <w:szCs w:val="21"/>
        </w:rPr>
        <w:t>Liquid Metal Electromagnetic Pump）固定产品代号；</w:t>
      </w:r>
    </w:p>
    <w:p w14:paraId="5B6E573D">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——第一位□为工作原理代号：C（传导式）或I（感应式）；</w:t>
      </w:r>
    </w:p>
    <w:p w14:paraId="107D778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——第二位□为磁路类型代号：P（永磁体励磁）或E（电磁励磁）；</w:t>
      </w:r>
    </w:p>
    <w:p w14:paraId="121C0D37">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——第三位□为流道形状代号：R（矩形）或S（圆形）；</w:t>
      </w:r>
    </w:p>
    <w:p w14:paraId="711398C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——第四位□□为额定流量，单位为L/min，取整数；</w:t>
      </w:r>
    </w:p>
    <w:p w14:paraId="29E6DA0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——第五位□□□为额定扬程，单位为kPa，取整数。</w:t>
      </w:r>
    </w:p>
    <w:p w14:paraId="4F7DEA7A">
      <w:pPr>
        <w:keepNext w:val="0"/>
        <w:keepLines w:val="0"/>
        <w:pageBreakBefore w:val="0"/>
        <w:widowControl w:val="0"/>
        <w:kinsoku/>
        <w:wordWrap/>
        <w:overflowPunct/>
        <w:topLinePunct w:val="0"/>
        <w:autoSpaceDE/>
        <w:autoSpaceDN/>
        <w:bidi w:val="0"/>
        <w:adjustRightInd w:val="0"/>
        <w:snapToGrid/>
        <w:spacing w:line="240" w:lineRule="auto"/>
        <w:ind w:left="0" w:firstLine="360" w:firstLineChars="200"/>
        <w:jc w:val="both"/>
        <w:textAlignment w:val="auto"/>
        <w:outlineLvl w:val="9"/>
        <w:rPr>
          <w:rFonts w:hint="eastAsia" w:ascii="宋体" w:hAnsi="宋体" w:eastAsia="宋体" w:cs="宋体"/>
          <w:b w:val="0"/>
          <w:bCs/>
          <w:sz w:val="18"/>
          <w:szCs w:val="18"/>
        </w:rPr>
      </w:pPr>
      <w:r>
        <w:rPr>
          <w:rFonts w:hint="eastAsia" w:ascii="黑体" w:hAnsi="黑体" w:eastAsia="黑体" w:cs="黑体"/>
          <w:b w:val="0"/>
          <w:bCs/>
          <w:sz w:val="18"/>
          <w:szCs w:val="18"/>
        </w:rPr>
        <w:t>示例：</w:t>
      </w:r>
      <w:r>
        <w:rPr>
          <w:rFonts w:hint="eastAsia" w:ascii="宋体" w:hAnsi="宋体" w:eastAsia="宋体" w:cs="宋体"/>
          <w:b w:val="0"/>
          <w:bCs/>
          <w:sz w:val="18"/>
          <w:szCs w:val="18"/>
        </w:rPr>
        <w:t>ILMEP-C-P-R-05-080表示传导式、永磁体励磁、矩形流道、额定流量5.0 L/min、额定扬程80 kPa的集成式微型液态金属电磁泵。</w:t>
      </w:r>
    </w:p>
    <w:p w14:paraId="5AE1C311">
      <w:pPr>
        <w:pStyle w:val="107"/>
        <w:spacing w:before="240" w:after="240"/>
        <w:rPr>
          <w:rFonts w:hint="eastAsia"/>
          <w:szCs w:val="21"/>
        </w:rPr>
      </w:pPr>
      <w:bookmarkStart w:id="64" w:name="heading_8"/>
      <w:bookmarkStart w:id="65" w:name="_Toc31668"/>
      <w:r>
        <w:rPr>
          <w:rFonts w:hint="eastAsia"/>
          <w:szCs w:val="21"/>
        </w:rPr>
        <w:t>技术要求</w:t>
      </w:r>
      <w:bookmarkEnd w:id="64"/>
      <w:bookmarkEnd w:id="65"/>
    </w:p>
    <w:p w14:paraId="758B034A">
      <w:pPr>
        <w:pStyle w:val="108"/>
        <w:spacing w:before="120" w:after="120"/>
        <w:rPr>
          <w:rFonts w:hint="eastAsia" w:ascii="黑体" w:hAnsi="黑体" w:eastAsia="黑体" w:cs="黑体"/>
          <w:sz w:val="21"/>
          <w:lang w:val="en-US" w:eastAsia="zh-CN" w:bidi="ar-SA"/>
        </w:rPr>
      </w:pPr>
      <w:bookmarkStart w:id="66" w:name="_Toc1798"/>
      <w:bookmarkStart w:id="67" w:name="heading_9"/>
      <w:r>
        <w:rPr>
          <w:rFonts w:hint="eastAsia" w:ascii="黑体" w:hAnsi="黑体" w:eastAsia="黑体" w:cs="黑体"/>
          <w:sz w:val="21"/>
          <w:lang w:val="en-US" w:eastAsia="zh-CN" w:bidi="ar-SA"/>
        </w:rPr>
        <w:t>基本要求</w:t>
      </w:r>
      <w:bookmarkEnd w:id="66"/>
      <w:bookmarkEnd w:id="67"/>
    </w:p>
    <w:p w14:paraId="63174EC4">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5.1.1 电磁泵应按经规定程序批准的图样及技术文件制造。</w:t>
      </w:r>
    </w:p>
    <w:p w14:paraId="5CE9C96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5.1.2 电磁泵所用材料应符合相应标准的规定，并具有合格证明文件。</w:t>
      </w:r>
    </w:p>
    <w:p w14:paraId="46C1A9C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5.1.3 电磁泵的结构应便于安装、维护和检修。</w:t>
      </w:r>
    </w:p>
    <w:p w14:paraId="27F603C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5.1.4 电磁泵的电气连接应牢固可靠，接触电阻不应大于0.5 mΩ。</w:t>
      </w:r>
    </w:p>
    <w:p w14:paraId="525D4508">
      <w:pPr>
        <w:pStyle w:val="108"/>
        <w:spacing w:before="120" w:after="120"/>
        <w:rPr>
          <w:rFonts w:hint="eastAsia" w:ascii="黑体" w:hAnsi="黑体" w:eastAsia="黑体" w:cs="黑体"/>
          <w:sz w:val="21"/>
          <w:lang w:val="en-US" w:eastAsia="zh-CN" w:bidi="ar-SA"/>
        </w:rPr>
      </w:pPr>
      <w:bookmarkStart w:id="68" w:name="heading_10"/>
      <w:bookmarkStart w:id="69" w:name="_Toc20368"/>
      <w:r>
        <w:rPr>
          <w:rFonts w:hint="eastAsia" w:ascii="黑体" w:hAnsi="黑体" w:eastAsia="黑体" w:cs="黑体"/>
          <w:sz w:val="21"/>
          <w:lang w:val="en-US" w:eastAsia="zh-CN" w:bidi="ar-SA"/>
        </w:rPr>
        <w:t>外观与</w:t>
      </w:r>
      <w:r>
        <w:rPr>
          <w:rFonts w:hint="eastAsia" w:hAnsi="黑体" w:cs="黑体"/>
          <w:sz w:val="21"/>
          <w:lang w:val="en-US" w:eastAsia="zh-CN" w:bidi="ar-SA"/>
        </w:rPr>
        <w:t>结构</w:t>
      </w:r>
      <w:r>
        <w:rPr>
          <w:rFonts w:hint="eastAsia" w:ascii="黑体" w:hAnsi="黑体" w:eastAsia="黑体" w:cs="黑体"/>
          <w:sz w:val="21"/>
          <w:lang w:val="en-US" w:eastAsia="zh-CN" w:bidi="ar-SA"/>
        </w:rPr>
        <w:t>要求</w:t>
      </w:r>
      <w:bookmarkEnd w:id="68"/>
      <w:bookmarkEnd w:id="69"/>
    </w:p>
    <w:p w14:paraId="0FDAB83F">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5.2.1 电磁泵表面应光洁平整，不应有裂纹、气泡、毛刺、锈蚀等缺陷</w:t>
      </w:r>
      <w:r>
        <w:rPr>
          <w:rFonts w:hint="eastAsia" w:cs="宋体"/>
          <w:b w:val="0"/>
          <w:bCs/>
          <w:sz w:val="21"/>
          <w:szCs w:val="21"/>
          <w:lang w:eastAsia="zh-CN"/>
        </w:rPr>
        <w:t>，</w:t>
      </w:r>
      <w:r>
        <w:rPr>
          <w:rFonts w:hint="eastAsia" w:ascii="宋体" w:hAnsi="宋体" w:eastAsia="宋体" w:cs="宋体"/>
          <w:b w:val="0"/>
          <w:bCs/>
          <w:sz w:val="21"/>
          <w:szCs w:val="21"/>
        </w:rPr>
        <w:t>磁体表面应光滑，无杂质、锈斑</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流道内壁的表面粗糙度Ra不应大于1.6 μm。</w:t>
      </w:r>
    </w:p>
    <w:p w14:paraId="2C299968">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5.2.2 各连接部位的紧固件应连接牢固，不应有松动现象。</w:t>
      </w:r>
    </w:p>
    <w:p w14:paraId="4D24425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5.2.</w:t>
      </w:r>
      <w:r>
        <w:rPr>
          <w:rFonts w:hint="eastAsia" w:cs="宋体"/>
          <w:b w:val="0"/>
          <w:bCs/>
          <w:sz w:val="21"/>
          <w:szCs w:val="21"/>
          <w:lang w:val="en-US" w:eastAsia="zh-CN"/>
        </w:rPr>
        <w:t>3</w:t>
      </w:r>
      <w:r>
        <w:rPr>
          <w:rFonts w:hint="eastAsia" w:ascii="宋体" w:hAnsi="宋体" w:eastAsia="宋体" w:cs="宋体"/>
          <w:b w:val="0"/>
          <w:bCs/>
          <w:sz w:val="21"/>
          <w:szCs w:val="21"/>
        </w:rPr>
        <w:t xml:space="preserve"> 电磁泵的外壳防护等级不应低于GB/T 4208规定的IP54</w:t>
      </w:r>
      <w:r>
        <w:rPr>
          <w:rFonts w:hint="eastAsia" w:cs="宋体"/>
          <w:b w:val="0"/>
          <w:bCs/>
          <w:sz w:val="21"/>
          <w:szCs w:val="21"/>
          <w:lang w:eastAsia="zh-CN"/>
        </w:rPr>
        <w:t>。</w:t>
      </w:r>
    </w:p>
    <w:p w14:paraId="435C7A8E">
      <w:pPr>
        <w:pStyle w:val="108"/>
        <w:spacing w:before="120" w:after="120"/>
        <w:rPr>
          <w:rFonts w:hint="eastAsia" w:ascii="黑体" w:hAnsi="黑体" w:eastAsia="黑体" w:cs="黑体"/>
          <w:sz w:val="21"/>
          <w:lang w:val="en-US" w:eastAsia="zh-CN" w:bidi="ar-SA"/>
        </w:rPr>
      </w:pPr>
      <w:bookmarkStart w:id="70" w:name="_Toc20639"/>
      <w:r>
        <w:rPr>
          <w:rFonts w:hint="eastAsia" w:hAnsi="黑体" w:cs="黑体"/>
          <w:sz w:val="21"/>
          <w:lang w:val="en-US" w:eastAsia="zh-CN" w:bidi="ar-SA"/>
        </w:rPr>
        <w:t>尺寸与公差</w:t>
      </w:r>
      <w:r>
        <w:rPr>
          <w:rFonts w:hint="eastAsia" w:ascii="黑体" w:hAnsi="黑体" w:eastAsia="黑体" w:cs="黑体"/>
          <w:sz w:val="21"/>
          <w:lang w:val="en-US" w:eastAsia="zh-CN" w:bidi="ar-SA"/>
        </w:rPr>
        <w:t>要求</w:t>
      </w:r>
      <w:bookmarkEnd w:id="70"/>
    </w:p>
    <w:p w14:paraId="5BD208E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5.3.1 外形尺寸公差</w:t>
      </w:r>
    </w:p>
    <w:p w14:paraId="7055DBE5">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电磁泵的外形尺寸应符合设计图样的规定，其公差应符合表1的要求。</w:t>
      </w:r>
    </w:p>
    <w:p w14:paraId="262B6F3D">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eastAsia" w:ascii="黑体" w:hAnsi="黑体" w:eastAsia="黑体" w:cs="黑体"/>
          <w:b w:val="0"/>
          <w:bCs/>
          <w:sz w:val="21"/>
          <w:szCs w:val="21"/>
        </w:rPr>
      </w:pPr>
      <w:r>
        <w:rPr>
          <w:rFonts w:hint="eastAsia" w:ascii="黑体" w:hAnsi="黑体" w:eastAsia="黑体" w:cs="黑体"/>
          <w:b w:val="0"/>
          <w:bCs/>
          <w:sz w:val="21"/>
          <w:szCs w:val="21"/>
        </w:rPr>
        <w:t>表1 外形尺寸公差</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535"/>
        <w:gridCol w:w="4536"/>
      </w:tblGrid>
      <w:tr w14:paraId="3A30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Header/>
          <w:jc w:val="center"/>
        </w:trPr>
        <w:tc>
          <w:tcPr>
            <w:tcW w:w="4535" w:type="dxa"/>
            <w:shd w:val="clear" w:color="auto" w:fill="auto"/>
            <w:vAlign w:val="center"/>
          </w:tcPr>
          <w:p w14:paraId="447DBB9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eastAsia" w:ascii="宋体" w:hAnsi="宋体" w:eastAsia="宋体" w:cs="宋体"/>
                <w:b w:val="0"/>
                <w:bCs/>
                <w:sz w:val="18"/>
                <w:szCs w:val="18"/>
              </w:rPr>
            </w:pPr>
            <w:r>
              <w:rPr>
                <w:rFonts w:hint="default" w:ascii="宋体" w:hAnsi="宋体" w:eastAsia="宋体" w:cs="宋体"/>
                <w:b w:val="0"/>
                <w:bCs/>
                <w:sz w:val="18"/>
                <w:szCs w:val="18"/>
                <w:lang w:val="en-US" w:eastAsia="zh-CN"/>
              </w:rPr>
              <w:t>尺寸范围/mm</w:t>
            </w:r>
          </w:p>
        </w:tc>
        <w:tc>
          <w:tcPr>
            <w:tcW w:w="4536" w:type="dxa"/>
            <w:shd w:val="clear" w:color="auto" w:fill="auto"/>
            <w:vAlign w:val="center"/>
          </w:tcPr>
          <w:p w14:paraId="29071B2A">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rPr>
            </w:pPr>
            <w:r>
              <w:rPr>
                <w:rFonts w:hint="default" w:ascii="宋体" w:hAnsi="宋体" w:eastAsia="宋体" w:cs="宋体"/>
                <w:b w:val="0"/>
                <w:bCs/>
                <w:sz w:val="18"/>
                <w:szCs w:val="18"/>
                <w:lang w:val="en-US" w:eastAsia="zh-CN"/>
              </w:rPr>
              <w:t>公差/mm</w:t>
            </w:r>
          </w:p>
        </w:tc>
      </w:tr>
      <w:tr w14:paraId="0AB6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2863D435">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eastAsia" w:ascii="宋体" w:hAnsi="宋体" w:eastAsia="宋体" w:cs="宋体"/>
                <w:b w:val="0"/>
                <w:bCs/>
                <w:sz w:val="18"/>
                <w:szCs w:val="18"/>
              </w:rPr>
            </w:pPr>
            <w:r>
              <w:rPr>
                <w:rFonts w:hint="default" w:ascii="宋体" w:hAnsi="宋体" w:eastAsia="宋体" w:cs="宋体"/>
                <w:b w:val="0"/>
                <w:bCs/>
                <w:sz w:val="18"/>
                <w:szCs w:val="18"/>
                <w:lang w:val="en-US" w:eastAsia="zh-CN"/>
              </w:rPr>
              <w:t>≤50</w:t>
            </w:r>
          </w:p>
        </w:tc>
        <w:tc>
          <w:tcPr>
            <w:tcW w:w="4536" w:type="dxa"/>
            <w:shd w:val="clear" w:color="auto" w:fill="auto"/>
            <w:vAlign w:val="center"/>
          </w:tcPr>
          <w:p w14:paraId="61662D0F">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rPr>
            </w:pPr>
            <w:r>
              <w:rPr>
                <w:rFonts w:hint="default" w:ascii="宋体" w:hAnsi="宋体" w:eastAsia="宋体" w:cs="宋体"/>
                <w:b w:val="0"/>
                <w:bCs/>
                <w:sz w:val="18"/>
                <w:szCs w:val="18"/>
                <w:lang w:val="en-US" w:eastAsia="zh-CN"/>
              </w:rPr>
              <w:t>±0.5</w:t>
            </w:r>
          </w:p>
        </w:tc>
      </w:tr>
      <w:tr w14:paraId="1784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1EACDCC5">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rPr>
            </w:pPr>
            <w:r>
              <w:rPr>
                <w:rFonts w:hint="eastAsia" w:ascii="宋体" w:hAnsi="宋体" w:eastAsia="宋体" w:cs="宋体"/>
                <w:b w:val="0"/>
                <w:bCs/>
                <w:sz w:val="18"/>
                <w:szCs w:val="18"/>
              </w:rPr>
              <w:t>＞</w:t>
            </w:r>
            <w:r>
              <w:rPr>
                <w:rFonts w:hint="default" w:ascii="宋体" w:hAnsi="宋体" w:eastAsia="宋体" w:cs="宋体"/>
                <w:b w:val="0"/>
                <w:bCs/>
                <w:sz w:val="18"/>
                <w:szCs w:val="18"/>
                <w:lang w:val="en-US" w:eastAsia="zh-CN"/>
              </w:rPr>
              <w:t>50～100</w:t>
            </w:r>
          </w:p>
        </w:tc>
        <w:tc>
          <w:tcPr>
            <w:tcW w:w="4536" w:type="dxa"/>
            <w:shd w:val="clear" w:color="auto" w:fill="auto"/>
            <w:vAlign w:val="center"/>
          </w:tcPr>
          <w:p w14:paraId="1C0F8FB8">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rPr>
            </w:pPr>
            <w:r>
              <w:rPr>
                <w:rFonts w:hint="default" w:ascii="宋体" w:hAnsi="宋体" w:eastAsia="宋体" w:cs="宋体"/>
                <w:b w:val="0"/>
                <w:bCs/>
                <w:sz w:val="18"/>
                <w:szCs w:val="18"/>
                <w:lang w:val="en-US" w:eastAsia="zh-CN"/>
              </w:rPr>
              <w:t>±0.8</w:t>
            </w:r>
          </w:p>
        </w:tc>
      </w:tr>
      <w:tr w14:paraId="2237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2DF7051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rPr>
            </w:pPr>
            <w:r>
              <w:rPr>
                <w:rFonts w:hint="eastAsia" w:ascii="宋体" w:hAnsi="宋体" w:eastAsia="宋体" w:cs="宋体"/>
                <w:b w:val="0"/>
                <w:bCs/>
                <w:sz w:val="18"/>
                <w:szCs w:val="18"/>
              </w:rPr>
              <w:t>＞</w:t>
            </w:r>
            <w:r>
              <w:rPr>
                <w:rFonts w:hint="default" w:ascii="宋体" w:hAnsi="宋体" w:eastAsia="宋体" w:cs="宋体"/>
                <w:b w:val="0"/>
                <w:bCs/>
                <w:sz w:val="18"/>
                <w:szCs w:val="18"/>
                <w:lang w:val="en-US" w:eastAsia="zh-CN"/>
              </w:rPr>
              <w:t>100～200</w:t>
            </w:r>
          </w:p>
        </w:tc>
        <w:tc>
          <w:tcPr>
            <w:tcW w:w="4536" w:type="dxa"/>
            <w:shd w:val="clear" w:color="auto" w:fill="auto"/>
            <w:vAlign w:val="center"/>
          </w:tcPr>
          <w:p w14:paraId="1A8D42F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rPr>
            </w:pPr>
            <w:r>
              <w:rPr>
                <w:rFonts w:hint="default" w:ascii="宋体" w:hAnsi="宋体" w:eastAsia="宋体" w:cs="宋体"/>
                <w:b w:val="0"/>
                <w:bCs/>
                <w:sz w:val="18"/>
                <w:szCs w:val="18"/>
                <w:lang w:val="en-US" w:eastAsia="zh-CN"/>
              </w:rPr>
              <w:t>±1.2</w:t>
            </w:r>
          </w:p>
        </w:tc>
      </w:tr>
      <w:tr w14:paraId="5CC4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7660FAD3">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rPr>
            </w:pPr>
            <w:r>
              <w:rPr>
                <w:rFonts w:hint="eastAsia" w:ascii="宋体" w:hAnsi="宋体" w:eastAsia="宋体" w:cs="宋体"/>
                <w:b w:val="0"/>
                <w:bCs/>
                <w:sz w:val="18"/>
                <w:szCs w:val="18"/>
              </w:rPr>
              <w:t>＞</w:t>
            </w:r>
            <w:r>
              <w:rPr>
                <w:rFonts w:hint="default" w:ascii="宋体" w:hAnsi="宋体" w:eastAsia="宋体" w:cs="宋体"/>
                <w:b w:val="0"/>
                <w:bCs/>
                <w:sz w:val="18"/>
                <w:szCs w:val="18"/>
                <w:lang w:val="en-US" w:eastAsia="zh-CN"/>
              </w:rPr>
              <w:t>200</w:t>
            </w:r>
          </w:p>
        </w:tc>
        <w:tc>
          <w:tcPr>
            <w:tcW w:w="4536" w:type="dxa"/>
            <w:shd w:val="clear" w:color="auto" w:fill="auto"/>
            <w:vAlign w:val="center"/>
          </w:tcPr>
          <w:p w14:paraId="1CDE878D">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rPr>
            </w:pPr>
            <w:r>
              <w:rPr>
                <w:rFonts w:hint="default" w:ascii="宋体" w:hAnsi="宋体" w:eastAsia="宋体" w:cs="宋体"/>
                <w:b w:val="0"/>
                <w:bCs/>
                <w:sz w:val="18"/>
                <w:szCs w:val="18"/>
                <w:lang w:val="en-US" w:eastAsia="zh-CN"/>
              </w:rPr>
              <w:t>±2.0</w:t>
            </w:r>
          </w:p>
        </w:tc>
      </w:tr>
    </w:tbl>
    <w:p w14:paraId="1EB8DD5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5.3.2 流道截面尺寸公差</w:t>
      </w:r>
    </w:p>
    <w:p w14:paraId="1E82C158">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流道截面的尺寸公差应符合表2的要求。</w:t>
      </w:r>
    </w:p>
    <w:p w14:paraId="2D8561B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eastAsia" w:ascii="黑体" w:hAnsi="黑体" w:eastAsia="黑体" w:cs="黑体"/>
          <w:b w:val="0"/>
          <w:bCs/>
          <w:sz w:val="21"/>
          <w:szCs w:val="21"/>
        </w:rPr>
      </w:pPr>
      <w:r>
        <w:rPr>
          <w:rFonts w:hint="eastAsia" w:ascii="黑体" w:hAnsi="黑体" w:eastAsia="黑体" w:cs="黑体"/>
          <w:b w:val="0"/>
          <w:bCs/>
          <w:sz w:val="21"/>
          <w:szCs w:val="21"/>
        </w:rPr>
        <w:t>表2 流道截面尺寸公差</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535"/>
        <w:gridCol w:w="4536"/>
      </w:tblGrid>
      <w:tr w14:paraId="50EC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Header/>
          <w:jc w:val="center"/>
        </w:trPr>
        <w:tc>
          <w:tcPr>
            <w:tcW w:w="4535" w:type="dxa"/>
            <w:shd w:val="clear" w:color="auto" w:fill="auto"/>
            <w:vAlign w:val="center"/>
          </w:tcPr>
          <w:p w14:paraId="203854F8">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流道截面尺寸/mm</w:t>
            </w:r>
          </w:p>
        </w:tc>
        <w:tc>
          <w:tcPr>
            <w:tcW w:w="4536" w:type="dxa"/>
            <w:shd w:val="clear" w:color="auto" w:fill="auto"/>
            <w:vAlign w:val="center"/>
          </w:tcPr>
          <w:p w14:paraId="347A499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公差/mm</w:t>
            </w:r>
          </w:p>
        </w:tc>
      </w:tr>
      <w:tr w14:paraId="3919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62FE876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≤5</w:t>
            </w:r>
          </w:p>
        </w:tc>
        <w:tc>
          <w:tcPr>
            <w:tcW w:w="4536" w:type="dxa"/>
            <w:shd w:val="clear" w:color="auto" w:fill="auto"/>
            <w:vAlign w:val="center"/>
          </w:tcPr>
          <w:p w14:paraId="7263994A">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±0.10</w:t>
            </w:r>
          </w:p>
        </w:tc>
      </w:tr>
      <w:tr w14:paraId="6350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35" w:type="dxa"/>
            <w:shd w:val="clear" w:color="auto" w:fill="auto"/>
            <w:vAlign w:val="center"/>
          </w:tcPr>
          <w:p w14:paraId="081BE066">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eastAsia" w:ascii="宋体" w:hAnsi="宋体" w:eastAsia="宋体" w:cs="宋体"/>
                <w:b w:val="0"/>
                <w:bCs/>
                <w:sz w:val="18"/>
                <w:szCs w:val="18"/>
              </w:rPr>
              <w:t>＞</w:t>
            </w:r>
            <w:r>
              <w:rPr>
                <w:rFonts w:hint="default" w:ascii="宋体" w:hAnsi="宋体" w:eastAsia="宋体" w:cs="宋体"/>
                <w:b w:val="0"/>
                <w:bCs/>
                <w:sz w:val="18"/>
                <w:szCs w:val="18"/>
                <w:lang w:val="en-US" w:eastAsia="zh-CN"/>
              </w:rPr>
              <w:t>5～10</w:t>
            </w:r>
          </w:p>
        </w:tc>
        <w:tc>
          <w:tcPr>
            <w:tcW w:w="4536" w:type="dxa"/>
            <w:shd w:val="clear" w:color="auto" w:fill="auto"/>
            <w:vAlign w:val="center"/>
          </w:tcPr>
          <w:p w14:paraId="789B485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±0.15</w:t>
            </w:r>
          </w:p>
        </w:tc>
      </w:tr>
      <w:tr w14:paraId="22C1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61E7FF4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eastAsia" w:ascii="宋体" w:hAnsi="宋体" w:eastAsia="宋体" w:cs="宋体"/>
                <w:b w:val="0"/>
                <w:bCs/>
                <w:sz w:val="18"/>
                <w:szCs w:val="18"/>
              </w:rPr>
              <w:t>＞</w:t>
            </w:r>
            <w:r>
              <w:rPr>
                <w:rFonts w:hint="default" w:ascii="宋体" w:hAnsi="宋体" w:eastAsia="宋体" w:cs="宋体"/>
                <w:b w:val="0"/>
                <w:bCs/>
                <w:sz w:val="18"/>
                <w:szCs w:val="18"/>
                <w:lang w:val="en-US" w:eastAsia="zh-CN"/>
              </w:rPr>
              <w:t>10～20</w:t>
            </w:r>
          </w:p>
        </w:tc>
        <w:tc>
          <w:tcPr>
            <w:tcW w:w="4536" w:type="dxa"/>
            <w:shd w:val="clear" w:color="auto" w:fill="auto"/>
            <w:vAlign w:val="center"/>
          </w:tcPr>
          <w:p w14:paraId="0BE529B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±0.20</w:t>
            </w:r>
          </w:p>
        </w:tc>
      </w:tr>
      <w:tr w14:paraId="083D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7A383FA0">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eastAsia" w:ascii="宋体" w:hAnsi="宋体" w:eastAsia="宋体" w:cs="宋体"/>
                <w:b w:val="0"/>
                <w:bCs/>
                <w:sz w:val="18"/>
                <w:szCs w:val="18"/>
              </w:rPr>
              <w:t>＞</w:t>
            </w:r>
            <w:r>
              <w:rPr>
                <w:rFonts w:hint="default" w:ascii="宋体" w:hAnsi="宋体" w:eastAsia="宋体" w:cs="宋体"/>
                <w:b w:val="0"/>
                <w:bCs/>
                <w:sz w:val="18"/>
                <w:szCs w:val="18"/>
                <w:lang w:val="en-US" w:eastAsia="zh-CN"/>
              </w:rPr>
              <w:t>20</w:t>
            </w:r>
          </w:p>
        </w:tc>
        <w:tc>
          <w:tcPr>
            <w:tcW w:w="4536" w:type="dxa"/>
            <w:shd w:val="clear" w:color="auto" w:fill="auto"/>
            <w:vAlign w:val="center"/>
          </w:tcPr>
          <w:p w14:paraId="030E325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±0.30</w:t>
            </w:r>
          </w:p>
        </w:tc>
      </w:tr>
    </w:tbl>
    <w:p w14:paraId="50045253">
      <w:pPr>
        <w:pStyle w:val="108"/>
        <w:spacing w:before="120" w:after="120"/>
        <w:rPr>
          <w:rFonts w:hint="eastAsia" w:ascii="黑体" w:hAnsi="黑体" w:eastAsia="黑体" w:cs="黑体"/>
          <w:sz w:val="21"/>
          <w:lang w:val="en-US" w:eastAsia="zh-CN" w:bidi="ar-SA"/>
        </w:rPr>
      </w:pPr>
      <w:bookmarkStart w:id="71" w:name="heading_11"/>
      <w:bookmarkStart w:id="72" w:name="_Toc11994"/>
      <w:r>
        <w:rPr>
          <w:rFonts w:hint="eastAsia" w:hAnsi="黑体" w:cs="黑体"/>
          <w:sz w:val="21"/>
          <w:lang w:val="en-US" w:eastAsia="zh-CN" w:bidi="ar-SA"/>
        </w:rPr>
        <w:t>材料</w:t>
      </w:r>
      <w:r>
        <w:rPr>
          <w:rFonts w:hint="eastAsia" w:ascii="黑体" w:hAnsi="黑体" w:eastAsia="黑体" w:cs="黑体"/>
          <w:sz w:val="21"/>
          <w:lang w:val="en-US" w:eastAsia="zh-CN" w:bidi="ar-SA"/>
        </w:rPr>
        <w:t>要求</w:t>
      </w:r>
      <w:bookmarkEnd w:id="71"/>
      <w:bookmarkEnd w:id="72"/>
    </w:p>
    <w:p w14:paraId="5CCE38C8">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5.4.1 流道材料应选用与液态金属具有良好的化学相容性、耐腐蚀性的非磁性材料，宜选用不锈钢（如304L、316L）、钛合金或陶瓷材料。</w:t>
      </w:r>
    </w:p>
    <w:p w14:paraId="3026D30C">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5.4.2 电极材料应选用导电性能优良、耐液态金属腐蚀的材料，宜选用钼、钨或镍基合金，其电阻率不应大于0.05 μΩ·m。</w:t>
      </w:r>
    </w:p>
    <w:p w14:paraId="3D78C8B8">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5.4.3 绝缘材料应选用耐温不低于200 ℃、绝缘电阻不小于100 MΩ的材料。</w:t>
      </w:r>
    </w:p>
    <w:p w14:paraId="4BBACB22">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5.4.4 永磁体材料宜选用钕铁硼（NdFeB）或钐钴（SmCo），其最大磁能积不应低于200 kJ/m³，工作温度范围内磁性能衰减不应大于5%。</w:t>
      </w:r>
    </w:p>
    <w:p w14:paraId="7371B9F1">
      <w:pPr>
        <w:pStyle w:val="108"/>
        <w:spacing w:before="120" w:after="120"/>
        <w:rPr>
          <w:rFonts w:hint="eastAsia" w:ascii="黑体" w:hAnsi="黑体" w:eastAsia="黑体" w:cs="黑体"/>
          <w:sz w:val="21"/>
          <w:lang w:val="en-US" w:eastAsia="zh-CN" w:bidi="ar-SA"/>
        </w:rPr>
      </w:pPr>
      <w:bookmarkStart w:id="73" w:name="_Toc23461"/>
      <w:bookmarkStart w:id="74" w:name="heading_12"/>
      <w:r>
        <w:rPr>
          <w:rFonts w:hint="eastAsia" w:hAnsi="黑体" w:cs="黑体"/>
          <w:sz w:val="21"/>
          <w:lang w:val="en-US" w:eastAsia="zh-CN" w:bidi="ar-SA"/>
        </w:rPr>
        <w:t>性能</w:t>
      </w:r>
      <w:r>
        <w:rPr>
          <w:rFonts w:hint="eastAsia" w:ascii="黑体" w:hAnsi="黑体" w:eastAsia="黑体" w:cs="黑体"/>
          <w:sz w:val="21"/>
          <w:lang w:val="en-US" w:eastAsia="zh-CN" w:bidi="ar-SA"/>
        </w:rPr>
        <w:t>要求</w:t>
      </w:r>
      <w:bookmarkEnd w:id="73"/>
      <w:bookmarkEnd w:id="74"/>
    </w:p>
    <w:p w14:paraId="497F49A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5.5.1 流量</w:t>
      </w:r>
    </w:p>
    <w:p w14:paraId="718E79F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电磁泵在额定工况下的流量实测值与额定值的偏差不应超过±5%。</w:t>
      </w:r>
    </w:p>
    <w:p w14:paraId="54F247F5">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5.5.2 扬程</w:t>
      </w:r>
    </w:p>
    <w:p w14:paraId="09E2D7E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电磁泵在额定工况下的扬程实测值与额定值的偏差不应超过±5%。</w:t>
      </w:r>
    </w:p>
    <w:p w14:paraId="2B9E381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5.5.3 效率</w:t>
      </w:r>
    </w:p>
    <w:p w14:paraId="00F13A2D">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电磁泵在额定工况下的效率不应低于表3的规定。</w:t>
      </w:r>
    </w:p>
    <w:p w14:paraId="131DEE7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eastAsia" w:ascii="黑体" w:hAnsi="黑体" w:eastAsia="黑体" w:cs="黑体"/>
          <w:b w:val="0"/>
          <w:bCs/>
          <w:sz w:val="21"/>
          <w:szCs w:val="21"/>
        </w:rPr>
      </w:pPr>
      <w:r>
        <w:rPr>
          <w:rFonts w:hint="eastAsia" w:ascii="黑体" w:hAnsi="黑体" w:eastAsia="黑体" w:cs="黑体"/>
          <w:b w:val="0"/>
          <w:bCs/>
          <w:sz w:val="21"/>
          <w:szCs w:val="21"/>
        </w:rPr>
        <w:t>表3 额定工况下最低效率</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535"/>
        <w:gridCol w:w="4536"/>
      </w:tblGrid>
      <w:tr w14:paraId="7906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Header/>
          <w:jc w:val="center"/>
        </w:trPr>
        <w:tc>
          <w:tcPr>
            <w:tcW w:w="4535" w:type="dxa"/>
            <w:shd w:val="clear" w:color="auto" w:fill="auto"/>
            <w:vAlign w:val="center"/>
          </w:tcPr>
          <w:p w14:paraId="57E2883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额定功率P/kW</w:t>
            </w:r>
          </w:p>
        </w:tc>
        <w:tc>
          <w:tcPr>
            <w:tcW w:w="4536" w:type="dxa"/>
            <w:shd w:val="clear" w:color="auto" w:fill="auto"/>
            <w:vAlign w:val="center"/>
          </w:tcPr>
          <w:p w14:paraId="314897F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最低效率/%</w:t>
            </w:r>
          </w:p>
        </w:tc>
      </w:tr>
      <w:tr w14:paraId="61AD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1633B20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P≤0.5</w:t>
            </w:r>
          </w:p>
        </w:tc>
        <w:tc>
          <w:tcPr>
            <w:tcW w:w="4536" w:type="dxa"/>
            <w:shd w:val="clear" w:color="auto" w:fill="auto"/>
            <w:vAlign w:val="center"/>
          </w:tcPr>
          <w:p w14:paraId="6A344AB8">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25</w:t>
            </w:r>
          </w:p>
        </w:tc>
      </w:tr>
      <w:tr w14:paraId="1F89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30D68CE0">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0.5</w:t>
            </w:r>
            <w:r>
              <w:rPr>
                <w:rFonts w:hint="eastAsia" w:ascii="宋体" w:hAnsi="宋体" w:eastAsia="宋体" w:cs="宋体"/>
                <w:b w:val="0"/>
                <w:bCs/>
                <w:sz w:val="18"/>
                <w:szCs w:val="18"/>
                <w:lang w:val="en-US" w:eastAsia="zh-CN"/>
              </w:rPr>
              <w:t>＜</w:t>
            </w:r>
            <w:r>
              <w:rPr>
                <w:rFonts w:hint="default" w:ascii="宋体" w:hAnsi="宋体" w:eastAsia="宋体" w:cs="宋体"/>
                <w:b w:val="0"/>
                <w:bCs/>
                <w:sz w:val="18"/>
                <w:szCs w:val="18"/>
                <w:lang w:val="en-US" w:eastAsia="zh-CN"/>
              </w:rPr>
              <w:t>P≤1.0</w:t>
            </w:r>
          </w:p>
        </w:tc>
        <w:tc>
          <w:tcPr>
            <w:tcW w:w="4536" w:type="dxa"/>
            <w:shd w:val="clear" w:color="auto" w:fill="auto"/>
            <w:vAlign w:val="center"/>
          </w:tcPr>
          <w:p w14:paraId="6BFEF6E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30</w:t>
            </w:r>
          </w:p>
        </w:tc>
      </w:tr>
      <w:tr w14:paraId="0C59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45EE2754">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1.0</w:t>
            </w:r>
            <w:r>
              <w:rPr>
                <w:rFonts w:hint="eastAsia" w:ascii="宋体" w:hAnsi="宋体" w:eastAsia="宋体" w:cs="宋体"/>
                <w:b w:val="0"/>
                <w:bCs/>
                <w:sz w:val="18"/>
                <w:szCs w:val="18"/>
                <w:lang w:val="en-US" w:eastAsia="zh-CN"/>
              </w:rPr>
              <w:t>＜</w:t>
            </w:r>
            <w:r>
              <w:rPr>
                <w:rFonts w:hint="default" w:ascii="宋体" w:hAnsi="宋体" w:eastAsia="宋体" w:cs="宋体"/>
                <w:b w:val="0"/>
                <w:bCs/>
                <w:sz w:val="18"/>
                <w:szCs w:val="18"/>
                <w:lang w:val="en-US" w:eastAsia="zh-CN"/>
              </w:rPr>
              <w:t>P≤2.0</w:t>
            </w:r>
          </w:p>
        </w:tc>
        <w:tc>
          <w:tcPr>
            <w:tcW w:w="4536" w:type="dxa"/>
            <w:shd w:val="clear" w:color="auto" w:fill="auto"/>
            <w:vAlign w:val="center"/>
          </w:tcPr>
          <w:p w14:paraId="216303E8">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35</w:t>
            </w:r>
          </w:p>
        </w:tc>
      </w:tr>
      <w:tr w14:paraId="6543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4C6C4E0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2.0</w:t>
            </w:r>
            <w:r>
              <w:rPr>
                <w:rFonts w:hint="eastAsia" w:ascii="宋体" w:hAnsi="宋体" w:eastAsia="宋体" w:cs="宋体"/>
                <w:b w:val="0"/>
                <w:bCs/>
                <w:sz w:val="18"/>
                <w:szCs w:val="18"/>
                <w:lang w:val="en-US" w:eastAsia="zh-CN"/>
              </w:rPr>
              <w:t>＜</w:t>
            </w:r>
            <w:r>
              <w:rPr>
                <w:rFonts w:hint="default" w:ascii="宋体" w:hAnsi="宋体" w:eastAsia="宋体" w:cs="宋体"/>
                <w:b w:val="0"/>
                <w:bCs/>
                <w:sz w:val="18"/>
                <w:szCs w:val="18"/>
                <w:lang w:val="en-US" w:eastAsia="zh-CN"/>
              </w:rPr>
              <w:t>P≤3.0</w:t>
            </w:r>
          </w:p>
        </w:tc>
        <w:tc>
          <w:tcPr>
            <w:tcW w:w="4536" w:type="dxa"/>
            <w:shd w:val="clear" w:color="auto" w:fill="auto"/>
            <w:vAlign w:val="center"/>
          </w:tcPr>
          <w:p w14:paraId="20A3AE74">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40</w:t>
            </w:r>
          </w:p>
        </w:tc>
      </w:tr>
    </w:tbl>
    <w:p w14:paraId="5B0A0CC9">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5.5.4 流量-扬程特性</w:t>
      </w:r>
    </w:p>
    <w:p w14:paraId="569B921E">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电磁泵的流量-扬程特性曲线应在额定扬程的70%～120%范围内呈单调下降趋势，且在额定工况点附近（额定流量±20%范围内）扬程变化率不应大于额定扬程的15%。</w:t>
      </w:r>
    </w:p>
    <w:p w14:paraId="6688C2B0">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5.5.5 启动性能</w:t>
      </w:r>
    </w:p>
    <w:p w14:paraId="405B9FE8">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电磁泵在额定电压的85%～110%范围内应能正常启动，启动时间不应大于2 s。</w:t>
      </w:r>
    </w:p>
    <w:p w14:paraId="213664ED">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5.5.6 连续运行</w:t>
      </w:r>
    </w:p>
    <w:p w14:paraId="393E9B12">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lang w:eastAsia="zh-CN"/>
        </w:rPr>
      </w:pPr>
      <w:r>
        <w:rPr>
          <w:rFonts w:hint="eastAsia" w:ascii="宋体" w:hAnsi="宋体" w:eastAsia="宋体" w:cs="宋体"/>
          <w:b w:val="0"/>
          <w:bCs/>
          <w:sz w:val="21"/>
          <w:szCs w:val="21"/>
        </w:rPr>
        <w:t>电磁泵在额定工况下连续运行72 h，各性能参数的变化不应超过额定值的±5%</w:t>
      </w:r>
      <w:r>
        <w:rPr>
          <w:rFonts w:hint="eastAsia" w:cs="宋体"/>
          <w:b w:val="0"/>
          <w:bCs/>
          <w:sz w:val="21"/>
          <w:szCs w:val="21"/>
          <w:lang w:eastAsia="zh-CN"/>
        </w:rPr>
        <w:t>。</w:t>
      </w:r>
    </w:p>
    <w:p w14:paraId="2277EFFA">
      <w:pPr>
        <w:pStyle w:val="108"/>
        <w:spacing w:before="120" w:after="120"/>
        <w:rPr>
          <w:rFonts w:hint="eastAsia" w:ascii="黑体" w:hAnsi="黑体" w:eastAsia="黑体" w:cs="黑体"/>
          <w:sz w:val="21"/>
          <w:lang w:val="en-US" w:eastAsia="zh-CN" w:bidi="ar-SA"/>
        </w:rPr>
      </w:pPr>
      <w:bookmarkStart w:id="75" w:name="heading_13"/>
      <w:bookmarkStart w:id="76" w:name="_Toc31683"/>
      <w:r>
        <w:rPr>
          <w:rFonts w:hint="eastAsia" w:hAnsi="黑体" w:cs="黑体"/>
          <w:sz w:val="21"/>
          <w:lang w:val="en-US" w:eastAsia="zh-CN" w:bidi="ar-SA"/>
        </w:rPr>
        <w:t>电气安全</w:t>
      </w:r>
      <w:r>
        <w:rPr>
          <w:rFonts w:hint="eastAsia" w:ascii="黑体" w:hAnsi="黑体" w:eastAsia="黑体" w:cs="黑体"/>
          <w:sz w:val="21"/>
          <w:lang w:val="en-US" w:eastAsia="zh-CN" w:bidi="ar-SA"/>
        </w:rPr>
        <w:t>要求</w:t>
      </w:r>
      <w:bookmarkEnd w:id="75"/>
      <w:bookmarkEnd w:id="76"/>
    </w:p>
    <w:p w14:paraId="72BB195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5.6.1 电磁泵的电气绝缘应符合GB/T 5959.11和GB/T 5959.1的规定。</w:t>
      </w:r>
    </w:p>
    <w:p w14:paraId="5E02743D">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5.6.2 电磁泵的绝缘电阻在正常环境条件下不应小于50 MΩ，在湿热环境下不应小于2 MΩ。</w:t>
      </w:r>
    </w:p>
    <w:p w14:paraId="41A3E28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5.6.3 电磁泵应能承受50 Hz、1500V（有效值）的耐电压试验，历时1 min，不应发生击穿或闪络现象。</w:t>
      </w:r>
    </w:p>
    <w:p w14:paraId="346F2CB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5.6.4 电磁泵的泄漏电流不应大于3.5 mA。</w:t>
      </w:r>
    </w:p>
    <w:p w14:paraId="446C01F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5.6.5 电磁泵的接地电阻不应大于0.1 Ω。</w:t>
      </w:r>
    </w:p>
    <w:p w14:paraId="134C59B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5.6.6 电磁泵的电磁兼容性应符合GB/T 21067的规定。</w:t>
      </w:r>
    </w:p>
    <w:p w14:paraId="5E386B68">
      <w:pPr>
        <w:pStyle w:val="108"/>
        <w:spacing w:before="120" w:after="120"/>
        <w:rPr>
          <w:rFonts w:hint="eastAsia" w:ascii="黑体" w:hAnsi="黑体" w:eastAsia="黑体" w:cs="黑体"/>
          <w:sz w:val="21"/>
          <w:lang w:val="en-US" w:eastAsia="zh-CN" w:bidi="ar-SA"/>
        </w:rPr>
      </w:pPr>
      <w:bookmarkStart w:id="77" w:name="_Toc28953"/>
      <w:bookmarkStart w:id="78" w:name="heading_14"/>
      <w:r>
        <w:rPr>
          <w:rFonts w:hint="eastAsia" w:ascii="黑体" w:hAnsi="黑体" w:eastAsia="黑体" w:cs="黑体"/>
          <w:sz w:val="21"/>
          <w:lang w:val="en-US" w:eastAsia="zh-CN" w:bidi="ar-SA"/>
        </w:rPr>
        <w:t>磁场性能要求</w:t>
      </w:r>
      <w:bookmarkEnd w:id="77"/>
      <w:bookmarkEnd w:id="78"/>
    </w:p>
    <w:p w14:paraId="5DDD3C90">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5.7.1 工作气隙中的磁感应强度应在设计值的±5%范围内。</w:t>
      </w:r>
    </w:p>
    <w:p w14:paraId="318210D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5.7.2 磁感应强度的轴向均匀性偏差不应大于±5%。</w:t>
      </w:r>
    </w:p>
    <w:p w14:paraId="7D8334D7">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5.7.3 永磁体励磁型电磁泵的磁路在最高工作温度下的磁通量衰减不应大于5%。</w:t>
      </w:r>
    </w:p>
    <w:p w14:paraId="2F1265E5">
      <w:pPr>
        <w:pStyle w:val="108"/>
        <w:spacing w:before="120" w:after="120"/>
        <w:rPr>
          <w:rFonts w:hint="eastAsia" w:ascii="黑体" w:hAnsi="黑体" w:eastAsia="黑体" w:cs="黑体"/>
          <w:sz w:val="21"/>
          <w:lang w:val="en-US" w:eastAsia="zh-CN" w:bidi="ar-SA"/>
        </w:rPr>
      </w:pPr>
      <w:bookmarkStart w:id="79" w:name="_Toc29820"/>
      <w:r>
        <w:rPr>
          <w:rFonts w:hint="eastAsia" w:ascii="黑体" w:hAnsi="黑体" w:eastAsia="黑体" w:cs="黑体"/>
          <w:sz w:val="21"/>
          <w:lang w:val="en-US" w:eastAsia="zh-CN" w:bidi="ar-SA"/>
        </w:rPr>
        <w:t>密封性能要求</w:t>
      </w:r>
      <w:bookmarkEnd w:id="79"/>
    </w:p>
    <w:p w14:paraId="2ED17B2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5.8.1 电磁泵的流道应在1.5倍额定工作压力下进行密封性试验，保压15 min，不应有泄漏现象。</w:t>
      </w:r>
    </w:p>
    <w:p w14:paraId="33C7FD93">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5.8.2 电磁泵在额定工作压力下，液态金属的泄漏率不应大于1×10</w:t>
      </w:r>
      <w:r>
        <w:rPr>
          <w:rFonts w:hint="eastAsia" w:cs="宋体"/>
          <w:b w:val="0"/>
          <w:bCs/>
          <w:sz w:val="21"/>
          <w:szCs w:val="21"/>
          <w:vertAlign w:val="superscript"/>
          <w:lang w:val="en-US" w:eastAsia="zh-CN"/>
        </w:rPr>
        <w:t>-7</w:t>
      </w:r>
      <w:r>
        <w:rPr>
          <w:rFonts w:hint="eastAsia" w:ascii="宋体" w:hAnsi="宋体" w:eastAsia="宋体" w:cs="宋体"/>
          <w:b w:val="0"/>
          <w:bCs/>
          <w:sz w:val="21"/>
          <w:szCs w:val="21"/>
        </w:rPr>
        <w:t xml:space="preserve"> Pa·m³/s。</w:t>
      </w:r>
    </w:p>
    <w:p w14:paraId="1D1273E0">
      <w:pPr>
        <w:pStyle w:val="108"/>
        <w:spacing w:before="120" w:after="120"/>
        <w:rPr>
          <w:rFonts w:hint="eastAsia" w:ascii="黑体" w:hAnsi="黑体" w:eastAsia="黑体" w:cs="黑体"/>
          <w:sz w:val="21"/>
          <w:lang w:val="en-US" w:eastAsia="zh-CN" w:bidi="ar-SA"/>
        </w:rPr>
      </w:pPr>
      <w:bookmarkStart w:id="80" w:name="_Toc21203"/>
      <w:r>
        <w:rPr>
          <w:rFonts w:hint="eastAsia" w:ascii="黑体" w:hAnsi="黑体" w:eastAsia="黑体" w:cs="黑体"/>
          <w:sz w:val="21"/>
          <w:lang w:val="en-US" w:eastAsia="zh-CN" w:bidi="ar-SA"/>
        </w:rPr>
        <w:t>温度要求</w:t>
      </w:r>
      <w:bookmarkEnd w:id="80"/>
    </w:p>
    <w:p w14:paraId="65D1D654">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 xml:space="preserve">5.9.1 </w:t>
      </w:r>
      <w:r>
        <w:rPr>
          <w:rFonts w:hint="eastAsia" w:cs="宋体"/>
          <w:b w:val="0"/>
          <w:bCs/>
          <w:sz w:val="21"/>
          <w:szCs w:val="21"/>
          <w:lang w:val="en-US" w:eastAsia="zh-CN"/>
        </w:rPr>
        <w:t>外壳表面温度</w:t>
      </w:r>
    </w:p>
    <w:p w14:paraId="604D34AE">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电磁泵在额定工况下连续运行2 h后，外壳表面温度不应超过表4的规定。</w:t>
      </w:r>
    </w:p>
    <w:p w14:paraId="591F947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eastAsia" w:ascii="黑体" w:hAnsi="黑体" w:eastAsia="黑体" w:cs="黑体"/>
          <w:b w:val="0"/>
          <w:bCs/>
          <w:sz w:val="21"/>
          <w:szCs w:val="21"/>
        </w:rPr>
      </w:pPr>
      <w:r>
        <w:rPr>
          <w:rFonts w:hint="eastAsia" w:ascii="黑体" w:hAnsi="黑体" w:eastAsia="黑体" w:cs="黑体"/>
          <w:b w:val="0"/>
          <w:bCs/>
          <w:sz w:val="21"/>
          <w:szCs w:val="21"/>
        </w:rPr>
        <w:t>表4 外壳表面最高允许温度</w:t>
      </w:r>
    </w:p>
    <w:tbl>
      <w:tblPr>
        <w:tblStyle w:val="2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535"/>
        <w:gridCol w:w="4536"/>
      </w:tblGrid>
      <w:tr w14:paraId="61C6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Header/>
          <w:jc w:val="center"/>
        </w:trPr>
        <w:tc>
          <w:tcPr>
            <w:tcW w:w="4535" w:type="dxa"/>
            <w:shd w:val="clear" w:color="auto" w:fill="auto"/>
            <w:vAlign w:val="center"/>
          </w:tcPr>
          <w:p w14:paraId="6FD4E36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部位</w:t>
            </w:r>
          </w:p>
        </w:tc>
        <w:tc>
          <w:tcPr>
            <w:tcW w:w="4536" w:type="dxa"/>
            <w:shd w:val="clear" w:color="auto" w:fill="auto"/>
            <w:vAlign w:val="center"/>
          </w:tcPr>
          <w:p w14:paraId="67CC410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最高允许温度/℃</w:t>
            </w:r>
          </w:p>
        </w:tc>
      </w:tr>
      <w:tr w14:paraId="6FEC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1BF41105">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外壳（可触及表面）</w:t>
            </w:r>
          </w:p>
        </w:tc>
        <w:tc>
          <w:tcPr>
            <w:tcW w:w="4536" w:type="dxa"/>
            <w:shd w:val="clear" w:color="auto" w:fill="auto"/>
            <w:vAlign w:val="center"/>
          </w:tcPr>
          <w:p w14:paraId="0E8E381A">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70</w:t>
            </w:r>
          </w:p>
        </w:tc>
      </w:tr>
      <w:tr w14:paraId="1635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35" w:type="dxa"/>
            <w:shd w:val="clear" w:color="auto" w:fill="auto"/>
            <w:vAlign w:val="center"/>
          </w:tcPr>
          <w:p w14:paraId="79AED83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接线端子</w:t>
            </w:r>
          </w:p>
        </w:tc>
        <w:tc>
          <w:tcPr>
            <w:tcW w:w="4536" w:type="dxa"/>
            <w:shd w:val="clear" w:color="auto" w:fill="auto"/>
            <w:vAlign w:val="center"/>
          </w:tcPr>
          <w:p w14:paraId="171AD394">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90</w:t>
            </w:r>
          </w:p>
        </w:tc>
      </w:tr>
      <w:tr w14:paraId="4EA7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72F9D89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磁体表面</w:t>
            </w:r>
          </w:p>
        </w:tc>
        <w:tc>
          <w:tcPr>
            <w:tcW w:w="4536" w:type="dxa"/>
            <w:shd w:val="clear" w:color="auto" w:fill="auto"/>
            <w:vAlign w:val="center"/>
          </w:tcPr>
          <w:p w14:paraId="58F3FDB0">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100</w:t>
            </w:r>
          </w:p>
        </w:tc>
      </w:tr>
      <w:tr w14:paraId="6379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4535" w:type="dxa"/>
            <w:shd w:val="clear" w:color="auto" w:fill="auto"/>
            <w:vAlign w:val="center"/>
          </w:tcPr>
          <w:p w14:paraId="6746AB87">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线圈绕组（F级绝缘）</w:t>
            </w:r>
          </w:p>
        </w:tc>
        <w:tc>
          <w:tcPr>
            <w:tcW w:w="4536" w:type="dxa"/>
            <w:shd w:val="clear" w:color="auto" w:fill="auto"/>
            <w:vAlign w:val="center"/>
          </w:tcPr>
          <w:p w14:paraId="21246F2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center"/>
              <w:textAlignment w:val="auto"/>
              <w:outlineLvl w:val="9"/>
              <w:rPr>
                <w:rFonts w:hint="default" w:ascii="宋体" w:hAnsi="宋体" w:eastAsia="宋体" w:cs="宋体"/>
                <w:b w:val="0"/>
                <w:bCs/>
                <w:sz w:val="18"/>
                <w:szCs w:val="18"/>
                <w:lang w:val="en-US" w:eastAsia="zh-CN"/>
              </w:rPr>
            </w:pPr>
            <w:r>
              <w:rPr>
                <w:rFonts w:hint="default" w:ascii="宋体" w:hAnsi="宋体" w:eastAsia="宋体" w:cs="宋体"/>
                <w:b w:val="0"/>
                <w:bCs/>
                <w:sz w:val="18"/>
                <w:szCs w:val="18"/>
                <w:lang w:val="en-US" w:eastAsia="zh-CN"/>
              </w:rPr>
              <w:t>155</w:t>
            </w:r>
          </w:p>
        </w:tc>
      </w:tr>
    </w:tbl>
    <w:p w14:paraId="2992AF7B">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 xml:space="preserve">5.9.2 </w:t>
      </w:r>
      <w:r>
        <w:rPr>
          <w:rFonts w:hint="eastAsia" w:cs="宋体"/>
          <w:b w:val="0"/>
          <w:bCs/>
          <w:sz w:val="21"/>
          <w:szCs w:val="21"/>
          <w:lang w:val="en-US" w:eastAsia="zh-CN"/>
        </w:rPr>
        <w:t>工作介质温度</w:t>
      </w:r>
    </w:p>
    <w:p w14:paraId="5CF788F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电磁泵的工作介质温度范围应为10 ℃～100 ℃。</w:t>
      </w:r>
    </w:p>
    <w:p w14:paraId="28A8D389">
      <w:pPr>
        <w:pStyle w:val="108"/>
        <w:spacing w:before="120" w:after="120"/>
        <w:rPr>
          <w:rFonts w:hint="eastAsia" w:ascii="黑体" w:hAnsi="黑体" w:eastAsia="黑体" w:cs="黑体"/>
          <w:sz w:val="21"/>
          <w:lang w:val="en-US" w:eastAsia="zh-CN" w:bidi="ar-SA"/>
        </w:rPr>
      </w:pPr>
      <w:bookmarkStart w:id="81" w:name="heading_15"/>
      <w:bookmarkStart w:id="82" w:name="_Toc1594"/>
      <w:r>
        <w:rPr>
          <w:rFonts w:hint="eastAsia" w:ascii="黑体" w:hAnsi="黑体" w:eastAsia="黑体" w:cs="黑体"/>
          <w:sz w:val="21"/>
          <w:lang w:val="en-US" w:eastAsia="zh-CN" w:bidi="ar-SA"/>
        </w:rPr>
        <w:t>噪声与振动要求</w:t>
      </w:r>
      <w:bookmarkEnd w:id="81"/>
      <w:bookmarkEnd w:id="82"/>
    </w:p>
    <w:p w14:paraId="116ACA39">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5.10.1 电磁泵在额定工况下运行时，距设备1 m处的噪声声压级不应大于60 dB(A)。</w:t>
      </w:r>
    </w:p>
    <w:p w14:paraId="418AFEE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5.10.2 电磁泵在额定工况下运行时，外壳振动速度有效值不应大于2.0 mm/s。</w:t>
      </w:r>
    </w:p>
    <w:p w14:paraId="60A3B815">
      <w:pPr>
        <w:pStyle w:val="108"/>
        <w:spacing w:before="120" w:after="120"/>
        <w:rPr>
          <w:rFonts w:hint="eastAsia" w:ascii="黑体" w:hAnsi="黑体" w:eastAsia="黑体" w:cs="黑体"/>
          <w:sz w:val="21"/>
          <w:lang w:val="en-US" w:eastAsia="zh-CN" w:bidi="ar-SA"/>
        </w:rPr>
      </w:pPr>
      <w:bookmarkStart w:id="83" w:name="heading_16"/>
      <w:bookmarkStart w:id="84" w:name="_Toc10481"/>
      <w:r>
        <w:rPr>
          <w:rFonts w:hint="eastAsia" w:hAnsi="黑体" w:cs="黑体"/>
          <w:sz w:val="21"/>
          <w:lang w:val="en-US" w:eastAsia="zh-CN" w:bidi="ar-SA"/>
        </w:rPr>
        <w:t>耐久性</w:t>
      </w:r>
      <w:r>
        <w:rPr>
          <w:rFonts w:hint="eastAsia" w:ascii="黑体" w:hAnsi="黑体" w:eastAsia="黑体" w:cs="黑体"/>
          <w:sz w:val="21"/>
          <w:lang w:val="en-US" w:eastAsia="zh-CN" w:bidi="ar-SA"/>
        </w:rPr>
        <w:t>要求</w:t>
      </w:r>
      <w:bookmarkEnd w:id="83"/>
      <w:bookmarkEnd w:id="84"/>
    </w:p>
    <w:p w14:paraId="366287F8">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5.11.1 电磁泵在额定工况下累计运行时间不应少于5000 h。</w:t>
      </w:r>
    </w:p>
    <w:p w14:paraId="2810AC3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5.11.2 电磁泵在额定工况下进行不少于10000次启停循环试验后，应能正常工作，性能参数的变化不应超过额定值的±8%。</w:t>
      </w:r>
    </w:p>
    <w:p w14:paraId="7BAA35C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5.11.3 电磁泵的设计使用寿命不应少于10年。</w:t>
      </w:r>
    </w:p>
    <w:p w14:paraId="0FF7CFB3">
      <w:pPr>
        <w:pStyle w:val="107"/>
        <w:spacing w:before="240" w:after="240"/>
        <w:rPr>
          <w:rFonts w:hint="eastAsia"/>
          <w:szCs w:val="21"/>
        </w:rPr>
      </w:pPr>
      <w:bookmarkStart w:id="85" w:name="_Toc20858"/>
      <w:bookmarkStart w:id="86" w:name="heading_17"/>
      <w:r>
        <w:rPr>
          <w:rFonts w:hint="eastAsia"/>
          <w:szCs w:val="21"/>
        </w:rPr>
        <w:t>试验方法</w:t>
      </w:r>
      <w:bookmarkEnd w:id="85"/>
      <w:bookmarkEnd w:id="86"/>
    </w:p>
    <w:p w14:paraId="44B513FE">
      <w:pPr>
        <w:pStyle w:val="108"/>
        <w:spacing w:before="120" w:after="120"/>
        <w:rPr>
          <w:rFonts w:hint="eastAsia" w:ascii="黑体" w:hAnsi="黑体" w:eastAsia="黑体" w:cs="黑体"/>
          <w:sz w:val="21"/>
          <w:lang w:val="en-US" w:eastAsia="zh-CN" w:bidi="ar-SA"/>
        </w:rPr>
      </w:pPr>
      <w:bookmarkStart w:id="87" w:name="heading_18"/>
      <w:bookmarkStart w:id="88" w:name="_Toc3970"/>
      <w:r>
        <w:rPr>
          <w:rFonts w:hint="eastAsia" w:ascii="黑体" w:hAnsi="黑体" w:eastAsia="黑体" w:cs="黑体"/>
          <w:sz w:val="21"/>
          <w:lang w:val="en-US" w:eastAsia="zh-CN" w:bidi="ar-SA"/>
        </w:rPr>
        <w:t>试验条件</w:t>
      </w:r>
      <w:bookmarkEnd w:id="87"/>
      <w:bookmarkEnd w:id="88"/>
    </w:p>
    <w:p w14:paraId="78E2E308">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6.1.1 环境条件</w:t>
      </w:r>
    </w:p>
    <w:p w14:paraId="1BC0D74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试验应在下列环境条件下进行：</w:t>
      </w:r>
    </w:p>
    <w:p w14:paraId="04236D55">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a) 环境温度：15 ℃～35 ℃；</w:t>
      </w:r>
    </w:p>
    <w:p w14:paraId="68A0854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b) 相对湿度：45%～85%；</w:t>
      </w:r>
    </w:p>
    <w:p w14:paraId="4EDC5713">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c) 大气压力：86 kPa～106 kPa。</w:t>
      </w:r>
    </w:p>
    <w:p w14:paraId="0679FDC7">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6.1.2 试验介质</w:t>
      </w:r>
    </w:p>
    <w:p w14:paraId="4529CFAB">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试验用液态金属应符合设计要求，宜选用镓铟锡合金（GaInSn），其电导率不应低于3.0×10⁶ S/m，密度不应低于6.0 g/cm³。</w:t>
      </w:r>
    </w:p>
    <w:p w14:paraId="11413EB8">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6.1.3 试验电源</w:t>
      </w:r>
    </w:p>
    <w:p w14:paraId="7350A9A3">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试验用电源的电压波动不应超过额定值的±2%，频率波动不应超过额定值的±1%。</w:t>
      </w:r>
    </w:p>
    <w:p w14:paraId="57C1D452">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6.1.4 测量仪器</w:t>
      </w:r>
    </w:p>
    <w:p w14:paraId="12F34A2A">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测量仪器应在有效检定或校准周期内，其准确度应符合下列要求：</w:t>
      </w:r>
    </w:p>
    <w:p w14:paraId="6356D7EE">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a) 流量测量：准确度不低于±1.0%；</w:t>
      </w:r>
    </w:p>
    <w:p w14:paraId="47600B85">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b) 压力测量：准确度不低于±0.5%；</w:t>
      </w:r>
    </w:p>
    <w:p w14:paraId="78B03B74">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c) 温度测量：准确度不低于±0.5 ℃；</w:t>
      </w:r>
    </w:p>
    <w:p w14:paraId="5F0F417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d) 电压测量：准确度不低于±0.5%；</w:t>
      </w:r>
    </w:p>
    <w:p w14:paraId="4AF95343">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e) 电流测量：准确度不低于±0.5%；</w:t>
      </w:r>
    </w:p>
    <w:p w14:paraId="473EAE3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f) 磁感应强度测量：准确度不低于±1.0%。</w:t>
      </w:r>
    </w:p>
    <w:p w14:paraId="6629BC5A">
      <w:pPr>
        <w:pStyle w:val="108"/>
        <w:spacing w:before="120" w:after="120"/>
        <w:rPr>
          <w:rFonts w:hint="eastAsia" w:ascii="黑体" w:hAnsi="黑体" w:eastAsia="黑体" w:cs="黑体"/>
          <w:sz w:val="21"/>
          <w:lang w:val="en-US" w:eastAsia="zh-CN" w:bidi="ar-SA"/>
        </w:rPr>
      </w:pPr>
      <w:bookmarkStart w:id="89" w:name="_Toc12654"/>
      <w:r>
        <w:rPr>
          <w:rFonts w:hint="eastAsia" w:ascii="黑体" w:hAnsi="黑体" w:eastAsia="黑体" w:cs="黑体"/>
          <w:sz w:val="21"/>
          <w:lang w:val="en-US" w:eastAsia="zh-CN" w:bidi="ar-SA"/>
        </w:rPr>
        <w:t>外观与结构</w:t>
      </w:r>
      <w:r>
        <w:rPr>
          <w:rFonts w:hint="eastAsia" w:hAnsi="黑体" w:cs="黑体"/>
          <w:sz w:val="21"/>
          <w:lang w:val="en-US" w:eastAsia="zh-CN" w:bidi="ar-SA"/>
        </w:rPr>
        <w:t>试验</w:t>
      </w:r>
      <w:bookmarkEnd w:id="89"/>
    </w:p>
    <w:p w14:paraId="32BC55AE">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6.2.1 在光照度不低于300 lx的条件下，目视检查电磁泵外壳表面质量、各连接部位的紧固件连接状态</w:t>
      </w:r>
      <w:r>
        <w:rPr>
          <w:rFonts w:hint="eastAsia" w:cs="宋体"/>
          <w:b w:val="0"/>
          <w:bCs/>
          <w:sz w:val="21"/>
          <w:szCs w:val="21"/>
          <w:lang w:val="en-US" w:eastAsia="zh-CN"/>
        </w:rPr>
        <w:t>及</w:t>
      </w:r>
      <w:r>
        <w:rPr>
          <w:rFonts w:hint="eastAsia" w:ascii="宋体" w:hAnsi="宋体" w:eastAsia="宋体" w:cs="宋体"/>
          <w:b w:val="0"/>
          <w:bCs/>
          <w:sz w:val="21"/>
          <w:szCs w:val="21"/>
        </w:rPr>
        <w:t>磁体表面状态。</w:t>
      </w:r>
    </w:p>
    <w:p w14:paraId="2C189F89">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6.2.</w:t>
      </w:r>
      <w:r>
        <w:rPr>
          <w:rFonts w:hint="eastAsia" w:cs="宋体"/>
          <w:b w:val="0"/>
          <w:bCs/>
          <w:sz w:val="21"/>
          <w:szCs w:val="21"/>
          <w:lang w:val="en-US" w:eastAsia="zh-CN"/>
        </w:rPr>
        <w:t>2</w:t>
      </w:r>
      <w:r>
        <w:rPr>
          <w:rFonts w:hint="eastAsia" w:ascii="宋体" w:hAnsi="宋体" w:eastAsia="宋体" w:cs="宋体"/>
          <w:b w:val="0"/>
          <w:bCs/>
          <w:sz w:val="21"/>
          <w:szCs w:val="21"/>
        </w:rPr>
        <w:t xml:space="preserve"> 采用表面粗糙度仪测量流道内壁的表面粗糙度</w:t>
      </w:r>
      <w:r>
        <w:rPr>
          <w:rFonts w:hint="eastAsia" w:cs="宋体"/>
          <w:b w:val="0"/>
          <w:bCs/>
          <w:sz w:val="21"/>
          <w:szCs w:val="21"/>
          <w:lang w:eastAsia="zh-CN"/>
        </w:rPr>
        <w:t>，</w:t>
      </w:r>
      <w:r>
        <w:rPr>
          <w:rFonts w:hint="eastAsia" w:ascii="宋体" w:hAnsi="宋体" w:eastAsia="宋体" w:cs="宋体"/>
          <w:b w:val="0"/>
          <w:bCs/>
          <w:sz w:val="21"/>
          <w:szCs w:val="21"/>
        </w:rPr>
        <w:t>在流道内壁沿流向均匀选取不少于3个测区，每个测区测量3次，取算术平均值。</w:t>
      </w:r>
    </w:p>
    <w:p w14:paraId="1EB8ADB3">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6.2.</w:t>
      </w:r>
      <w:r>
        <w:rPr>
          <w:rFonts w:hint="eastAsia" w:cs="宋体"/>
          <w:b w:val="0"/>
          <w:bCs/>
          <w:sz w:val="21"/>
          <w:szCs w:val="21"/>
          <w:lang w:val="en-US" w:eastAsia="zh-CN"/>
        </w:rPr>
        <w:t>3</w:t>
      </w:r>
      <w:r>
        <w:rPr>
          <w:rFonts w:hint="eastAsia" w:ascii="宋体" w:hAnsi="宋体" w:eastAsia="宋体" w:cs="宋体"/>
          <w:b w:val="0"/>
          <w:bCs/>
          <w:sz w:val="21"/>
          <w:szCs w:val="21"/>
        </w:rPr>
        <w:t xml:space="preserve"> 外壳防护等级试验按GB/T 4208的规定进行。</w:t>
      </w:r>
    </w:p>
    <w:p w14:paraId="5CBA829B">
      <w:pPr>
        <w:pStyle w:val="108"/>
        <w:spacing w:before="120" w:after="120"/>
        <w:rPr>
          <w:rFonts w:hint="eastAsia" w:ascii="黑体" w:hAnsi="黑体" w:eastAsia="黑体" w:cs="黑体"/>
          <w:sz w:val="21"/>
          <w:lang w:val="en-US" w:eastAsia="zh-CN" w:bidi="ar-SA"/>
        </w:rPr>
      </w:pPr>
      <w:bookmarkStart w:id="90" w:name="_Toc28367"/>
      <w:r>
        <w:rPr>
          <w:rFonts w:hint="eastAsia" w:hAnsi="黑体" w:cs="黑体"/>
          <w:sz w:val="21"/>
          <w:lang w:val="en-US" w:eastAsia="zh-CN" w:bidi="ar-SA"/>
        </w:rPr>
        <w:t>尺寸与公差试验</w:t>
      </w:r>
      <w:bookmarkEnd w:id="90"/>
    </w:p>
    <w:p w14:paraId="516F0131">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6.3.1 采用精度不低于0.02 mm的通用量具测量电磁泵的外形尺寸（长、宽、高），每个尺寸测量3次，取算术平均值，计算其与设计图样规定值的偏差。</w:t>
      </w:r>
    </w:p>
    <w:p w14:paraId="074B9512">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6.3.2 采用精度不低于0.02 mm的通用量具测量流道截面的关键尺寸（宽度、高度或直径），在流道入口、中部、出口三个截面分别测量，取算术平均值，计算其与设计图样规定值的偏差。</w:t>
      </w:r>
    </w:p>
    <w:p w14:paraId="43C0DA2B">
      <w:pPr>
        <w:pStyle w:val="108"/>
        <w:spacing w:before="120" w:after="120"/>
        <w:rPr>
          <w:rFonts w:hint="eastAsia" w:ascii="黑体" w:hAnsi="黑体" w:eastAsia="黑体" w:cs="黑体"/>
          <w:sz w:val="21"/>
          <w:lang w:val="en-US" w:eastAsia="zh-CN" w:bidi="ar-SA"/>
        </w:rPr>
      </w:pPr>
      <w:bookmarkStart w:id="91" w:name="_Toc26543"/>
      <w:r>
        <w:rPr>
          <w:rFonts w:hint="eastAsia" w:ascii="黑体" w:hAnsi="黑体" w:eastAsia="黑体" w:cs="黑体"/>
          <w:sz w:val="21"/>
          <w:lang w:val="en-US" w:eastAsia="zh-CN" w:bidi="ar-SA"/>
        </w:rPr>
        <w:t>材料</w:t>
      </w:r>
      <w:r>
        <w:rPr>
          <w:rFonts w:hint="eastAsia" w:hAnsi="黑体" w:cs="黑体"/>
          <w:sz w:val="21"/>
          <w:lang w:val="en-US" w:eastAsia="zh-CN" w:bidi="ar-SA"/>
        </w:rPr>
        <w:t>试验</w:t>
      </w:r>
      <w:bookmarkEnd w:id="91"/>
    </w:p>
    <w:p w14:paraId="63769BD5">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w:t>
      </w:r>
      <w:r>
        <w:rPr>
          <w:rFonts w:hint="eastAsia" w:cs="宋体"/>
          <w:b w:val="0"/>
          <w:bCs/>
          <w:sz w:val="21"/>
          <w:szCs w:val="21"/>
          <w:lang w:val="en-US" w:eastAsia="zh-CN"/>
        </w:rPr>
        <w:t>4</w:t>
      </w:r>
      <w:r>
        <w:rPr>
          <w:rFonts w:hint="eastAsia" w:ascii="宋体" w:hAnsi="宋体" w:eastAsia="宋体" w:cs="宋体"/>
          <w:b w:val="0"/>
          <w:bCs/>
          <w:sz w:val="21"/>
          <w:szCs w:val="21"/>
        </w:rPr>
        <w:t>.1 流道材料</w:t>
      </w:r>
    </w:p>
    <w:p w14:paraId="17CA9334">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从流道材料上取样，按相应材料标准进行化学成分分析和力学性能试验。</w:t>
      </w:r>
    </w:p>
    <w:p w14:paraId="2C95C37E">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w:t>
      </w:r>
      <w:r>
        <w:rPr>
          <w:rFonts w:hint="eastAsia" w:cs="宋体"/>
          <w:b w:val="0"/>
          <w:bCs/>
          <w:sz w:val="21"/>
          <w:szCs w:val="21"/>
          <w:lang w:val="en-US" w:eastAsia="zh-CN"/>
        </w:rPr>
        <w:t>4</w:t>
      </w:r>
      <w:r>
        <w:rPr>
          <w:rFonts w:hint="eastAsia" w:ascii="宋体" w:hAnsi="宋体" w:eastAsia="宋体" w:cs="宋体"/>
          <w:b w:val="0"/>
          <w:bCs/>
          <w:sz w:val="21"/>
          <w:szCs w:val="21"/>
        </w:rPr>
        <w:t>.2 电极材料</w:t>
      </w:r>
    </w:p>
    <w:p w14:paraId="03D4DB2B">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电阻率应按GB/T 3048.5的规定进行测量。</w:t>
      </w:r>
    </w:p>
    <w:p w14:paraId="1B03EFEA">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6.</w:t>
      </w:r>
      <w:r>
        <w:rPr>
          <w:rFonts w:hint="eastAsia" w:ascii="宋体" w:hAnsi="宋体" w:eastAsia="宋体" w:cs="宋体"/>
          <w:b w:val="0"/>
          <w:bCs/>
          <w:sz w:val="21"/>
          <w:szCs w:val="21"/>
          <w:lang w:val="en-US" w:eastAsia="zh-CN"/>
        </w:rPr>
        <w:t>4</w:t>
      </w:r>
      <w:r>
        <w:rPr>
          <w:rFonts w:hint="eastAsia" w:ascii="宋体" w:hAnsi="宋体" w:eastAsia="宋体" w:cs="宋体"/>
          <w:b w:val="0"/>
          <w:bCs/>
          <w:sz w:val="21"/>
          <w:szCs w:val="21"/>
        </w:rPr>
        <w:t xml:space="preserve">.3 </w:t>
      </w:r>
      <w:r>
        <w:rPr>
          <w:rFonts w:hint="eastAsia" w:ascii="宋体" w:hAnsi="宋体" w:eastAsia="宋体" w:cs="宋体"/>
          <w:b w:val="0"/>
          <w:bCs/>
          <w:sz w:val="21"/>
          <w:szCs w:val="21"/>
          <w:lang w:val="en-US" w:eastAsia="zh-CN"/>
        </w:rPr>
        <w:t>绝缘材料</w:t>
      </w:r>
    </w:p>
    <w:p w14:paraId="56164F32">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outlineLvl w:val="9"/>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应按照以下方法进行：</w:t>
      </w:r>
    </w:p>
    <w:p w14:paraId="46FA7D85">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outlineLvl w:val="9"/>
        <w:rPr>
          <w:rFonts w:hint="eastAsia" w:ascii="宋体" w:hAnsi="宋体" w:eastAsia="宋体" w:cs="宋体"/>
          <w:b w:val="0"/>
          <w:bCs/>
          <w:sz w:val="21"/>
          <w:szCs w:val="21"/>
          <w:lang w:eastAsia="zh-CN"/>
        </w:rPr>
      </w:pPr>
      <w:r>
        <w:rPr>
          <w:rFonts w:hint="eastAsia" w:ascii="宋体" w:hAnsi="宋体" w:eastAsia="宋体" w:cs="宋体"/>
          <w:b w:val="0"/>
          <w:bCs/>
          <w:sz w:val="21"/>
          <w:szCs w:val="21"/>
          <w:lang w:val="en-US" w:eastAsia="zh-CN"/>
        </w:rPr>
        <w:t xml:space="preserve">a) </w:t>
      </w:r>
      <w:r>
        <w:rPr>
          <w:rFonts w:hint="eastAsia" w:ascii="宋体" w:hAnsi="宋体" w:eastAsia="宋体" w:cs="宋体"/>
          <w:b w:val="0"/>
          <w:bCs/>
          <w:sz w:val="21"/>
          <w:szCs w:val="21"/>
        </w:rPr>
        <w:t>耐温性能按GB/T 11026.1的规定进行热老化试验，采用热重分析法（TGA）测定材料的热分解起始温度</w:t>
      </w:r>
      <w:r>
        <w:rPr>
          <w:rFonts w:hint="eastAsia" w:ascii="宋体" w:hAnsi="宋体" w:eastAsia="宋体" w:cs="宋体"/>
          <w:b w:val="0"/>
          <w:bCs/>
          <w:sz w:val="21"/>
          <w:szCs w:val="21"/>
          <w:lang w:eastAsia="zh-CN"/>
        </w:rPr>
        <w:t>；</w:t>
      </w:r>
    </w:p>
    <w:p w14:paraId="7FF9DAB1">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 xml:space="preserve">b) </w:t>
      </w:r>
      <w:r>
        <w:rPr>
          <w:rFonts w:hint="eastAsia" w:ascii="宋体" w:hAnsi="宋体" w:eastAsia="宋体" w:cs="宋体"/>
          <w:b w:val="0"/>
          <w:bCs/>
          <w:sz w:val="21"/>
          <w:szCs w:val="21"/>
        </w:rPr>
        <w:t>绝缘电阻测量按GB/T 3048.5的规定进行。</w:t>
      </w:r>
    </w:p>
    <w:p w14:paraId="2F04497B">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6.</w:t>
      </w:r>
      <w:r>
        <w:rPr>
          <w:rFonts w:hint="eastAsia" w:cs="宋体"/>
          <w:b w:val="0"/>
          <w:bCs/>
          <w:sz w:val="21"/>
          <w:szCs w:val="21"/>
          <w:lang w:val="en-US" w:eastAsia="zh-CN"/>
        </w:rPr>
        <w:t>4</w:t>
      </w:r>
      <w:r>
        <w:rPr>
          <w:rFonts w:hint="eastAsia" w:ascii="宋体" w:hAnsi="宋体" w:eastAsia="宋体" w:cs="宋体"/>
          <w:b w:val="0"/>
          <w:bCs/>
          <w:sz w:val="21"/>
          <w:szCs w:val="21"/>
        </w:rPr>
        <w:t>.</w:t>
      </w:r>
      <w:r>
        <w:rPr>
          <w:rFonts w:hint="eastAsia" w:cs="宋体"/>
          <w:b w:val="0"/>
          <w:bCs/>
          <w:sz w:val="21"/>
          <w:szCs w:val="21"/>
          <w:lang w:val="en-US" w:eastAsia="zh-CN"/>
        </w:rPr>
        <w:t>4</w:t>
      </w:r>
      <w:r>
        <w:rPr>
          <w:rFonts w:hint="eastAsia" w:ascii="宋体" w:hAnsi="宋体" w:eastAsia="宋体" w:cs="宋体"/>
          <w:b w:val="0"/>
          <w:bCs/>
          <w:sz w:val="21"/>
          <w:szCs w:val="21"/>
        </w:rPr>
        <w:t xml:space="preserve"> 永磁体</w:t>
      </w:r>
      <w:r>
        <w:rPr>
          <w:rFonts w:hint="eastAsia" w:ascii="宋体" w:hAnsi="宋体" w:eastAsia="宋体" w:cs="宋体"/>
          <w:b w:val="0"/>
          <w:bCs/>
          <w:sz w:val="21"/>
          <w:szCs w:val="21"/>
          <w:lang w:val="en-US" w:eastAsia="zh-CN"/>
        </w:rPr>
        <w:t>材料</w:t>
      </w:r>
    </w:p>
    <w:p w14:paraId="6580FB1D">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永磁体的磁性能按GB/T 13560的规定进行测量，采用闭路测量法测量剩磁、矫顽力和最大磁能积。</w:t>
      </w:r>
    </w:p>
    <w:p w14:paraId="547CC272">
      <w:pPr>
        <w:pStyle w:val="108"/>
        <w:spacing w:before="120" w:after="120"/>
        <w:rPr>
          <w:rFonts w:hint="eastAsia" w:ascii="黑体" w:hAnsi="黑体" w:eastAsia="黑体" w:cs="黑体"/>
          <w:sz w:val="21"/>
          <w:lang w:val="en-US" w:eastAsia="zh-CN" w:bidi="ar-SA"/>
        </w:rPr>
      </w:pPr>
      <w:bookmarkStart w:id="92" w:name="_Toc23220"/>
      <w:r>
        <w:rPr>
          <w:rFonts w:hint="eastAsia" w:ascii="黑体" w:hAnsi="黑体" w:eastAsia="黑体" w:cs="黑体"/>
          <w:sz w:val="21"/>
          <w:lang w:val="en-US" w:eastAsia="zh-CN" w:bidi="ar-SA"/>
        </w:rPr>
        <w:t>性能试验</w:t>
      </w:r>
      <w:bookmarkEnd w:id="92"/>
    </w:p>
    <w:p w14:paraId="0FB8084B">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w:t>
      </w:r>
      <w:r>
        <w:rPr>
          <w:rFonts w:hint="eastAsia" w:cs="宋体"/>
          <w:b w:val="0"/>
          <w:bCs/>
          <w:sz w:val="21"/>
          <w:szCs w:val="21"/>
          <w:lang w:val="en-US" w:eastAsia="zh-CN"/>
        </w:rPr>
        <w:t>5</w:t>
      </w:r>
      <w:r>
        <w:rPr>
          <w:rFonts w:hint="eastAsia" w:ascii="宋体" w:hAnsi="宋体" w:eastAsia="宋体" w:cs="宋体"/>
          <w:b w:val="0"/>
          <w:bCs/>
          <w:sz w:val="21"/>
          <w:szCs w:val="21"/>
        </w:rPr>
        <w:t>.1 流量测量</w:t>
      </w:r>
    </w:p>
    <w:p w14:paraId="17968C64">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采用容积法或质量法进行测量。电磁泵在额定工况下稳定运行不少于10 min后，在出口管路中连续测量不少于3次，取算术平均值。</w:t>
      </w:r>
    </w:p>
    <w:p w14:paraId="127BF35A">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w:t>
      </w:r>
      <w:r>
        <w:rPr>
          <w:rFonts w:hint="eastAsia" w:cs="宋体"/>
          <w:b w:val="0"/>
          <w:bCs/>
          <w:sz w:val="21"/>
          <w:szCs w:val="21"/>
          <w:lang w:val="en-US" w:eastAsia="zh-CN"/>
        </w:rPr>
        <w:t>5</w:t>
      </w:r>
      <w:r>
        <w:rPr>
          <w:rFonts w:hint="eastAsia" w:ascii="宋体" w:hAnsi="宋体" w:eastAsia="宋体" w:cs="宋体"/>
          <w:b w:val="0"/>
          <w:bCs/>
          <w:sz w:val="21"/>
          <w:szCs w:val="21"/>
        </w:rPr>
        <w:t>.2 扬程测量</w:t>
      </w:r>
    </w:p>
    <w:p w14:paraId="3BD03A8E">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ascii="宋体" w:hAnsi="宋体" w:eastAsia="宋体" w:cs="宋体"/>
          <w:b w:val="0"/>
          <w:bCs/>
          <w:sz w:val="21"/>
          <w:szCs w:val="21"/>
        </w:rPr>
        <w:t>在电磁泵进出口设置压力传感器，传感器安装位置距泵进出口法兰的距离不应小于2倍管径。待压力示值稳定后读数，按式（</w:t>
      </w:r>
      <w:r>
        <w:rPr>
          <w:rFonts w:hint="eastAsia" w:cs="宋体"/>
          <w:b w:val="0"/>
          <w:bCs/>
          <w:sz w:val="21"/>
          <w:szCs w:val="21"/>
          <w:lang w:val="en-US" w:eastAsia="zh-CN"/>
        </w:rPr>
        <w:t>1</w:t>
      </w:r>
      <w:r>
        <w:rPr>
          <w:rFonts w:hint="eastAsia" w:ascii="宋体" w:hAnsi="宋体" w:eastAsia="宋体" w:cs="宋体"/>
          <w:b w:val="0"/>
          <w:bCs/>
          <w:sz w:val="21"/>
          <w:szCs w:val="21"/>
        </w:rPr>
        <w:t>）计算扬程</w:t>
      </w:r>
      <w:r>
        <w:rPr>
          <w:rFonts w:hint="eastAsia" w:cs="宋体"/>
          <w:b w:val="0"/>
          <w:bCs/>
          <w:sz w:val="21"/>
          <w:szCs w:val="21"/>
          <w:lang w:eastAsia="zh-CN"/>
        </w:rPr>
        <w:t>：</w:t>
      </w:r>
    </w:p>
    <w:p w14:paraId="18DEADA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default" w:cs="宋体"/>
          <w:b w:val="0"/>
          <w:bCs/>
          <w:sz w:val="21"/>
          <w:szCs w:val="21"/>
          <w:lang w:val="en-US" w:eastAsia="zh-CN"/>
        </w:rPr>
      </w:pPr>
      <m:oMathPara>
        <m:oMath>
          <m:eqArr>
            <m:eqArrPr>
              <m:maxDist m:val="1"/>
              <m:ctrlPr>
                <w:rPr>
                  <w:rFonts w:hint="default" w:ascii="Cambria Math" w:hAnsi="Cambria Math" w:cs="Times New Roman"/>
                  <w:b w:val="0"/>
                  <w:bCs/>
                  <w:i/>
                  <w:kern w:val="2"/>
                  <w:sz w:val="21"/>
                  <w:szCs w:val="21"/>
                  <w:lang w:val="en-US" w:eastAsia="zh-CN" w:bidi="ar-SA"/>
                </w:rPr>
              </m:ctrlPr>
            </m:eqArrPr>
            <m:e>
              <m:r>
                <m:rPr>
                  <m:nor/>
                </m:rPr>
                <w:rPr>
                  <w:rFonts w:hint="default" w:ascii="Times New Roman" w:hAnsi="Times New Roman" w:cs="Times New Roman"/>
                  <w:b w:val="0"/>
                  <w:bCs/>
                  <w:i/>
                  <w:kern w:val="2"/>
                  <w:sz w:val="21"/>
                  <w:szCs w:val="21"/>
                  <w:lang w:val="en-US" w:eastAsia="zh-CN" w:bidi="ar-SA"/>
                </w:rPr>
                <m:t>H</m:t>
              </m:r>
              <m:r>
                <m:rPr>
                  <m:nor/>
                  <m:sty m:val="p"/>
                </m:rPr>
                <w:rPr>
                  <w:rFonts w:hint="default" w:ascii="Times New Roman" w:hAnsi="Times New Roman" w:cs="Times New Roman"/>
                  <w:b w:val="0"/>
                  <w:bCs/>
                  <w:i w:val="0"/>
                  <w:kern w:val="2"/>
                  <w:sz w:val="21"/>
                  <w:szCs w:val="21"/>
                  <w:lang w:val="en-US" w:eastAsia="zh-CN" w:bidi="ar-SA"/>
                </w:rPr>
                <m:t>=</m:t>
              </m:r>
              <m:f>
                <m:fPr>
                  <m:ctrlPr>
                    <w:rPr>
                      <w:rFonts w:hint="default" w:ascii="Cambria Math" w:hAnsi="Cambria Math" w:cs="Times New Roman"/>
                      <w:b w:val="0"/>
                      <w:bCs/>
                      <w:i/>
                      <w:kern w:val="2"/>
                      <w:sz w:val="21"/>
                      <w:szCs w:val="21"/>
                      <w:lang w:val="en-US" w:eastAsia="zh-CN" w:bidi="ar-SA"/>
                    </w:rPr>
                  </m:ctrlPr>
                </m:fPr>
                <m:num>
                  <m:sSub>
                    <m:sSubPr>
                      <m:ctrlPr>
                        <w:rPr>
                          <w:rFonts w:hint="default" w:ascii="Cambria Math" w:hAnsi="Cambria Math" w:cs="Times New Roman"/>
                          <w:b w:val="0"/>
                          <w:bCs/>
                          <w:i/>
                          <w:kern w:val="2"/>
                          <w:sz w:val="21"/>
                          <w:szCs w:val="21"/>
                          <w:lang w:val="en-US" w:eastAsia="zh-CN" w:bidi="ar-SA"/>
                        </w:rPr>
                      </m:ctrlPr>
                    </m:sSubPr>
                    <m:e>
                      <m:r>
                        <m:rPr>
                          <m:nor/>
                        </m:rPr>
                        <w:rPr>
                          <w:rFonts w:hint="default" w:ascii="Times New Roman" w:hAnsi="Times New Roman" w:cs="Times New Roman"/>
                          <w:b w:val="0"/>
                          <w:bCs/>
                          <w:i/>
                          <w:kern w:val="2"/>
                          <w:sz w:val="21"/>
                          <w:szCs w:val="21"/>
                          <w:lang w:val="en-US" w:eastAsia="zh-CN" w:bidi="ar-SA"/>
                        </w:rPr>
                        <m:t>p</m:t>
                      </m:r>
                      <m:ctrlPr>
                        <w:rPr>
                          <w:rFonts w:hint="default" w:ascii="Cambria Math" w:hAnsi="Cambria Math" w:cs="Times New Roman"/>
                          <w:b w:val="0"/>
                          <w:bCs/>
                          <w:i/>
                          <w:kern w:val="2"/>
                          <w:sz w:val="21"/>
                          <w:szCs w:val="21"/>
                          <w:lang w:val="en-US" w:eastAsia="zh-CN" w:bidi="ar-SA"/>
                        </w:rPr>
                      </m:ctrlPr>
                    </m:e>
                    <m:sub>
                      <m:r>
                        <m:rPr>
                          <m:nor/>
                          <m:sty m:val="p"/>
                        </m:rPr>
                        <w:rPr>
                          <w:rFonts w:hint="default" w:ascii="Times New Roman" w:hAnsi="Times New Roman" w:cs="Times New Roman"/>
                          <w:b w:val="0"/>
                          <w:bCs/>
                          <w:i w:val="0"/>
                          <w:kern w:val="2"/>
                          <w:sz w:val="21"/>
                          <w:szCs w:val="21"/>
                          <w:lang w:val="en-US" w:eastAsia="zh-CN" w:bidi="ar-SA"/>
                        </w:rPr>
                        <m:t>2</m:t>
                      </m:r>
                      <m:ctrlPr>
                        <w:rPr>
                          <w:rFonts w:hint="default" w:ascii="Cambria Math" w:hAnsi="Cambria Math" w:cs="Times New Roman"/>
                          <w:b w:val="0"/>
                          <w:bCs/>
                          <w:i/>
                          <w:kern w:val="2"/>
                          <w:sz w:val="21"/>
                          <w:szCs w:val="21"/>
                          <w:lang w:val="en-US" w:eastAsia="zh-CN" w:bidi="ar-SA"/>
                        </w:rPr>
                      </m:ctrlPr>
                    </m:sub>
                  </m:sSub>
                  <m:r>
                    <m:rPr>
                      <m:nor/>
                      <m:sty m:val="p"/>
                    </m:rPr>
                    <w:rPr>
                      <w:rFonts w:hint="default" w:ascii="Times New Roman" w:hAnsi="Times New Roman" w:cs="Times New Roman"/>
                      <w:b w:val="0"/>
                      <w:bCs/>
                      <w:i w:val="0"/>
                      <w:kern w:val="2"/>
                      <w:sz w:val="21"/>
                      <w:szCs w:val="21"/>
                      <w:lang w:val="en-US" w:eastAsia="zh-CN" w:bidi="ar-SA"/>
                    </w:rPr>
                    <m:t>−</m:t>
                  </m:r>
                  <m:sSub>
                    <m:sSubPr>
                      <m:ctrlPr>
                        <w:rPr>
                          <w:rFonts w:hint="default" w:ascii="Cambria Math" w:hAnsi="Cambria Math" w:cs="Times New Roman"/>
                          <w:b w:val="0"/>
                          <w:bCs/>
                          <w:i/>
                          <w:kern w:val="2"/>
                          <w:sz w:val="21"/>
                          <w:szCs w:val="21"/>
                          <w:lang w:val="en-US" w:eastAsia="zh-CN" w:bidi="ar-SA"/>
                        </w:rPr>
                      </m:ctrlPr>
                    </m:sSubPr>
                    <m:e>
                      <m:r>
                        <m:rPr>
                          <m:nor/>
                        </m:rPr>
                        <w:rPr>
                          <w:rFonts w:hint="default" w:ascii="Times New Roman" w:hAnsi="Times New Roman" w:cs="Times New Roman"/>
                          <w:b w:val="0"/>
                          <w:bCs/>
                          <w:i/>
                          <w:kern w:val="2"/>
                          <w:sz w:val="21"/>
                          <w:szCs w:val="21"/>
                          <w:lang w:val="en-US" w:eastAsia="zh-CN" w:bidi="ar-SA"/>
                        </w:rPr>
                        <m:t>p</m:t>
                      </m:r>
                      <m:ctrlPr>
                        <w:rPr>
                          <w:rFonts w:hint="default" w:ascii="Cambria Math" w:hAnsi="Cambria Math" w:cs="Times New Roman"/>
                          <w:b w:val="0"/>
                          <w:bCs/>
                          <w:i/>
                          <w:kern w:val="2"/>
                          <w:sz w:val="21"/>
                          <w:szCs w:val="21"/>
                          <w:lang w:val="en-US" w:eastAsia="zh-CN" w:bidi="ar-SA"/>
                        </w:rPr>
                      </m:ctrlPr>
                    </m:e>
                    <m:sub>
                      <m:r>
                        <m:rPr>
                          <m:nor/>
                          <m:sty m:val="p"/>
                        </m:rPr>
                        <w:rPr>
                          <w:rFonts w:hint="default" w:ascii="Times New Roman" w:hAnsi="Times New Roman" w:cs="Times New Roman"/>
                          <w:b w:val="0"/>
                          <w:bCs/>
                          <w:i w:val="0"/>
                          <w:kern w:val="2"/>
                          <w:sz w:val="21"/>
                          <w:szCs w:val="21"/>
                          <w:lang w:val="en-US" w:eastAsia="zh-CN" w:bidi="ar-SA"/>
                        </w:rPr>
                        <m:t>1</m:t>
                      </m:r>
                      <m:ctrlPr>
                        <w:rPr>
                          <w:rFonts w:hint="default" w:ascii="Cambria Math" w:hAnsi="Cambria Math" w:cs="Times New Roman"/>
                          <w:b w:val="0"/>
                          <w:bCs/>
                          <w:i/>
                          <w:kern w:val="2"/>
                          <w:sz w:val="21"/>
                          <w:szCs w:val="21"/>
                          <w:lang w:val="en-US" w:eastAsia="zh-CN" w:bidi="ar-SA"/>
                        </w:rPr>
                      </m:ctrlPr>
                    </m:sub>
                  </m:sSub>
                  <m:ctrlPr>
                    <w:rPr>
                      <w:rFonts w:hint="default" w:ascii="Cambria Math" w:hAnsi="Cambria Math" w:cs="Times New Roman"/>
                      <w:b w:val="0"/>
                      <w:bCs/>
                      <w:i/>
                      <w:kern w:val="2"/>
                      <w:sz w:val="21"/>
                      <w:szCs w:val="21"/>
                      <w:lang w:val="en-US" w:eastAsia="zh-CN" w:bidi="ar-SA"/>
                    </w:rPr>
                  </m:ctrlPr>
                </m:num>
                <m:den>
                  <m:r>
                    <m:rPr>
                      <m:nor/>
                    </m:rPr>
                    <w:rPr>
                      <w:rFonts w:hint="default" w:ascii="Times New Roman" w:hAnsi="Times New Roman" w:cs="Times New Roman"/>
                      <w:bCs/>
                      <w:i/>
                      <w:kern w:val="2"/>
                      <w:sz w:val="21"/>
                      <w:szCs w:val="21"/>
                      <w:lang w:val="en-US" w:bidi="ar-SA"/>
                    </w:rPr>
                    <m:t>ρ</m:t>
                  </m:r>
                  <m:r>
                    <m:rPr>
                      <m:nor/>
                      <m:sty m:val="p"/>
                    </m:rPr>
                    <w:rPr>
                      <w:rFonts w:hint="default" w:ascii="Times New Roman" w:hAnsi="Times New Roman" w:cs="Times New Roman"/>
                      <w:b w:val="0"/>
                      <w:bCs/>
                      <w:i w:val="0"/>
                      <w:kern w:val="2"/>
                      <w:sz w:val="21"/>
                      <w:szCs w:val="21"/>
                      <w:lang w:val="en-US" w:bidi="ar-SA"/>
                    </w:rPr>
                    <m:t>∙</m:t>
                  </m:r>
                  <m:r>
                    <m:rPr>
                      <m:nor/>
                    </m:rPr>
                    <w:rPr>
                      <w:rFonts w:hint="default" w:ascii="Times New Roman" w:hAnsi="Times New Roman" w:cs="Times New Roman"/>
                      <w:bCs/>
                      <w:i/>
                      <w:kern w:val="2"/>
                      <w:sz w:val="21"/>
                      <w:szCs w:val="21"/>
                      <w:lang w:val="en-US" w:eastAsia="zh-CN" w:bidi="ar-SA"/>
                    </w:rPr>
                    <m:t>g</m:t>
                  </m:r>
                  <m:ctrlPr>
                    <w:rPr>
                      <w:rFonts w:hint="default" w:ascii="Cambria Math" w:hAnsi="Cambria Math" w:cs="Times New Roman"/>
                      <w:b w:val="0"/>
                      <w:bCs/>
                      <w:i/>
                      <w:kern w:val="2"/>
                      <w:sz w:val="21"/>
                      <w:szCs w:val="21"/>
                      <w:lang w:val="en-US" w:eastAsia="zh-CN" w:bidi="ar-SA"/>
                    </w:rPr>
                  </m:ctrlPr>
                </m:den>
              </m:f>
              <m:r>
                <m:rPr>
                  <m:sty m:val="p"/>
                </m:rPr>
                <w:rPr>
                  <w:rFonts w:hint="default" w:ascii="Cambria Math" w:hAnsi="Cambria Math" w:cs="Times New Roman"/>
                  <w:kern w:val="2"/>
                  <w:sz w:val="21"/>
                  <w:szCs w:val="21"/>
                  <w:lang w:val="en-US" w:eastAsia="zh-CN" w:bidi="ar-SA"/>
                </w:rPr>
                <m:t>#</m:t>
              </m:r>
              <m:r>
                <m:rPr>
                  <m:sty m:val="p"/>
                </m:rPr>
                <w:rPr>
                  <w:rFonts w:hint="eastAsia" w:ascii="Cambria Math" w:hAnsi="Cambria Math" w:cs="Times New Roman"/>
                  <w:kern w:val="2"/>
                  <w:sz w:val="21"/>
                  <w:szCs w:val="21"/>
                  <w:lang w:val="en-US" w:eastAsia="zh-CN" w:bidi="ar-SA"/>
                </w:rPr>
                <m:t>··························</m:t>
              </m:r>
              <m:r>
                <m:rPr>
                  <m:nor/>
                  <m:sty m:val="p"/>
                </m:rPr>
                <w:rPr>
                  <w:rFonts w:hint="default" w:ascii="Times New Roman" w:hAnsi="Times New Roman" w:cs="Times New Roman"/>
                  <w:b w:val="0"/>
                  <w:bCs/>
                  <w:i w:val="0"/>
                  <w:kern w:val="2"/>
                  <w:sz w:val="21"/>
                  <w:szCs w:val="21"/>
                  <w:lang w:val="en-US" w:eastAsia="zh-CN" w:bidi="ar-SA"/>
                </w:rPr>
                <m:t>（1）</m:t>
              </m:r>
              <m:ctrlPr>
                <w:rPr>
                  <w:rFonts w:hint="default" w:ascii="Cambria Math" w:hAnsi="Cambria Math" w:cs="Times New Roman"/>
                  <w:b w:val="0"/>
                  <w:bCs/>
                  <w:i/>
                  <w:kern w:val="2"/>
                  <w:sz w:val="21"/>
                  <w:szCs w:val="21"/>
                  <w:lang w:val="en-US" w:eastAsia="zh-CN" w:bidi="ar-SA"/>
                </w:rPr>
              </m:ctrlPr>
            </m:e>
          </m:eqArr>
        </m:oMath>
      </m:oMathPara>
    </w:p>
    <w:p w14:paraId="2C040C9D">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cs="宋体"/>
          <w:b w:val="0"/>
          <w:bCs/>
          <w:sz w:val="21"/>
          <w:szCs w:val="21"/>
          <w:lang w:eastAsia="zh-CN"/>
        </w:rPr>
        <w:t>式中：</w:t>
      </w:r>
    </w:p>
    <w:p w14:paraId="3E13F0C5">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r>
          <m:rPr>
            <m:nor/>
          </m:rPr>
          <w:rPr>
            <w:rFonts w:hint="default" w:ascii="Times New Roman" w:hAnsi="Times New Roman" w:cs="Times New Roman"/>
            <w:b w:val="0"/>
            <w:bCs/>
            <w:i/>
            <w:kern w:val="2"/>
            <w:sz w:val="21"/>
            <w:szCs w:val="21"/>
            <w:lang w:val="en-US" w:eastAsia="zh-CN" w:bidi="ar-SA"/>
          </w:rPr>
          <m:t>H</m:t>
        </m:r>
      </m:oMath>
      <w:r>
        <w:rPr>
          <w:rFonts w:hint="eastAsia" w:cs="宋体"/>
          <w:b w:val="0"/>
          <w:bCs/>
          <w:sz w:val="21"/>
          <w:szCs w:val="21"/>
          <w:lang w:eastAsia="zh-CN"/>
        </w:rPr>
        <w:t>——扬程，单位为米（m）；</w:t>
      </w:r>
    </w:p>
    <w:p w14:paraId="02D184A7">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sSub>
          <m:sSubPr>
            <m:ctrlPr>
              <w:rPr>
                <w:rFonts w:hint="default" w:ascii="Cambria Math" w:hAnsi="Cambria Math" w:cs="Times New Roman"/>
                <w:b w:val="0"/>
                <w:bCs/>
                <w:i/>
                <w:kern w:val="2"/>
                <w:sz w:val="21"/>
                <w:szCs w:val="21"/>
                <w:lang w:val="en-US" w:eastAsia="zh-CN" w:bidi="ar-SA"/>
              </w:rPr>
            </m:ctrlPr>
          </m:sSubPr>
          <m:e>
            <m:r>
              <m:rPr>
                <m:nor/>
              </m:rPr>
              <w:rPr>
                <w:rFonts w:hint="default" w:ascii="Times New Roman" w:hAnsi="Times New Roman" w:cs="Times New Roman"/>
                <w:b w:val="0"/>
                <w:bCs/>
                <w:i/>
                <w:kern w:val="2"/>
                <w:sz w:val="21"/>
                <w:szCs w:val="21"/>
                <w:lang w:val="en-US" w:eastAsia="zh-CN" w:bidi="ar-SA"/>
              </w:rPr>
              <m:t>p</m:t>
            </m:r>
            <m:ctrlPr>
              <w:rPr>
                <w:rFonts w:hint="default" w:ascii="Cambria Math" w:hAnsi="Cambria Math" w:cs="Times New Roman"/>
                <w:b w:val="0"/>
                <w:bCs/>
                <w:i/>
                <w:kern w:val="2"/>
                <w:sz w:val="21"/>
                <w:szCs w:val="21"/>
                <w:lang w:val="en-US" w:eastAsia="zh-CN" w:bidi="ar-SA"/>
              </w:rPr>
            </m:ctrlPr>
          </m:e>
          <m:sub>
            <m:r>
              <m:rPr>
                <m:nor/>
                <m:sty m:val="p"/>
              </m:rPr>
              <w:rPr>
                <w:rFonts w:hint="default" w:ascii="Times New Roman" w:hAnsi="Times New Roman" w:cs="Times New Roman"/>
                <w:b w:val="0"/>
                <w:bCs/>
                <w:i w:val="0"/>
                <w:kern w:val="2"/>
                <w:sz w:val="21"/>
                <w:szCs w:val="21"/>
                <w:lang w:val="en-US" w:eastAsia="zh-CN" w:bidi="ar-SA"/>
              </w:rPr>
              <m:t>2</m:t>
            </m:r>
            <m:ctrlPr>
              <w:rPr>
                <w:rFonts w:hint="default" w:ascii="Cambria Math" w:hAnsi="Cambria Math" w:cs="Times New Roman"/>
                <w:b w:val="0"/>
                <w:bCs/>
                <w:i/>
                <w:kern w:val="2"/>
                <w:sz w:val="21"/>
                <w:szCs w:val="21"/>
                <w:lang w:val="en-US" w:eastAsia="zh-CN" w:bidi="ar-SA"/>
              </w:rPr>
            </m:ctrlPr>
          </m:sub>
        </m:sSub>
      </m:oMath>
      <w:r>
        <w:rPr>
          <w:rFonts w:hint="eastAsia" w:cs="宋体"/>
          <w:b w:val="0"/>
          <w:bCs/>
          <w:sz w:val="21"/>
          <w:szCs w:val="21"/>
          <w:lang w:eastAsia="zh-CN"/>
        </w:rPr>
        <w:t>——出口压力，单位为帕斯卡（Pa）；</w:t>
      </w:r>
    </w:p>
    <w:p w14:paraId="05DB2503">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sSub>
          <m:sSubPr>
            <m:ctrlPr>
              <w:rPr>
                <w:rFonts w:hint="default" w:ascii="Cambria Math" w:hAnsi="Cambria Math" w:cs="Times New Roman"/>
                <w:b w:val="0"/>
                <w:bCs/>
                <w:i/>
                <w:kern w:val="2"/>
                <w:sz w:val="21"/>
                <w:szCs w:val="21"/>
                <w:lang w:val="en-US" w:eastAsia="zh-CN" w:bidi="ar-SA"/>
              </w:rPr>
            </m:ctrlPr>
          </m:sSubPr>
          <m:e>
            <m:r>
              <m:rPr>
                <m:nor/>
              </m:rPr>
              <w:rPr>
                <w:rFonts w:hint="default" w:ascii="Times New Roman" w:hAnsi="Times New Roman" w:cs="Times New Roman"/>
                <w:b w:val="0"/>
                <w:bCs/>
                <w:i/>
                <w:kern w:val="2"/>
                <w:sz w:val="21"/>
                <w:szCs w:val="21"/>
                <w:lang w:val="en-US" w:eastAsia="zh-CN" w:bidi="ar-SA"/>
              </w:rPr>
              <m:t>p</m:t>
            </m:r>
            <m:ctrlPr>
              <w:rPr>
                <w:rFonts w:hint="default" w:ascii="Cambria Math" w:hAnsi="Cambria Math" w:cs="Times New Roman"/>
                <w:b w:val="0"/>
                <w:bCs/>
                <w:i/>
                <w:kern w:val="2"/>
                <w:sz w:val="21"/>
                <w:szCs w:val="21"/>
                <w:lang w:val="en-US" w:eastAsia="zh-CN" w:bidi="ar-SA"/>
              </w:rPr>
            </m:ctrlPr>
          </m:e>
          <m:sub>
            <m:r>
              <m:rPr>
                <m:nor/>
                <m:sty m:val="p"/>
              </m:rPr>
              <w:rPr>
                <w:rFonts w:hint="default" w:ascii="Times New Roman" w:hAnsi="Times New Roman" w:cs="Times New Roman"/>
                <w:b w:val="0"/>
                <w:bCs/>
                <w:i w:val="0"/>
                <w:kern w:val="2"/>
                <w:sz w:val="21"/>
                <w:szCs w:val="21"/>
                <w:lang w:val="en-US" w:eastAsia="zh-CN" w:bidi="ar-SA"/>
              </w:rPr>
              <m:t>1</m:t>
            </m:r>
            <m:ctrlPr>
              <w:rPr>
                <w:rFonts w:hint="default" w:ascii="Cambria Math" w:hAnsi="Cambria Math" w:cs="Times New Roman"/>
                <w:b w:val="0"/>
                <w:bCs/>
                <w:i/>
                <w:kern w:val="2"/>
                <w:sz w:val="21"/>
                <w:szCs w:val="21"/>
                <w:lang w:val="en-US" w:eastAsia="zh-CN" w:bidi="ar-SA"/>
              </w:rPr>
            </m:ctrlPr>
          </m:sub>
        </m:sSub>
      </m:oMath>
      <w:r>
        <w:rPr>
          <w:rFonts w:hint="eastAsia" w:cs="宋体"/>
          <w:b w:val="0"/>
          <w:bCs/>
          <w:sz w:val="21"/>
          <w:szCs w:val="21"/>
          <w:lang w:eastAsia="zh-CN"/>
        </w:rPr>
        <w:t>——入口压力，单位为帕斯卡（Pa）；</w:t>
      </w:r>
    </w:p>
    <w:p w14:paraId="10CEB1BE">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r>
          <m:rPr>
            <m:nor/>
          </m:rPr>
          <w:rPr>
            <w:rFonts w:hint="default" w:ascii="Times New Roman" w:hAnsi="Times New Roman" w:cs="Times New Roman"/>
            <w:bCs/>
            <w:i/>
            <w:kern w:val="2"/>
            <w:sz w:val="21"/>
            <w:szCs w:val="21"/>
            <w:lang w:val="en-US" w:bidi="ar-SA"/>
          </w:rPr>
          <m:t>ρ</m:t>
        </m:r>
      </m:oMath>
      <w:r>
        <w:rPr>
          <w:rFonts w:hint="eastAsia" w:cs="宋体"/>
          <w:b w:val="0"/>
          <w:bCs/>
          <w:sz w:val="21"/>
          <w:szCs w:val="21"/>
          <w:lang w:eastAsia="zh-CN"/>
        </w:rPr>
        <w:t>——液态金属密度，单位为千克每立方米（kg/m³）；</w:t>
      </w:r>
    </w:p>
    <w:p w14:paraId="71B6AFC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r>
          <m:rPr>
            <m:nor/>
          </m:rPr>
          <w:rPr>
            <w:rFonts w:hint="default" w:ascii="Times New Roman" w:hAnsi="Times New Roman" w:cs="Times New Roman"/>
            <w:bCs/>
            <w:i/>
            <w:kern w:val="2"/>
            <w:sz w:val="21"/>
            <w:szCs w:val="21"/>
            <w:lang w:val="en-US" w:eastAsia="zh-CN" w:bidi="ar-SA"/>
          </w:rPr>
          <m:t>g</m:t>
        </m:r>
      </m:oMath>
      <w:r>
        <w:rPr>
          <w:rFonts w:hint="eastAsia" w:cs="宋体"/>
          <w:b w:val="0"/>
          <w:bCs/>
          <w:sz w:val="21"/>
          <w:szCs w:val="21"/>
          <w:lang w:eastAsia="zh-CN"/>
        </w:rPr>
        <w:t>——重力加速度，取9.81 m/s²。</w:t>
      </w:r>
    </w:p>
    <w:p w14:paraId="550C6D37">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cs="宋体"/>
          <w:b w:val="0"/>
          <w:bCs/>
          <w:sz w:val="21"/>
          <w:szCs w:val="21"/>
          <w:lang w:eastAsia="zh-CN"/>
        </w:rPr>
      </w:pPr>
      <w:r>
        <w:rPr>
          <w:rFonts w:hint="eastAsia" w:cs="宋体"/>
          <w:b w:val="0"/>
          <w:bCs/>
          <w:sz w:val="21"/>
          <w:szCs w:val="21"/>
          <w:lang w:eastAsia="zh-CN"/>
        </w:rPr>
        <w:t>6.5.3 效率计算</w:t>
      </w:r>
    </w:p>
    <w:p w14:paraId="138A1F7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cs="宋体"/>
          <w:b w:val="0"/>
          <w:bCs/>
          <w:sz w:val="21"/>
          <w:szCs w:val="21"/>
          <w:lang w:eastAsia="zh-CN"/>
        </w:rPr>
        <w:t>按式（</w:t>
      </w:r>
      <w:r>
        <w:rPr>
          <w:rFonts w:hint="eastAsia" w:cs="宋体"/>
          <w:b w:val="0"/>
          <w:bCs/>
          <w:sz w:val="21"/>
          <w:szCs w:val="21"/>
          <w:lang w:val="en-US" w:eastAsia="zh-CN"/>
        </w:rPr>
        <w:t>2</w:t>
      </w:r>
      <w:r>
        <w:rPr>
          <w:rFonts w:hint="eastAsia" w:cs="宋体"/>
          <w:b w:val="0"/>
          <w:bCs/>
          <w:sz w:val="21"/>
          <w:szCs w:val="21"/>
          <w:lang w:eastAsia="zh-CN"/>
        </w:rPr>
        <w:t>）计算电磁泵的效率：</w:t>
      </w:r>
    </w:p>
    <w:p w14:paraId="7D942A2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default" w:eastAsia="宋体" w:cs="宋体"/>
          <w:b w:val="0"/>
          <w:bCs/>
          <w:sz w:val="21"/>
          <w:szCs w:val="21"/>
          <w:lang w:val="en-US" w:eastAsia="zh-CN"/>
        </w:rPr>
      </w:pPr>
      <m:oMathPara>
        <m:oMath>
          <m:eqArr>
            <m:eqArrPr>
              <m:maxDist m:val="1"/>
              <m:ctrlPr>
                <w:rPr>
                  <w:rFonts w:hint="eastAsia" w:ascii="Cambria Math" w:hAnsi="Cambria Math" w:cs="Times New Roman"/>
                  <w:bCs/>
                  <w:i/>
                  <w:sz w:val="21"/>
                  <w:szCs w:val="21"/>
                  <w:lang w:val="en-US" w:eastAsia="zh-CN"/>
                </w:rPr>
              </m:ctrlPr>
            </m:eqArrPr>
            <m:e>
              <m:r>
                <m:rPr>
                  <m:nor/>
                </m:rPr>
                <w:rPr>
                  <w:rFonts w:hint="default" w:ascii="Times New Roman" w:hAnsi="Times New Roman" w:cs="Times New Roman"/>
                  <w:bCs/>
                  <w:i/>
                  <w:sz w:val="21"/>
                  <w:szCs w:val="21"/>
                </w:rPr>
                <m:t>η</m:t>
              </m:r>
              <m:r>
                <m:rPr>
                  <m:nor/>
                  <m:sty m:val="p"/>
                </m:rPr>
                <w:rPr>
                  <w:rFonts w:hint="default" w:ascii="Times New Roman" w:hAnsi="Times New Roman" w:cs="Times New Roman"/>
                  <w:b w:val="0"/>
                  <w:bCs/>
                  <w:i w:val="0"/>
                  <w:sz w:val="21"/>
                  <w:szCs w:val="21"/>
                  <w:lang w:val="en-US" w:eastAsia="zh-CN"/>
                </w:rPr>
                <m:t>=</m:t>
              </m:r>
              <m:f>
                <m:fPr>
                  <m:ctrlPr>
                    <w:rPr>
                      <w:rFonts w:hint="default" w:ascii="Cambria Math" w:hAnsi="Cambria Math" w:cs="Times New Roman"/>
                      <w:bCs/>
                      <w:i/>
                      <w:sz w:val="21"/>
                      <w:szCs w:val="21"/>
                      <w:lang w:val="en-US" w:eastAsia="zh-CN"/>
                    </w:rPr>
                  </m:ctrlPr>
                </m:fPr>
                <m:num>
                  <m:r>
                    <m:rPr>
                      <m:nor/>
                    </m:rPr>
                    <w:rPr>
                      <w:rFonts w:hint="default" w:ascii="Times New Roman" w:hAnsi="Times New Roman" w:cs="Times New Roman"/>
                      <w:bCs/>
                      <w:i/>
                      <w:kern w:val="2"/>
                      <w:sz w:val="21"/>
                      <w:szCs w:val="21"/>
                      <w:lang w:val="en-US" w:bidi="ar-SA"/>
                    </w:rPr>
                    <m:t>ρ</m:t>
                  </m:r>
                  <m:r>
                    <m:rPr>
                      <m:nor/>
                      <m:sty m:val="p"/>
                    </m:rPr>
                    <w:rPr>
                      <w:rFonts w:hint="default" w:ascii="Times New Roman" w:hAnsi="Times New Roman" w:cs="Times New Roman"/>
                      <w:b w:val="0"/>
                      <w:bCs/>
                      <w:i w:val="0"/>
                      <w:kern w:val="2"/>
                      <w:sz w:val="21"/>
                      <w:szCs w:val="21"/>
                      <w:lang w:val="en-US" w:bidi="ar-SA"/>
                    </w:rPr>
                    <m:t>∙</m:t>
                  </m:r>
                  <m:r>
                    <m:rPr>
                      <m:nor/>
                    </m:rPr>
                    <w:rPr>
                      <w:rFonts w:hint="default" w:ascii="Times New Roman" w:hAnsi="Times New Roman" w:cs="Times New Roman"/>
                      <w:bCs/>
                      <w:i/>
                      <w:kern w:val="2"/>
                      <w:sz w:val="21"/>
                      <w:szCs w:val="21"/>
                      <w:lang w:val="en-US" w:eastAsia="zh-CN" w:bidi="ar-SA"/>
                    </w:rPr>
                    <m:t>g</m:t>
                  </m:r>
                  <m:r>
                    <m:rPr>
                      <m:nor/>
                      <m:sty m:val="p"/>
                    </m:rPr>
                    <w:rPr>
                      <w:rFonts w:hint="default" w:ascii="Times New Roman" w:hAnsi="Times New Roman" w:cs="Times New Roman"/>
                      <w:b w:val="0"/>
                      <w:bCs/>
                      <w:i w:val="0"/>
                      <w:kern w:val="2"/>
                      <w:sz w:val="21"/>
                      <w:szCs w:val="21"/>
                      <w:lang w:val="en-US" w:bidi="ar-SA"/>
                    </w:rPr>
                    <m:t>∙</m:t>
                  </m:r>
                  <m:r>
                    <m:rPr>
                      <m:nor/>
                    </m:rPr>
                    <w:rPr>
                      <w:rFonts w:hint="default" w:ascii="Times New Roman" w:hAnsi="Times New Roman" w:cs="Times New Roman"/>
                      <w:bCs/>
                      <w:i/>
                      <w:kern w:val="2"/>
                      <w:sz w:val="21"/>
                      <w:szCs w:val="21"/>
                      <w:lang w:val="en-US" w:eastAsia="zh-CN" w:bidi="ar-SA"/>
                    </w:rPr>
                    <m:t>Q</m:t>
                  </m:r>
                  <m:r>
                    <m:rPr>
                      <m:nor/>
                      <m:sty m:val="p"/>
                    </m:rPr>
                    <w:rPr>
                      <w:rFonts w:hint="default" w:ascii="Times New Roman" w:hAnsi="Times New Roman" w:cs="Times New Roman"/>
                      <w:b w:val="0"/>
                      <w:bCs/>
                      <w:i w:val="0"/>
                      <w:kern w:val="2"/>
                      <w:sz w:val="21"/>
                      <w:szCs w:val="21"/>
                      <w:lang w:val="en-US" w:bidi="ar-SA"/>
                    </w:rPr>
                    <m:t>∙</m:t>
                  </m:r>
                  <m:r>
                    <m:rPr>
                      <m:nor/>
                    </m:rPr>
                    <w:rPr>
                      <w:rFonts w:hint="default" w:ascii="Times New Roman" w:hAnsi="Times New Roman" w:cs="Times New Roman"/>
                      <w:bCs/>
                      <w:i/>
                      <w:kern w:val="2"/>
                      <w:sz w:val="21"/>
                      <w:szCs w:val="21"/>
                      <w:lang w:val="en-US" w:eastAsia="zh-CN" w:bidi="ar-SA"/>
                    </w:rPr>
                    <m:t>H</m:t>
                  </m:r>
                  <m:ctrlPr>
                    <w:rPr>
                      <w:rFonts w:hint="default" w:ascii="Cambria Math" w:hAnsi="Cambria Math" w:cs="Times New Roman"/>
                      <w:bCs/>
                      <w:i/>
                      <w:sz w:val="21"/>
                      <w:szCs w:val="21"/>
                      <w:lang w:val="en-US" w:eastAsia="zh-CN"/>
                    </w:rPr>
                  </m:ctrlPr>
                </m:num>
                <m:den>
                  <m:sSub>
                    <m:sSubPr>
                      <m:ctrlPr>
                        <w:rPr>
                          <w:rFonts w:hint="default" w:ascii="Cambria Math" w:hAnsi="Cambria Math" w:cs="Times New Roman"/>
                          <w:bCs/>
                          <w:i/>
                          <w:sz w:val="21"/>
                          <w:szCs w:val="21"/>
                          <w:lang w:val="en-US" w:eastAsia="zh-CN"/>
                        </w:rPr>
                      </m:ctrlPr>
                    </m:sSubPr>
                    <m:e>
                      <m:r>
                        <m:rPr>
                          <m:nor/>
                        </m:rPr>
                        <w:rPr>
                          <w:rFonts w:hint="default" w:ascii="Times New Roman" w:hAnsi="Times New Roman" w:cs="Times New Roman"/>
                          <w:bCs/>
                          <w:i/>
                          <w:sz w:val="21"/>
                          <w:szCs w:val="21"/>
                          <w:lang w:val="en-US" w:eastAsia="zh-CN"/>
                        </w:rPr>
                        <m:t>P</m:t>
                      </m:r>
                      <m:ctrlPr>
                        <w:rPr>
                          <w:rFonts w:hint="default" w:ascii="Cambria Math" w:hAnsi="Cambria Math" w:cs="Times New Roman"/>
                          <w:bCs/>
                          <w:i/>
                          <w:sz w:val="21"/>
                          <w:szCs w:val="21"/>
                          <w:lang w:val="en-US" w:eastAsia="zh-CN"/>
                        </w:rPr>
                      </m:ctrlPr>
                    </m:e>
                    <m:sub>
                      <m:r>
                        <m:rPr>
                          <m:nor/>
                        </m:rPr>
                        <w:rPr>
                          <w:rFonts w:hint="default" w:ascii="Times New Roman" w:hAnsi="Times New Roman" w:cs="Times New Roman"/>
                          <w:bCs/>
                          <w:i/>
                          <w:sz w:val="21"/>
                          <w:szCs w:val="21"/>
                          <w:lang w:val="en-US" w:eastAsia="zh-CN"/>
                        </w:rPr>
                        <m:t>in</m:t>
                      </m:r>
                      <m:ctrlPr>
                        <w:rPr>
                          <w:rFonts w:hint="default" w:ascii="Cambria Math" w:hAnsi="Cambria Math" w:cs="Times New Roman"/>
                          <w:bCs/>
                          <w:i/>
                          <w:sz w:val="21"/>
                          <w:szCs w:val="21"/>
                          <w:lang w:val="en-US" w:eastAsia="zh-CN"/>
                        </w:rPr>
                      </m:ctrlPr>
                    </m:sub>
                  </m:sSub>
                  <m:ctrlPr>
                    <w:rPr>
                      <w:rFonts w:hint="default" w:ascii="Cambria Math" w:hAnsi="Cambria Math" w:cs="Times New Roman"/>
                      <w:bCs/>
                      <w:i/>
                      <w:sz w:val="21"/>
                      <w:szCs w:val="21"/>
                      <w:lang w:val="en-US" w:eastAsia="zh-CN"/>
                    </w:rPr>
                  </m:ctrlPr>
                </m:den>
              </m:f>
              <m:r>
                <m:rPr>
                  <m:nor/>
                  <m:sty m:val="p"/>
                </m:rPr>
                <w:rPr>
                  <w:rFonts w:hint="default" w:ascii="Times New Roman" w:hAnsi="Times New Roman" w:cs="Times New Roman"/>
                  <w:b w:val="0"/>
                  <w:bCs/>
                  <w:i w:val="0"/>
                  <w:sz w:val="21"/>
                  <w:szCs w:val="21"/>
                  <w:lang w:val="en-US" w:eastAsia="zh-CN"/>
                </w:rPr>
                <m:t>×100%</m:t>
              </m:r>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i w:val="0"/>
                  <w:sz w:val="21"/>
                  <w:szCs w:val="21"/>
                  <w:lang w:val="en-US" w:eastAsia="zh-CN"/>
                </w:rPr>
                <m:t>（2）</m:t>
              </m:r>
              <m:ctrlPr>
                <w:rPr>
                  <w:rFonts w:hint="eastAsia" w:ascii="Cambria Math" w:hAnsi="Cambria Math" w:cs="Times New Roman"/>
                  <w:bCs/>
                  <w:i/>
                  <w:sz w:val="21"/>
                  <w:szCs w:val="21"/>
                  <w:lang w:val="en-US" w:eastAsia="zh-CN"/>
                </w:rPr>
              </m:ctrlPr>
            </m:e>
          </m:eqArr>
        </m:oMath>
      </m:oMathPara>
    </w:p>
    <w:p w14:paraId="3F9866E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cs="宋体"/>
          <w:b w:val="0"/>
          <w:bCs/>
          <w:sz w:val="21"/>
          <w:szCs w:val="21"/>
          <w:lang w:eastAsia="zh-CN"/>
        </w:rPr>
        <w:t>式中：</w:t>
      </w:r>
    </w:p>
    <w:p w14:paraId="377CDF4E">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r>
          <m:rPr>
            <m:nor/>
          </m:rPr>
          <w:rPr>
            <w:rFonts w:hint="default" w:ascii="Times New Roman" w:hAnsi="Times New Roman" w:cs="Times New Roman"/>
            <w:bCs/>
            <w:i/>
            <w:sz w:val="21"/>
            <w:szCs w:val="21"/>
          </w:rPr>
          <m:t>η</m:t>
        </m:r>
      </m:oMath>
      <w:r>
        <w:rPr>
          <w:rFonts w:hint="eastAsia" w:cs="宋体"/>
          <w:b w:val="0"/>
          <w:bCs/>
          <w:sz w:val="21"/>
          <w:szCs w:val="21"/>
          <w:lang w:eastAsia="zh-CN"/>
        </w:rPr>
        <w:t>——效率；</w:t>
      </w:r>
    </w:p>
    <w:p w14:paraId="0394DA8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r>
          <m:rPr>
            <m:nor/>
          </m:rPr>
          <w:rPr>
            <w:rFonts w:hint="default" w:ascii="Times New Roman" w:hAnsi="Times New Roman" w:cs="Times New Roman"/>
            <w:bCs/>
            <w:i/>
            <w:kern w:val="2"/>
            <w:sz w:val="21"/>
            <w:szCs w:val="21"/>
            <w:lang w:val="en-US" w:eastAsia="zh-CN" w:bidi="ar-SA"/>
          </w:rPr>
          <m:t>Q</m:t>
        </m:r>
      </m:oMath>
      <w:r>
        <w:rPr>
          <w:rFonts w:hint="eastAsia" w:cs="宋体"/>
          <w:b w:val="0"/>
          <w:bCs/>
          <w:sz w:val="21"/>
          <w:szCs w:val="21"/>
          <w:lang w:eastAsia="zh-CN"/>
        </w:rPr>
        <w:t>——流量，单位为立方米每秒（m³/s）；</w:t>
      </w:r>
    </w:p>
    <w:p w14:paraId="3F2A487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r>
          <m:rPr>
            <m:nor/>
          </m:rPr>
          <w:rPr>
            <w:rFonts w:hint="default" w:ascii="Times New Roman" w:hAnsi="Times New Roman" w:cs="Times New Roman"/>
            <w:bCs/>
            <w:i/>
            <w:kern w:val="2"/>
            <w:sz w:val="21"/>
            <w:szCs w:val="21"/>
            <w:lang w:val="en-US" w:eastAsia="zh-CN" w:bidi="ar-SA"/>
          </w:rPr>
          <m:t>H</m:t>
        </m:r>
      </m:oMath>
      <w:r>
        <w:rPr>
          <w:rFonts w:hint="eastAsia" w:cs="宋体"/>
          <w:b w:val="0"/>
          <w:bCs/>
          <w:sz w:val="21"/>
          <w:szCs w:val="21"/>
          <w:lang w:eastAsia="zh-CN"/>
        </w:rPr>
        <w:t>——扬程，单位为米（m）；</w:t>
      </w:r>
    </w:p>
    <w:p w14:paraId="0E3F8457">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m:oMath>
        <m:sSub>
          <m:sSubPr>
            <m:ctrlPr>
              <w:rPr>
                <w:rFonts w:hint="default" w:ascii="Cambria Math" w:hAnsi="Cambria Math" w:cs="Times New Roman"/>
                <w:bCs/>
                <w:i/>
                <w:sz w:val="21"/>
                <w:szCs w:val="21"/>
                <w:lang w:val="en-US" w:eastAsia="zh-CN"/>
              </w:rPr>
            </m:ctrlPr>
          </m:sSubPr>
          <m:e>
            <m:r>
              <m:rPr>
                <m:nor/>
              </m:rPr>
              <w:rPr>
                <w:rFonts w:hint="default" w:ascii="Times New Roman" w:hAnsi="Times New Roman" w:cs="Times New Roman"/>
                <w:bCs/>
                <w:i/>
                <w:sz w:val="21"/>
                <w:szCs w:val="21"/>
                <w:lang w:val="en-US" w:eastAsia="zh-CN"/>
              </w:rPr>
              <m:t>P</m:t>
            </m:r>
            <m:ctrlPr>
              <w:rPr>
                <w:rFonts w:hint="default" w:ascii="Cambria Math" w:hAnsi="Cambria Math" w:cs="Times New Roman"/>
                <w:bCs/>
                <w:i/>
                <w:sz w:val="21"/>
                <w:szCs w:val="21"/>
                <w:lang w:val="en-US" w:eastAsia="zh-CN"/>
              </w:rPr>
            </m:ctrlPr>
          </m:e>
          <m:sub>
            <m:r>
              <m:rPr>
                <m:nor/>
              </m:rPr>
              <w:rPr>
                <w:rFonts w:hint="default" w:ascii="Times New Roman" w:hAnsi="Times New Roman" w:cs="Times New Roman"/>
                <w:bCs/>
                <w:i/>
                <w:sz w:val="21"/>
                <w:szCs w:val="21"/>
                <w:lang w:val="en-US" w:eastAsia="zh-CN"/>
              </w:rPr>
              <m:t>in</m:t>
            </m:r>
            <m:ctrlPr>
              <w:rPr>
                <w:rFonts w:hint="default" w:ascii="Cambria Math" w:hAnsi="Cambria Math" w:cs="Times New Roman"/>
                <w:bCs/>
                <w:i/>
                <w:sz w:val="21"/>
                <w:szCs w:val="21"/>
                <w:lang w:val="en-US" w:eastAsia="zh-CN"/>
              </w:rPr>
            </m:ctrlPr>
          </m:sub>
        </m:sSub>
      </m:oMath>
      <w:r>
        <w:rPr>
          <w:rFonts w:hint="eastAsia" w:cs="宋体"/>
          <w:b w:val="0"/>
          <w:bCs/>
          <w:sz w:val="21"/>
          <w:szCs w:val="21"/>
          <w:lang w:eastAsia="zh-CN"/>
        </w:rPr>
        <w:t>——输入功率，单位为瓦（W）。</w:t>
      </w:r>
    </w:p>
    <w:p w14:paraId="3F19EE6A">
      <w:pPr>
        <w:keepNext w:val="0"/>
        <w:keepLines w:val="0"/>
        <w:pageBreakBefore w:val="0"/>
        <w:widowControl w:val="0"/>
        <w:kinsoku/>
        <w:wordWrap/>
        <w:overflowPunct/>
        <w:topLinePunct w:val="0"/>
        <w:autoSpaceDE/>
        <w:autoSpaceDN/>
        <w:bidi w:val="0"/>
        <w:adjustRightInd w:val="0"/>
        <w:snapToGrid/>
        <w:spacing w:line="240" w:lineRule="auto"/>
        <w:ind w:left="0" w:firstLine="360" w:firstLineChars="200"/>
        <w:jc w:val="both"/>
        <w:textAlignment w:val="auto"/>
        <w:outlineLvl w:val="9"/>
        <w:rPr>
          <w:rFonts w:hint="default" w:cs="宋体"/>
          <w:b w:val="0"/>
          <w:bCs/>
          <w:sz w:val="18"/>
          <w:szCs w:val="18"/>
          <w:lang w:val="en-US" w:eastAsia="zh-CN"/>
        </w:rPr>
      </w:pPr>
      <w:r>
        <w:rPr>
          <w:rFonts w:hint="eastAsia" w:ascii="黑体" w:hAnsi="黑体" w:eastAsia="黑体" w:cs="黑体"/>
          <w:b w:val="0"/>
          <w:bCs/>
          <w:sz w:val="18"/>
          <w:szCs w:val="18"/>
          <w:lang w:val="en-US" w:eastAsia="zh-CN"/>
        </w:rPr>
        <w:t>注：</w:t>
      </w:r>
      <w:r>
        <w:rPr>
          <w:rFonts w:hint="eastAsia" w:cs="宋体"/>
          <w:b w:val="0"/>
          <w:bCs/>
          <w:sz w:val="18"/>
          <w:szCs w:val="18"/>
          <w:lang w:eastAsia="zh-CN"/>
        </w:rPr>
        <w:t>输入功率采用功率分析仪在电磁泵电源入口端测量。</w:t>
      </w:r>
    </w:p>
    <w:p w14:paraId="5F5AFB34">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cs="宋体"/>
          <w:b w:val="0"/>
          <w:bCs/>
          <w:sz w:val="21"/>
          <w:szCs w:val="21"/>
          <w:lang w:eastAsia="zh-CN"/>
        </w:rPr>
      </w:pPr>
      <w:r>
        <w:rPr>
          <w:rFonts w:hint="eastAsia" w:cs="宋体"/>
          <w:b w:val="0"/>
          <w:bCs/>
          <w:sz w:val="21"/>
          <w:szCs w:val="21"/>
          <w:lang w:eastAsia="zh-CN"/>
        </w:rPr>
        <w:t>6.5.4 流量-扬程特性曲线测定</w:t>
      </w:r>
    </w:p>
    <w:p w14:paraId="4DA75BF5">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cs="宋体"/>
          <w:b w:val="0"/>
          <w:bCs/>
          <w:sz w:val="21"/>
          <w:szCs w:val="21"/>
          <w:lang w:eastAsia="zh-CN"/>
        </w:rPr>
        <w:t>在额定转速下，调节出口阀门从全闭至全开，在零流量至最大流量范围内均匀选取不少于8个工况点，待各工况稳定后分别测量流量和扬程，以流量为横坐标、扬程为纵坐标绘制特性曲线。</w:t>
      </w:r>
    </w:p>
    <w:p w14:paraId="1F45225E">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cs="宋体"/>
          <w:b w:val="0"/>
          <w:bCs/>
          <w:sz w:val="21"/>
          <w:szCs w:val="21"/>
          <w:lang w:eastAsia="zh-CN"/>
        </w:rPr>
      </w:pPr>
      <w:r>
        <w:rPr>
          <w:rFonts w:hint="eastAsia" w:cs="宋体"/>
          <w:b w:val="0"/>
          <w:bCs/>
          <w:sz w:val="21"/>
          <w:szCs w:val="21"/>
          <w:lang w:eastAsia="zh-CN"/>
        </w:rPr>
        <w:t>6.5.5 启动性能试验</w:t>
      </w:r>
    </w:p>
    <w:p w14:paraId="299F1E7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cs="宋体"/>
          <w:b w:val="0"/>
          <w:bCs/>
          <w:sz w:val="21"/>
          <w:szCs w:val="21"/>
          <w:lang w:eastAsia="zh-CN"/>
        </w:rPr>
        <w:t>分别在额定电压的85%、100%和110%条件下各进行10次启动试验。每次启动前确保电磁泵完全停止，用示波器或计时器记录从通电到液态金属开始连续流动的时间。</w:t>
      </w:r>
    </w:p>
    <w:p w14:paraId="06C1D650">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cs="宋体"/>
          <w:b w:val="0"/>
          <w:bCs/>
          <w:sz w:val="21"/>
          <w:szCs w:val="21"/>
          <w:lang w:eastAsia="zh-CN"/>
        </w:rPr>
      </w:pPr>
      <w:r>
        <w:rPr>
          <w:rFonts w:hint="eastAsia" w:cs="宋体"/>
          <w:b w:val="0"/>
          <w:bCs/>
          <w:sz w:val="21"/>
          <w:szCs w:val="21"/>
          <w:lang w:eastAsia="zh-CN"/>
        </w:rPr>
        <w:t>6.5.6 连续运行试验</w:t>
      </w:r>
    </w:p>
    <w:p w14:paraId="5B091D2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cs="宋体"/>
          <w:b w:val="0"/>
          <w:bCs/>
          <w:sz w:val="21"/>
          <w:szCs w:val="21"/>
          <w:lang w:eastAsia="zh-CN"/>
        </w:rPr>
        <w:t>电磁泵在额定工况下连续运行72 h，每隔4 h记录一次流量、扬程、输入功率、外壳温度和振动速度有效值。</w:t>
      </w:r>
    </w:p>
    <w:p w14:paraId="6602CBED">
      <w:pPr>
        <w:pStyle w:val="108"/>
        <w:spacing w:before="120" w:after="120"/>
        <w:rPr>
          <w:rFonts w:hint="eastAsia" w:ascii="黑体" w:hAnsi="黑体" w:eastAsia="黑体" w:cs="黑体"/>
          <w:sz w:val="21"/>
          <w:lang w:val="en-US" w:eastAsia="zh-CN" w:bidi="ar-SA"/>
        </w:rPr>
      </w:pPr>
      <w:bookmarkStart w:id="93" w:name="heading_20"/>
      <w:bookmarkStart w:id="94" w:name="_Toc22188"/>
      <w:r>
        <w:rPr>
          <w:rFonts w:hint="eastAsia" w:ascii="黑体" w:hAnsi="黑体" w:eastAsia="黑体" w:cs="黑体"/>
          <w:sz w:val="21"/>
          <w:lang w:val="en-US" w:eastAsia="zh-CN" w:bidi="ar-SA"/>
        </w:rPr>
        <w:t>电气安全试验</w:t>
      </w:r>
      <w:bookmarkEnd w:id="93"/>
      <w:bookmarkEnd w:id="94"/>
    </w:p>
    <w:p w14:paraId="4909B509">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6.6.1 绝缘电阻测量</w:t>
      </w:r>
    </w:p>
    <w:p w14:paraId="06D957BB">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按GB/T 3048.5的规定，采用500 V兆欧表测量电源端子与机壳可触及金属部分之间的绝缘电阻。测量前电磁泵处于非通电状态，测量时兆欧表转速不低于120 r/min，待示值稳定后读数。</w:t>
      </w:r>
    </w:p>
    <w:p w14:paraId="0C5EAEB5">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6.6.2 耐电压试验</w:t>
      </w:r>
    </w:p>
    <w:p w14:paraId="10A1B803">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按GB/T 5959.11的规定进行。试验电压为50 Hz、1500 V（有效值）的正弦交流电压，施加于电源端子与机壳之间，升压速度不超过500 V/s，达到规定电压后保持1 min，观察是否发生击穿或闪络。</w:t>
      </w:r>
    </w:p>
    <w:p w14:paraId="6CB17749">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6.6.3 泄漏电流测量</w:t>
      </w:r>
    </w:p>
    <w:p w14:paraId="3D43B5E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按GB/T 12350的规定进行。电磁泵在额定电压和额定工况下运行，在电源线路中串联泄漏电流测试仪，测量电源任一极与机壳之间的泄漏电流。</w:t>
      </w:r>
    </w:p>
    <w:p w14:paraId="3DE7F64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6.6.4 接地电阻测量</w:t>
      </w:r>
    </w:p>
    <w:p w14:paraId="6CF7C02F">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采用接地电阻测试仪，在接地端子与机壳可触及金属部分之间通以25 A电流，测量电压降与电流之比。</w:t>
      </w:r>
    </w:p>
    <w:p w14:paraId="130B9D99">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6.6.5 电磁兼容性试验</w:t>
      </w:r>
    </w:p>
    <w:p w14:paraId="6E100D7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按GB/T 21067的规定进行抗扰度试验。试验过程中电磁泵处于额定工况下运行，监视其流量和扬程是否发生明显波动。</w:t>
      </w:r>
    </w:p>
    <w:p w14:paraId="737D0798">
      <w:pPr>
        <w:pStyle w:val="108"/>
        <w:spacing w:before="120" w:after="120"/>
        <w:rPr>
          <w:rFonts w:hint="eastAsia" w:ascii="黑体" w:hAnsi="黑体" w:eastAsia="黑体" w:cs="黑体"/>
          <w:sz w:val="21"/>
          <w:lang w:val="en-US" w:eastAsia="zh-CN" w:bidi="ar-SA"/>
        </w:rPr>
      </w:pPr>
      <w:bookmarkStart w:id="95" w:name="heading_21"/>
      <w:bookmarkStart w:id="96" w:name="_Toc23004"/>
      <w:r>
        <w:rPr>
          <w:rFonts w:hint="eastAsia" w:hAnsi="黑体" w:cs="黑体"/>
          <w:sz w:val="21"/>
          <w:lang w:val="en-US" w:eastAsia="zh-CN" w:bidi="ar-SA"/>
        </w:rPr>
        <w:t>磁场性能</w:t>
      </w:r>
      <w:r>
        <w:rPr>
          <w:rFonts w:hint="eastAsia" w:ascii="黑体" w:hAnsi="黑体" w:eastAsia="黑体" w:cs="黑体"/>
          <w:sz w:val="21"/>
          <w:lang w:val="en-US" w:eastAsia="zh-CN" w:bidi="ar-SA"/>
        </w:rPr>
        <w:t>试验</w:t>
      </w:r>
      <w:bookmarkEnd w:id="95"/>
      <w:bookmarkEnd w:id="96"/>
    </w:p>
    <w:p w14:paraId="20B6CA4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6.7.1 磁感应强度测量</w:t>
      </w:r>
    </w:p>
    <w:p w14:paraId="3E384FBF">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采用霍尔效应高斯计测量工作气隙中心区域的磁感应强度。高斯计探头置于气隙几何中心，在垂直于磁场方向平面内测量不少于5个点，取算术平均值。</w:t>
      </w:r>
    </w:p>
    <w:p w14:paraId="19463BDD">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6.7.2 轴向均匀性测量</w:t>
      </w:r>
    </w:p>
    <w:p w14:paraId="052A3383">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lang w:eastAsia="zh-CN"/>
        </w:rPr>
      </w:pPr>
      <w:r>
        <w:rPr>
          <w:rFonts w:hint="eastAsia" w:ascii="宋体" w:hAnsi="宋体" w:eastAsia="宋体" w:cs="宋体"/>
          <w:b w:val="0"/>
          <w:bCs/>
          <w:sz w:val="21"/>
          <w:szCs w:val="21"/>
        </w:rPr>
        <w:t>在气隙中沿轴向（液态金属流动方向）均匀选取不少于5个测点，间距不大于10 mm，用高斯计逐点测量磁感应强度，按式（</w:t>
      </w:r>
      <w:r>
        <w:rPr>
          <w:rFonts w:hint="eastAsia" w:cs="宋体"/>
          <w:b w:val="0"/>
          <w:bCs/>
          <w:sz w:val="21"/>
          <w:szCs w:val="21"/>
          <w:lang w:val="en-US" w:eastAsia="zh-CN"/>
        </w:rPr>
        <w:t>3</w:t>
      </w:r>
      <w:r>
        <w:rPr>
          <w:rFonts w:hint="eastAsia" w:ascii="宋体" w:hAnsi="宋体" w:eastAsia="宋体" w:cs="宋体"/>
          <w:b w:val="0"/>
          <w:bCs/>
          <w:sz w:val="21"/>
          <w:szCs w:val="21"/>
        </w:rPr>
        <w:t>）计算轴向均匀性偏差</w:t>
      </w:r>
      <w:r>
        <w:rPr>
          <w:rFonts w:hint="eastAsia" w:cs="宋体"/>
          <w:b w:val="0"/>
          <w:bCs/>
          <w:sz w:val="21"/>
          <w:szCs w:val="21"/>
          <w:lang w:eastAsia="zh-CN"/>
        </w:rPr>
        <w:t>：</w:t>
      </w:r>
    </w:p>
    <w:p w14:paraId="2AE27DAF">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default" w:ascii="宋体" w:hAnsi="宋体" w:eastAsia="宋体" w:cs="宋体"/>
          <w:b w:val="0"/>
          <w:bCs/>
          <w:sz w:val="21"/>
          <w:szCs w:val="21"/>
          <w:lang w:val="en-US" w:eastAsia="zh-CN"/>
        </w:rPr>
      </w:pPr>
      <m:oMathPara>
        <m:oMath>
          <m:eqArr>
            <m:eqArrPr>
              <m:maxDist m:val="1"/>
              <m:ctrlPr>
                <w:rPr>
                  <w:rFonts w:hint="default" w:ascii="Cambria Math" w:hAnsi="Cambria Math" w:cs="Times New Roman"/>
                  <w:bCs/>
                  <w:i/>
                  <w:sz w:val="21"/>
                  <w:szCs w:val="21"/>
                  <w:lang w:val="en-US" w:eastAsia="zh-CN"/>
                </w:rPr>
              </m:ctrlPr>
            </m:eqArrPr>
            <m:e>
              <m:r>
                <m:rPr>
                  <m:nor/>
                </m:rPr>
                <w:rPr>
                  <w:rFonts w:hint="default" w:ascii="Times New Roman" w:hAnsi="Times New Roman" w:cs="Times New Roman"/>
                  <w:bCs/>
                  <w:i/>
                  <w:sz w:val="21"/>
                  <w:szCs w:val="21"/>
                </w:rPr>
                <m:t>δ</m:t>
              </m:r>
              <m:r>
                <m:rPr>
                  <m:nor/>
                  <m:sty m:val="p"/>
                </m:rPr>
                <w:rPr>
                  <w:rFonts w:hint="default" w:ascii="Times New Roman" w:hAnsi="Times New Roman" w:cs="Times New Roman"/>
                  <w:b w:val="0"/>
                  <w:bCs/>
                  <w:i w:val="0"/>
                  <w:sz w:val="21"/>
                  <w:szCs w:val="21"/>
                  <w:lang w:val="en-US" w:eastAsia="zh-CN"/>
                </w:rPr>
                <m:t>=</m:t>
              </m:r>
              <m:f>
                <m:fPr>
                  <m:ctrlPr>
                    <w:rPr>
                      <w:rFonts w:hint="default" w:ascii="Cambria Math" w:hAnsi="Cambria Math" w:cs="Times New Roman"/>
                      <w:bCs/>
                      <w:i/>
                      <w:sz w:val="21"/>
                      <w:szCs w:val="21"/>
                      <w:lang w:val="en-US" w:eastAsia="zh-CN"/>
                    </w:rPr>
                  </m:ctrlPr>
                </m:fPr>
                <m:num>
                  <m:sSub>
                    <m:sSubPr>
                      <m:ctrlPr>
                        <w:rPr>
                          <w:rFonts w:hint="default" w:ascii="Cambria Math" w:hAnsi="Cambria Math" w:cs="Times New Roman"/>
                          <w:bCs/>
                          <w:i/>
                          <w:sz w:val="21"/>
                          <w:szCs w:val="21"/>
                          <w:lang w:val="en-US" w:eastAsia="zh-CN"/>
                        </w:rPr>
                      </m:ctrlPr>
                    </m:sSubPr>
                    <m:e>
                      <m:r>
                        <m:rPr>
                          <m:nor/>
                        </m:rPr>
                        <w:rPr>
                          <w:rFonts w:hint="default" w:ascii="Times New Roman" w:hAnsi="Times New Roman" w:cs="Times New Roman"/>
                          <w:bCs/>
                          <w:i/>
                          <w:sz w:val="21"/>
                          <w:szCs w:val="21"/>
                          <w:lang w:val="en-US" w:eastAsia="zh-CN"/>
                        </w:rPr>
                        <m:t>B</m:t>
                      </m:r>
                      <m:ctrlPr>
                        <w:rPr>
                          <w:rFonts w:hint="default" w:ascii="Cambria Math" w:hAnsi="Cambria Math" w:cs="Times New Roman"/>
                          <w:bCs/>
                          <w:i/>
                          <w:sz w:val="21"/>
                          <w:szCs w:val="21"/>
                          <w:lang w:val="en-US" w:eastAsia="zh-CN"/>
                        </w:rPr>
                      </m:ctrlPr>
                    </m:e>
                    <m:sub>
                      <m:r>
                        <m:rPr>
                          <m:nor/>
                        </m:rPr>
                        <w:rPr>
                          <w:rFonts w:hint="default" w:ascii="Times New Roman" w:hAnsi="Times New Roman" w:cs="Times New Roman"/>
                          <w:bCs/>
                          <w:i/>
                          <w:sz w:val="21"/>
                          <w:szCs w:val="21"/>
                          <w:lang w:val="en-US" w:eastAsia="zh-CN"/>
                        </w:rPr>
                        <m:t>max</m:t>
                      </m:r>
                      <m:ctrlPr>
                        <w:rPr>
                          <w:rFonts w:hint="default" w:ascii="Cambria Math" w:hAnsi="Cambria Math" w:cs="Times New Roman"/>
                          <w:bCs/>
                          <w:i/>
                          <w:sz w:val="21"/>
                          <w:szCs w:val="21"/>
                          <w:lang w:val="en-US" w:eastAsia="zh-CN"/>
                        </w:rPr>
                      </m:ctrlPr>
                    </m:sub>
                  </m:sSub>
                  <m:r>
                    <m:rPr>
                      <m:nor/>
                      <m:sty m:val="p"/>
                    </m:rPr>
                    <w:rPr>
                      <w:rFonts w:hint="default" w:ascii="Times New Roman" w:hAnsi="Times New Roman" w:cs="Times New Roman"/>
                      <w:b w:val="0"/>
                      <w:bCs/>
                      <w:i w:val="0"/>
                      <w:sz w:val="21"/>
                      <w:szCs w:val="21"/>
                      <w:lang w:val="en-US" w:eastAsia="zh-CN"/>
                    </w:rPr>
                    <m:t>−</m:t>
                  </m:r>
                  <m:sSub>
                    <m:sSubPr>
                      <m:ctrlPr>
                        <w:rPr>
                          <w:rFonts w:hint="default" w:ascii="Cambria Math" w:hAnsi="Cambria Math" w:cs="Times New Roman"/>
                          <w:bCs/>
                          <w:i/>
                          <w:sz w:val="21"/>
                          <w:szCs w:val="21"/>
                          <w:lang w:val="en-US" w:eastAsia="zh-CN"/>
                        </w:rPr>
                      </m:ctrlPr>
                    </m:sSubPr>
                    <m:e>
                      <m:r>
                        <m:rPr>
                          <m:nor/>
                        </m:rPr>
                        <w:rPr>
                          <w:rFonts w:hint="default" w:ascii="Times New Roman" w:hAnsi="Times New Roman" w:cs="Times New Roman"/>
                          <w:bCs/>
                          <w:i/>
                          <w:sz w:val="21"/>
                          <w:szCs w:val="21"/>
                          <w:lang w:val="en-US" w:eastAsia="zh-CN"/>
                        </w:rPr>
                        <m:t>B</m:t>
                      </m:r>
                      <m:ctrlPr>
                        <w:rPr>
                          <w:rFonts w:hint="default" w:ascii="Cambria Math" w:hAnsi="Cambria Math" w:cs="Times New Roman"/>
                          <w:bCs/>
                          <w:i/>
                          <w:sz w:val="21"/>
                          <w:szCs w:val="21"/>
                          <w:lang w:val="en-US" w:eastAsia="zh-CN"/>
                        </w:rPr>
                      </m:ctrlPr>
                    </m:e>
                    <m:sub>
                      <m:r>
                        <m:rPr>
                          <m:nor/>
                        </m:rPr>
                        <w:rPr>
                          <w:rFonts w:hint="default" w:ascii="Times New Roman" w:hAnsi="Times New Roman" w:cs="Times New Roman"/>
                          <w:bCs/>
                          <w:i/>
                          <w:sz w:val="21"/>
                          <w:szCs w:val="21"/>
                          <w:lang w:val="en-US" w:eastAsia="zh-CN"/>
                        </w:rPr>
                        <m:t>min</m:t>
                      </m:r>
                      <m:ctrlPr>
                        <w:rPr>
                          <w:rFonts w:hint="default" w:ascii="Cambria Math" w:hAnsi="Cambria Math" w:cs="Times New Roman"/>
                          <w:bCs/>
                          <w:i/>
                          <w:sz w:val="21"/>
                          <w:szCs w:val="21"/>
                          <w:lang w:val="en-US" w:eastAsia="zh-CN"/>
                        </w:rPr>
                      </m:ctrlPr>
                    </m:sub>
                  </m:sSub>
                  <m:ctrlPr>
                    <w:rPr>
                      <w:rFonts w:hint="default" w:ascii="Cambria Math" w:hAnsi="Cambria Math" w:cs="Times New Roman"/>
                      <w:bCs/>
                      <w:i/>
                      <w:sz w:val="21"/>
                      <w:szCs w:val="21"/>
                      <w:lang w:val="en-US" w:eastAsia="zh-CN"/>
                    </w:rPr>
                  </m:ctrlPr>
                </m:num>
                <m:den>
                  <m:sSub>
                    <m:sSubPr>
                      <m:ctrlPr>
                        <w:rPr>
                          <w:rFonts w:hint="default" w:ascii="Cambria Math" w:hAnsi="Cambria Math" w:cs="Times New Roman"/>
                          <w:bCs/>
                          <w:i/>
                          <w:sz w:val="21"/>
                          <w:szCs w:val="21"/>
                          <w:lang w:val="en-US" w:eastAsia="zh-CN"/>
                        </w:rPr>
                      </m:ctrlPr>
                    </m:sSubPr>
                    <m:e>
                      <m:r>
                        <m:rPr>
                          <m:nor/>
                        </m:rPr>
                        <w:rPr>
                          <w:rFonts w:hint="default" w:ascii="Times New Roman" w:hAnsi="Times New Roman" w:cs="Times New Roman"/>
                          <w:bCs/>
                          <w:i/>
                          <w:sz w:val="21"/>
                          <w:szCs w:val="21"/>
                          <w:lang w:val="en-US" w:eastAsia="zh-CN"/>
                        </w:rPr>
                        <m:t>B</m:t>
                      </m:r>
                      <m:ctrlPr>
                        <w:rPr>
                          <w:rFonts w:hint="default" w:ascii="Cambria Math" w:hAnsi="Cambria Math" w:cs="Times New Roman"/>
                          <w:bCs/>
                          <w:i/>
                          <w:sz w:val="21"/>
                          <w:szCs w:val="21"/>
                          <w:lang w:val="en-US" w:eastAsia="zh-CN"/>
                        </w:rPr>
                      </m:ctrlPr>
                    </m:e>
                    <m:sub>
                      <m:r>
                        <m:rPr>
                          <m:nor/>
                        </m:rPr>
                        <w:rPr>
                          <w:rFonts w:hint="default" w:ascii="Times New Roman" w:hAnsi="Times New Roman" w:cs="Times New Roman"/>
                          <w:bCs/>
                          <w:i/>
                          <w:sz w:val="21"/>
                          <w:szCs w:val="21"/>
                          <w:lang w:val="en-US" w:eastAsia="zh-CN"/>
                        </w:rPr>
                        <m:t>avg</m:t>
                      </m:r>
                      <m:ctrlPr>
                        <w:rPr>
                          <w:rFonts w:hint="default" w:ascii="Cambria Math" w:hAnsi="Cambria Math" w:cs="Times New Roman"/>
                          <w:bCs/>
                          <w:i/>
                          <w:sz w:val="21"/>
                          <w:szCs w:val="21"/>
                          <w:lang w:val="en-US" w:eastAsia="zh-CN"/>
                        </w:rPr>
                      </m:ctrlPr>
                    </m:sub>
                  </m:sSub>
                  <m:ctrlPr>
                    <w:rPr>
                      <w:rFonts w:hint="default" w:ascii="Cambria Math" w:hAnsi="Cambria Math" w:cs="Times New Roman"/>
                      <w:bCs/>
                      <w:i/>
                      <w:sz w:val="21"/>
                      <w:szCs w:val="21"/>
                      <w:lang w:val="en-US" w:eastAsia="zh-CN"/>
                    </w:rPr>
                  </m:ctrlPr>
                </m:den>
              </m:f>
              <m:r>
                <m:rPr>
                  <m:nor/>
                  <m:sty m:val="p"/>
                </m:rPr>
                <w:rPr>
                  <w:rFonts w:hint="default" w:ascii="Times New Roman" w:hAnsi="Times New Roman" w:cs="Times New Roman"/>
                  <w:b w:val="0"/>
                  <w:bCs/>
                  <w:i w:val="0"/>
                  <w:sz w:val="21"/>
                  <w:szCs w:val="21"/>
                  <w:lang w:val="en-US" w:eastAsia="zh-CN"/>
                </w:rPr>
                <m:t>×100%</m:t>
              </m:r>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i w:val="0"/>
                  <w:sz w:val="21"/>
                  <w:szCs w:val="21"/>
                  <w:lang w:val="en-US" w:eastAsia="zh-CN"/>
                </w:rPr>
                <m:t>（3）</m:t>
              </m:r>
              <m:ctrlPr>
                <w:rPr>
                  <w:rFonts w:hint="default" w:ascii="Cambria Math" w:hAnsi="Cambria Math" w:cs="Times New Roman"/>
                  <w:bCs/>
                  <w:i/>
                  <w:sz w:val="21"/>
                  <w:szCs w:val="21"/>
                  <w:lang w:val="en-US" w:eastAsia="zh-CN"/>
                </w:rPr>
              </m:ctrlPr>
            </m:e>
          </m:eqArr>
        </m:oMath>
      </m:oMathPara>
    </w:p>
    <w:p w14:paraId="1BBB9A3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式中：</w:t>
      </w:r>
    </w:p>
    <w:p w14:paraId="30A1005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m:oMath>
        <m:r>
          <m:rPr>
            <m:nor/>
          </m:rPr>
          <w:rPr>
            <w:rFonts w:hint="default" w:ascii="Times New Roman" w:hAnsi="Times New Roman" w:cs="Times New Roman"/>
            <w:bCs/>
            <w:i/>
            <w:sz w:val="21"/>
            <w:szCs w:val="21"/>
          </w:rPr>
          <m:t>δ</m:t>
        </m:r>
      </m:oMath>
      <w:r>
        <w:rPr>
          <w:rFonts w:hint="eastAsia" w:ascii="宋体" w:hAnsi="宋体" w:eastAsia="宋体" w:cs="宋体"/>
          <w:b w:val="0"/>
          <w:bCs/>
          <w:sz w:val="21"/>
          <w:szCs w:val="21"/>
        </w:rPr>
        <w:t>——轴向均匀性偏差；</w:t>
      </w:r>
    </w:p>
    <w:p w14:paraId="2BD7340F">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m:oMath>
        <m:sSub>
          <m:sSubPr>
            <m:ctrlPr>
              <w:rPr>
                <w:rFonts w:hint="default" w:ascii="Cambria Math" w:hAnsi="Cambria Math" w:cs="Times New Roman"/>
                <w:bCs/>
                <w:i/>
                <w:sz w:val="21"/>
                <w:szCs w:val="21"/>
                <w:lang w:val="en-US" w:eastAsia="zh-CN"/>
              </w:rPr>
            </m:ctrlPr>
          </m:sSubPr>
          <m:e>
            <m:r>
              <m:rPr>
                <m:nor/>
              </m:rPr>
              <w:rPr>
                <w:rFonts w:hint="default" w:ascii="Times New Roman" w:hAnsi="Times New Roman" w:cs="Times New Roman"/>
                <w:bCs/>
                <w:i/>
                <w:sz w:val="21"/>
                <w:szCs w:val="21"/>
                <w:lang w:val="en-US" w:eastAsia="zh-CN"/>
              </w:rPr>
              <m:t>B</m:t>
            </m:r>
            <m:ctrlPr>
              <w:rPr>
                <w:rFonts w:hint="default" w:ascii="Cambria Math" w:hAnsi="Cambria Math" w:cs="Times New Roman"/>
                <w:bCs/>
                <w:i/>
                <w:sz w:val="21"/>
                <w:szCs w:val="21"/>
                <w:lang w:val="en-US" w:eastAsia="zh-CN"/>
              </w:rPr>
            </m:ctrlPr>
          </m:e>
          <m:sub>
            <m:r>
              <m:rPr>
                <m:nor/>
              </m:rPr>
              <w:rPr>
                <w:rFonts w:hint="default" w:ascii="Times New Roman" w:hAnsi="Times New Roman" w:cs="Times New Roman"/>
                <w:bCs/>
                <w:i/>
                <w:sz w:val="21"/>
                <w:szCs w:val="21"/>
                <w:lang w:val="en-US" w:eastAsia="zh-CN"/>
              </w:rPr>
              <m:t>max</m:t>
            </m:r>
            <m:ctrlPr>
              <w:rPr>
                <w:rFonts w:hint="default" w:ascii="Cambria Math" w:hAnsi="Cambria Math" w:cs="Times New Roman"/>
                <w:bCs/>
                <w:i/>
                <w:sz w:val="21"/>
                <w:szCs w:val="21"/>
                <w:lang w:val="en-US" w:eastAsia="zh-CN"/>
              </w:rPr>
            </m:ctrlPr>
          </m:sub>
        </m:sSub>
      </m:oMath>
      <w:r>
        <w:rPr>
          <w:rFonts w:hint="eastAsia" w:ascii="宋体" w:hAnsi="宋体" w:eastAsia="宋体" w:cs="宋体"/>
          <w:b w:val="0"/>
          <w:bCs/>
          <w:sz w:val="21"/>
          <w:szCs w:val="21"/>
        </w:rPr>
        <w:t>——各测点磁感应强度最大值，单位为特斯拉（T）；</w:t>
      </w:r>
    </w:p>
    <w:p w14:paraId="5D255A5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m:oMath>
        <m:sSub>
          <m:sSubPr>
            <m:ctrlPr>
              <w:rPr>
                <w:rFonts w:hint="default" w:ascii="Cambria Math" w:hAnsi="Cambria Math" w:cs="Times New Roman"/>
                <w:bCs/>
                <w:i/>
                <w:sz w:val="21"/>
                <w:szCs w:val="21"/>
                <w:lang w:val="en-US" w:eastAsia="zh-CN"/>
              </w:rPr>
            </m:ctrlPr>
          </m:sSubPr>
          <m:e>
            <m:r>
              <m:rPr>
                <m:nor/>
              </m:rPr>
              <w:rPr>
                <w:rFonts w:hint="default" w:ascii="Times New Roman" w:hAnsi="Times New Roman" w:cs="Times New Roman"/>
                <w:bCs/>
                <w:i/>
                <w:sz w:val="21"/>
                <w:szCs w:val="21"/>
                <w:lang w:val="en-US" w:eastAsia="zh-CN"/>
              </w:rPr>
              <m:t>B</m:t>
            </m:r>
            <m:ctrlPr>
              <w:rPr>
                <w:rFonts w:hint="default" w:ascii="Cambria Math" w:hAnsi="Cambria Math" w:cs="Times New Roman"/>
                <w:bCs/>
                <w:i/>
                <w:sz w:val="21"/>
                <w:szCs w:val="21"/>
                <w:lang w:val="en-US" w:eastAsia="zh-CN"/>
              </w:rPr>
            </m:ctrlPr>
          </m:e>
          <m:sub>
            <m:r>
              <m:rPr>
                <m:nor/>
              </m:rPr>
              <w:rPr>
                <w:rFonts w:hint="default" w:ascii="Times New Roman" w:hAnsi="Times New Roman" w:cs="Times New Roman"/>
                <w:bCs/>
                <w:i/>
                <w:sz w:val="21"/>
                <w:szCs w:val="21"/>
                <w:lang w:val="en-US" w:eastAsia="zh-CN"/>
              </w:rPr>
              <m:t>min</m:t>
            </m:r>
            <m:ctrlPr>
              <w:rPr>
                <w:rFonts w:hint="default" w:ascii="Cambria Math" w:hAnsi="Cambria Math" w:cs="Times New Roman"/>
                <w:bCs/>
                <w:i/>
                <w:sz w:val="21"/>
                <w:szCs w:val="21"/>
                <w:lang w:val="en-US" w:eastAsia="zh-CN"/>
              </w:rPr>
            </m:ctrlPr>
          </m:sub>
        </m:sSub>
      </m:oMath>
      <w:r>
        <w:rPr>
          <w:rFonts w:hint="eastAsia" w:ascii="宋体" w:hAnsi="宋体" w:eastAsia="宋体" w:cs="宋体"/>
          <w:b w:val="0"/>
          <w:bCs/>
          <w:sz w:val="21"/>
          <w:szCs w:val="21"/>
        </w:rPr>
        <w:t>——各测点磁感应强度最小值，单位为特斯拉（T）；</w:t>
      </w:r>
    </w:p>
    <w:p w14:paraId="272E614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lang w:eastAsia="zh-CN"/>
        </w:rPr>
      </w:pPr>
      <m:oMath>
        <m:sSub>
          <m:sSubPr>
            <m:ctrlPr>
              <w:rPr>
                <w:rFonts w:hint="default" w:ascii="Cambria Math" w:hAnsi="Cambria Math" w:cs="Times New Roman"/>
                <w:bCs/>
                <w:i/>
                <w:sz w:val="21"/>
                <w:szCs w:val="21"/>
                <w:lang w:val="en-US" w:eastAsia="zh-CN"/>
              </w:rPr>
            </m:ctrlPr>
          </m:sSubPr>
          <m:e>
            <m:r>
              <m:rPr>
                <m:nor/>
              </m:rPr>
              <w:rPr>
                <w:rFonts w:hint="default" w:ascii="Times New Roman" w:hAnsi="Times New Roman" w:cs="Times New Roman"/>
                <w:bCs/>
                <w:i/>
                <w:sz w:val="21"/>
                <w:szCs w:val="21"/>
                <w:lang w:val="en-US" w:eastAsia="zh-CN"/>
              </w:rPr>
              <m:t>B</m:t>
            </m:r>
            <m:ctrlPr>
              <w:rPr>
                <w:rFonts w:hint="default" w:ascii="Cambria Math" w:hAnsi="Cambria Math" w:cs="Times New Roman"/>
                <w:bCs/>
                <w:i/>
                <w:sz w:val="21"/>
                <w:szCs w:val="21"/>
                <w:lang w:val="en-US" w:eastAsia="zh-CN"/>
              </w:rPr>
            </m:ctrlPr>
          </m:e>
          <m:sub>
            <m:r>
              <m:rPr>
                <m:nor/>
              </m:rPr>
              <w:rPr>
                <w:rFonts w:hint="default" w:ascii="Times New Roman" w:hAnsi="Times New Roman" w:cs="Times New Roman"/>
                <w:bCs/>
                <w:i/>
                <w:sz w:val="21"/>
                <w:szCs w:val="21"/>
                <w:lang w:val="en-US" w:eastAsia="zh-CN"/>
              </w:rPr>
              <m:t>avg</m:t>
            </m:r>
            <m:ctrlPr>
              <w:rPr>
                <w:rFonts w:hint="default" w:ascii="Cambria Math" w:hAnsi="Cambria Math" w:cs="Times New Roman"/>
                <w:bCs/>
                <w:i/>
                <w:sz w:val="21"/>
                <w:szCs w:val="21"/>
                <w:lang w:val="en-US" w:eastAsia="zh-CN"/>
              </w:rPr>
            </m:ctrlPr>
          </m:sub>
        </m:sSub>
      </m:oMath>
      <w:r>
        <w:rPr>
          <w:rFonts w:hint="eastAsia" w:ascii="宋体" w:hAnsi="宋体" w:eastAsia="宋体" w:cs="宋体"/>
          <w:b w:val="0"/>
          <w:bCs/>
          <w:sz w:val="21"/>
          <w:szCs w:val="21"/>
        </w:rPr>
        <w:t>——各测点磁感应强度算术平均值，单位为特斯拉（T）</w:t>
      </w:r>
      <w:r>
        <w:rPr>
          <w:rFonts w:hint="eastAsia" w:cs="宋体"/>
          <w:b w:val="0"/>
          <w:bCs/>
          <w:sz w:val="21"/>
          <w:szCs w:val="21"/>
          <w:lang w:eastAsia="zh-CN"/>
        </w:rPr>
        <w:t>。</w:t>
      </w:r>
    </w:p>
    <w:p w14:paraId="304FC64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6.7.3 磁通量衰减</w:t>
      </w:r>
    </w:p>
    <w:p w14:paraId="6A5F8D4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永磁体励磁型电磁泵置于恒温箱中，升温至最高工作温度并保持2 h后，取出冷却至室温，按6.7.1的方法复测气隙中心磁感应强度，与初始测量值比较计算磁通量衰减率。</w:t>
      </w:r>
    </w:p>
    <w:p w14:paraId="2128E5D3">
      <w:pPr>
        <w:pStyle w:val="108"/>
        <w:spacing w:before="120" w:after="120"/>
        <w:rPr>
          <w:rFonts w:hint="eastAsia" w:ascii="黑体" w:hAnsi="黑体" w:eastAsia="黑体" w:cs="黑体"/>
          <w:sz w:val="21"/>
          <w:lang w:val="en-US" w:eastAsia="zh-CN" w:bidi="ar-SA"/>
        </w:rPr>
      </w:pPr>
      <w:bookmarkStart w:id="97" w:name="_Toc18547"/>
      <w:bookmarkStart w:id="98" w:name="heading_22"/>
      <w:r>
        <w:rPr>
          <w:rFonts w:hint="eastAsia" w:ascii="黑体" w:hAnsi="黑体" w:eastAsia="黑体" w:cs="黑体"/>
          <w:sz w:val="21"/>
          <w:lang w:val="en-US" w:eastAsia="zh-CN" w:bidi="ar-SA"/>
        </w:rPr>
        <w:t>密封</w:t>
      </w:r>
      <w:r>
        <w:rPr>
          <w:rFonts w:hint="eastAsia" w:hAnsi="黑体" w:cs="黑体"/>
          <w:sz w:val="21"/>
          <w:lang w:val="en-US" w:eastAsia="zh-CN" w:bidi="ar-SA"/>
        </w:rPr>
        <w:t>性能</w:t>
      </w:r>
      <w:r>
        <w:rPr>
          <w:rFonts w:hint="eastAsia" w:ascii="黑体" w:hAnsi="黑体" w:eastAsia="黑体" w:cs="黑体"/>
          <w:sz w:val="21"/>
          <w:lang w:val="en-US" w:eastAsia="zh-CN" w:bidi="ar-SA"/>
        </w:rPr>
        <w:t>试验</w:t>
      </w:r>
      <w:bookmarkEnd w:id="97"/>
      <w:bookmarkEnd w:id="98"/>
    </w:p>
    <w:p w14:paraId="55B94C37">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6.8.1 密封性试验</w:t>
      </w:r>
    </w:p>
    <w:p w14:paraId="5D18797A">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将电磁泵流道入口封堵，通过出口向流道内缓慢加压至额定工作压力的1.5倍，达到压力后关闭加压阀，保压15 min，观察压力表示值变化并用检漏液涂抹各密封接口检查泄漏迹象。</w:t>
      </w:r>
    </w:p>
    <w:p w14:paraId="14487BF0">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6.8.2 泄漏率测量</w:t>
      </w:r>
    </w:p>
    <w:p w14:paraId="43E82C6E">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采用氦质谱检漏法。将电磁泵流道抽真空至1×10</w:t>
      </w:r>
      <w:r>
        <w:rPr>
          <w:rFonts w:hint="eastAsia" w:cs="宋体"/>
          <w:b w:val="0"/>
          <w:bCs/>
          <w:sz w:val="21"/>
          <w:szCs w:val="21"/>
          <w:vertAlign w:val="superscript"/>
          <w:lang w:val="en-US" w:eastAsia="zh-CN"/>
        </w:rPr>
        <w:t>-2</w:t>
      </w:r>
      <w:r>
        <w:rPr>
          <w:rFonts w:hint="eastAsia" w:ascii="宋体" w:hAnsi="宋体" w:eastAsia="宋体" w:cs="宋体"/>
          <w:b w:val="0"/>
          <w:bCs/>
          <w:sz w:val="21"/>
          <w:szCs w:val="21"/>
          <w:vertAlign w:val="superscript"/>
        </w:rPr>
        <w:t xml:space="preserve"> </w:t>
      </w:r>
      <w:r>
        <w:rPr>
          <w:rFonts w:hint="eastAsia" w:ascii="宋体" w:hAnsi="宋体" w:eastAsia="宋体" w:cs="宋体"/>
          <w:b w:val="0"/>
          <w:bCs/>
          <w:sz w:val="21"/>
          <w:szCs w:val="21"/>
        </w:rPr>
        <w:t>Pa以下，在流道外表面各密封部位喷吹氦气，用氦质谱检漏仪测量泄漏率。</w:t>
      </w:r>
    </w:p>
    <w:p w14:paraId="16E2DD97">
      <w:pPr>
        <w:pStyle w:val="108"/>
        <w:spacing w:before="120" w:after="120"/>
        <w:rPr>
          <w:rFonts w:hint="eastAsia" w:ascii="黑体" w:hAnsi="黑体" w:eastAsia="黑体" w:cs="黑体"/>
          <w:sz w:val="21"/>
          <w:lang w:val="en-US" w:eastAsia="zh-CN" w:bidi="ar-SA"/>
        </w:rPr>
      </w:pPr>
      <w:bookmarkStart w:id="99" w:name="_Toc15339"/>
      <w:bookmarkStart w:id="100" w:name="heading_23"/>
      <w:r>
        <w:rPr>
          <w:rFonts w:hint="eastAsia" w:hAnsi="黑体" w:cs="黑体"/>
          <w:sz w:val="21"/>
          <w:lang w:val="en-US" w:eastAsia="zh-CN" w:bidi="ar-SA"/>
        </w:rPr>
        <w:t>温度试验</w:t>
      </w:r>
      <w:bookmarkEnd w:id="99"/>
    </w:p>
    <w:p w14:paraId="2627DE8A">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6.9.1 表面温度测量</w:t>
      </w:r>
    </w:p>
    <w:p w14:paraId="4819091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电磁泵在额定工况下连续运行2 h后，采用热电偶或红外热像仪测量外壳表面（距出风口或散热面中心10 mm处）、接线端子、磁体表面和线圈绕组外表面的温度。热电偶测量时，热电偶与被测表面应可靠接触，并采用导热胶固定以减少热接触电阻。</w:t>
      </w:r>
    </w:p>
    <w:p w14:paraId="11E90FD2">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6.9.2 工作介质温度适应性试验</w:t>
      </w:r>
    </w:p>
    <w:p w14:paraId="7F89BA8B">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将液态金属分别加热至10 ℃、55 ℃、100 ℃三个温度点，在每一温度点稳定后启动电磁泵，在额定工况下运行30 min，记录流量和扬程。</w:t>
      </w:r>
    </w:p>
    <w:p w14:paraId="3762512D">
      <w:pPr>
        <w:pStyle w:val="108"/>
        <w:spacing w:before="120" w:after="120"/>
        <w:rPr>
          <w:rFonts w:hint="eastAsia" w:ascii="黑体" w:hAnsi="黑体" w:eastAsia="黑体" w:cs="黑体"/>
          <w:sz w:val="21"/>
          <w:lang w:val="en-US" w:eastAsia="zh-CN" w:bidi="ar-SA"/>
        </w:rPr>
      </w:pPr>
      <w:bookmarkStart w:id="101" w:name="_Toc27836"/>
      <w:r>
        <w:rPr>
          <w:rFonts w:hint="eastAsia" w:ascii="黑体" w:hAnsi="黑体" w:eastAsia="黑体" w:cs="黑体"/>
          <w:sz w:val="21"/>
          <w:lang w:val="en-US" w:eastAsia="zh-CN" w:bidi="ar-SA"/>
        </w:rPr>
        <w:t>噪声与振动试验</w:t>
      </w:r>
      <w:bookmarkEnd w:id="100"/>
      <w:bookmarkEnd w:id="101"/>
    </w:p>
    <w:p w14:paraId="7A699FB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6.10.1 噪声测量</w:t>
      </w:r>
    </w:p>
    <w:p w14:paraId="18E5F1CF">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在背景噪声声压级至少比被测声源低10 dB(A)的安静环境中进行。声级计置于距电磁泵几何中心1 m、高度与泵几何中心齐平的4个正交方向上各测量一次，取A计权声压级的算术平均值。</w:t>
      </w:r>
    </w:p>
    <w:p w14:paraId="27976F9E">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6.10.2 振动测量</w:t>
      </w:r>
    </w:p>
    <w:p w14:paraId="0711DE8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采用加速度计或速度传感器，用磁吸座或粘接剂将传感器固定于电磁泵外壳顶面和侧面，在水平、垂直和轴向三个正交方向上分别测量振动速度有效值。测量时电磁泵处于额定工况下稳定运行状态，采样时间不少于30 s。</w:t>
      </w:r>
    </w:p>
    <w:p w14:paraId="3FA907AD">
      <w:pPr>
        <w:pStyle w:val="108"/>
        <w:spacing w:before="120" w:after="120"/>
        <w:rPr>
          <w:rFonts w:hint="eastAsia" w:ascii="黑体" w:hAnsi="黑体" w:eastAsia="黑体" w:cs="黑体"/>
          <w:sz w:val="21"/>
          <w:lang w:val="en-US" w:eastAsia="zh-CN" w:bidi="ar-SA"/>
        </w:rPr>
      </w:pPr>
      <w:bookmarkStart w:id="102" w:name="_Toc7633"/>
      <w:r>
        <w:rPr>
          <w:rFonts w:hint="eastAsia" w:ascii="黑体" w:hAnsi="黑体" w:eastAsia="黑体" w:cs="黑体"/>
          <w:sz w:val="21"/>
          <w:lang w:val="en-US" w:eastAsia="zh-CN" w:bidi="ar-SA"/>
        </w:rPr>
        <w:t>耐久性试验</w:t>
      </w:r>
      <w:bookmarkEnd w:id="102"/>
    </w:p>
    <w:p w14:paraId="1DE53D35">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6.11.1 连续运行试验</w:t>
      </w:r>
    </w:p>
    <w:p w14:paraId="28160099">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电磁泵在额定工况下连续运行，每隔24 h记录一次流量、扬程和输入功率，累计运行时间达到5000 h后复测各项性能参数。</w:t>
      </w:r>
    </w:p>
    <w:p w14:paraId="4A740D3E">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6.11.2 启停循环试验</w:t>
      </w:r>
    </w:p>
    <w:p w14:paraId="3BC9EB0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电磁泵在额定工况下，以“运行5 min—停止5 min”为一个循环进行启停循环试验，累计进行10000次循环后复测流量、扬程和绝缘电阻。每次启动时采用自动控制装置确保启停时间准确</w:t>
      </w:r>
    </w:p>
    <w:p w14:paraId="629A82E9">
      <w:pPr>
        <w:pStyle w:val="107"/>
        <w:spacing w:before="240" w:after="240"/>
        <w:rPr>
          <w:rFonts w:hint="eastAsia"/>
          <w:szCs w:val="21"/>
        </w:rPr>
      </w:pPr>
      <w:bookmarkStart w:id="103" w:name="heading_25"/>
      <w:bookmarkStart w:id="104" w:name="_Toc20580"/>
      <w:r>
        <w:rPr>
          <w:rFonts w:hint="eastAsia"/>
          <w:szCs w:val="21"/>
        </w:rPr>
        <w:t>检验规则</w:t>
      </w:r>
      <w:bookmarkEnd w:id="103"/>
      <w:bookmarkEnd w:id="104"/>
    </w:p>
    <w:p w14:paraId="4688F043">
      <w:pPr>
        <w:pStyle w:val="108"/>
        <w:spacing w:before="120" w:after="120"/>
        <w:rPr>
          <w:rFonts w:hint="eastAsia" w:ascii="黑体" w:hAnsi="黑体" w:eastAsia="黑体" w:cs="黑体"/>
          <w:sz w:val="21"/>
          <w:lang w:val="en-US" w:eastAsia="zh-CN" w:bidi="ar-SA"/>
        </w:rPr>
      </w:pPr>
      <w:bookmarkStart w:id="105" w:name="heading_26"/>
      <w:bookmarkStart w:id="106" w:name="_Toc30176"/>
      <w:r>
        <w:rPr>
          <w:rFonts w:hint="eastAsia" w:ascii="黑体" w:hAnsi="黑体" w:eastAsia="黑体" w:cs="黑体"/>
          <w:sz w:val="21"/>
          <w:lang w:val="en-US" w:eastAsia="zh-CN" w:bidi="ar-SA"/>
        </w:rPr>
        <w:t>检验分类</w:t>
      </w:r>
      <w:bookmarkEnd w:id="105"/>
      <w:bookmarkEnd w:id="106"/>
    </w:p>
    <w:p w14:paraId="3380391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电磁泵的检验分为出厂检验和型式检验。</w:t>
      </w:r>
    </w:p>
    <w:p w14:paraId="6440FD84">
      <w:pPr>
        <w:pStyle w:val="108"/>
        <w:spacing w:before="120" w:after="120"/>
        <w:rPr>
          <w:rFonts w:hint="eastAsia" w:ascii="黑体" w:hAnsi="黑体" w:eastAsia="黑体" w:cs="黑体"/>
          <w:sz w:val="21"/>
          <w:lang w:val="en-US" w:eastAsia="zh-CN" w:bidi="ar-SA"/>
        </w:rPr>
      </w:pPr>
      <w:bookmarkStart w:id="107" w:name="heading_27"/>
      <w:bookmarkStart w:id="108" w:name="_Toc25025"/>
      <w:r>
        <w:rPr>
          <w:rFonts w:hint="eastAsia" w:ascii="黑体" w:hAnsi="黑体" w:eastAsia="黑体" w:cs="黑体"/>
          <w:sz w:val="21"/>
          <w:lang w:val="en-US" w:eastAsia="zh-CN" w:bidi="ar-SA"/>
        </w:rPr>
        <w:t>出厂检验</w:t>
      </w:r>
      <w:bookmarkEnd w:id="107"/>
      <w:bookmarkEnd w:id="108"/>
    </w:p>
    <w:p w14:paraId="378EAC50">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7.2.1 每台电磁泵均应进行出厂检验，经检验合格并附产品合格证后方可出厂。</w:t>
      </w:r>
    </w:p>
    <w:p w14:paraId="4EB3ED3C">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7.2.2 出厂检验项目</w:t>
      </w:r>
      <w:r>
        <w:rPr>
          <w:rFonts w:hint="eastAsia" w:cs="宋体"/>
          <w:b w:val="0"/>
          <w:bCs/>
          <w:sz w:val="21"/>
          <w:szCs w:val="21"/>
          <w:lang w:val="en-US" w:eastAsia="zh-CN"/>
        </w:rPr>
        <w:t>应包括外观与结构要求、尺寸与公差要求、性能要求</w:t>
      </w:r>
      <w:r>
        <w:rPr>
          <w:rFonts w:hint="eastAsia" w:ascii="宋体" w:hAnsi="宋体" w:eastAsia="宋体" w:cs="宋体"/>
          <w:b w:val="0"/>
          <w:bCs/>
          <w:sz w:val="21"/>
          <w:szCs w:val="21"/>
        </w:rPr>
        <w:t>。</w:t>
      </w:r>
    </w:p>
    <w:p w14:paraId="78ED6121">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lang w:eastAsia="zh-CN"/>
        </w:rPr>
      </w:pPr>
      <w:r>
        <w:rPr>
          <w:rFonts w:hint="eastAsia" w:ascii="宋体" w:hAnsi="宋体" w:eastAsia="宋体" w:cs="宋体"/>
          <w:b w:val="0"/>
          <w:bCs/>
          <w:sz w:val="21"/>
          <w:szCs w:val="21"/>
        </w:rPr>
        <w:t>7.2.3 出厂检验中若有一项不合格，即判定该产品不合格，允许返修后重新检验</w:t>
      </w:r>
      <w:r>
        <w:rPr>
          <w:rFonts w:hint="eastAsia" w:cs="宋体"/>
          <w:b w:val="0"/>
          <w:bCs/>
          <w:sz w:val="21"/>
          <w:szCs w:val="21"/>
          <w:lang w:eastAsia="zh-CN"/>
        </w:rPr>
        <w:t>。</w:t>
      </w:r>
    </w:p>
    <w:p w14:paraId="37FC00DD">
      <w:pPr>
        <w:pStyle w:val="108"/>
        <w:spacing w:before="120" w:after="120"/>
        <w:rPr>
          <w:rFonts w:hint="eastAsia" w:ascii="黑体" w:hAnsi="黑体" w:eastAsia="黑体" w:cs="黑体"/>
          <w:sz w:val="21"/>
          <w:lang w:val="en-US" w:eastAsia="zh-CN" w:bidi="ar-SA"/>
        </w:rPr>
      </w:pPr>
      <w:bookmarkStart w:id="109" w:name="_Toc3413"/>
      <w:bookmarkStart w:id="110" w:name="heading_28"/>
      <w:r>
        <w:rPr>
          <w:rFonts w:hint="eastAsia" w:ascii="黑体" w:hAnsi="黑体" w:eastAsia="黑体" w:cs="黑体"/>
          <w:sz w:val="21"/>
          <w:lang w:val="en-US" w:eastAsia="zh-CN" w:bidi="ar-SA"/>
        </w:rPr>
        <w:t>型式检验</w:t>
      </w:r>
      <w:bookmarkEnd w:id="109"/>
      <w:bookmarkEnd w:id="110"/>
    </w:p>
    <w:p w14:paraId="4649D1DD">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 xml:space="preserve">7.3.1 </w:t>
      </w:r>
      <w:r>
        <w:rPr>
          <w:rFonts w:hint="eastAsia" w:cs="宋体"/>
          <w:b w:val="0"/>
          <w:bCs/>
          <w:sz w:val="21"/>
          <w:szCs w:val="21"/>
          <w:lang w:val="en-US" w:eastAsia="zh-CN"/>
        </w:rPr>
        <w:t>检验时机</w:t>
      </w:r>
    </w:p>
    <w:p w14:paraId="1148C03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有下列情况之一时，应进行型式检验：</w:t>
      </w:r>
    </w:p>
    <w:p w14:paraId="1183178B">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a) 新产品试制定型鉴定；</w:t>
      </w:r>
    </w:p>
    <w:p w14:paraId="4E26780B">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b) 正式生产后，如结构、材料、工艺有较大改变，可能影响产品性能时；</w:t>
      </w:r>
    </w:p>
    <w:p w14:paraId="77D0BB0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c) 正常生产每满2年时；</w:t>
      </w:r>
    </w:p>
    <w:p w14:paraId="04319B5A">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d) 停产1年以上恢复生产时；</w:t>
      </w:r>
    </w:p>
    <w:p w14:paraId="65F769C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e) 出厂检验结果与上次型式检验有较大差异时。</w:t>
      </w:r>
    </w:p>
    <w:p w14:paraId="003DEB46">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 xml:space="preserve">7.3.2 </w:t>
      </w:r>
      <w:r>
        <w:rPr>
          <w:rFonts w:hint="eastAsia" w:cs="宋体"/>
          <w:b w:val="0"/>
          <w:bCs/>
          <w:sz w:val="21"/>
          <w:szCs w:val="21"/>
          <w:lang w:val="en-US" w:eastAsia="zh-CN"/>
        </w:rPr>
        <w:t>检验项目</w:t>
      </w:r>
    </w:p>
    <w:p w14:paraId="01BE919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型式检验项目应包括本文件</w:t>
      </w:r>
      <w:r>
        <w:rPr>
          <w:rFonts w:hint="eastAsia" w:cs="宋体"/>
          <w:b w:val="0"/>
          <w:bCs/>
          <w:sz w:val="21"/>
          <w:szCs w:val="21"/>
          <w:lang w:val="en-US" w:eastAsia="zh-CN"/>
        </w:rPr>
        <w:t>第五章</w:t>
      </w:r>
      <w:r>
        <w:rPr>
          <w:rFonts w:hint="eastAsia" w:ascii="宋体" w:hAnsi="宋体" w:eastAsia="宋体" w:cs="宋体"/>
          <w:b w:val="0"/>
          <w:bCs/>
          <w:sz w:val="21"/>
          <w:szCs w:val="21"/>
        </w:rPr>
        <w:t>规定的全部技术要求。</w:t>
      </w:r>
    </w:p>
    <w:p w14:paraId="2661BCCF">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 xml:space="preserve">7.3.3 </w:t>
      </w:r>
      <w:r>
        <w:rPr>
          <w:rFonts w:hint="eastAsia" w:cs="宋体"/>
          <w:b w:val="0"/>
          <w:bCs/>
          <w:sz w:val="21"/>
          <w:szCs w:val="21"/>
          <w:lang w:val="en-US" w:eastAsia="zh-CN"/>
        </w:rPr>
        <w:t>抽样方案</w:t>
      </w:r>
    </w:p>
    <w:p w14:paraId="668D69C9">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ascii="宋体" w:hAnsi="宋体" w:eastAsia="宋体" w:cs="宋体"/>
          <w:b w:val="0"/>
          <w:bCs/>
          <w:sz w:val="21"/>
          <w:szCs w:val="21"/>
        </w:rPr>
        <w:t>型式检验的样品应从出厂检验合格的产品中随机抽取</w:t>
      </w:r>
      <w:r>
        <w:rPr>
          <w:rFonts w:hint="eastAsia" w:cs="宋体"/>
          <w:b w:val="0"/>
          <w:bCs/>
          <w:sz w:val="21"/>
          <w:szCs w:val="21"/>
          <w:lang w:eastAsia="zh-CN"/>
        </w:rPr>
        <w:t>，</w:t>
      </w:r>
      <w:r>
        <w:rPr>
          <w:rFonts w:hint="eastAsia" w:ascii="宋体" w:hAnsi="宋体" w:eastAsia="宋体" w:cs="宋体"/>
          <w:b w:val="0"/>
          <w:bCs/>
          <w:sz w:val="21"/>
          <w:szCs w:val="21"/>
        </w:rPr>
        <w:t>可按GB/T 2828.1的规定执行，接收质量限（AQL）由供需双方协商确定</w:t>
      </w:r>
      <w:r>
        <w:rPr>
          <w:rFonts w:hint="eastAsia" w:cs="宋体"/>
          <w:b w:val="0"/>
          <w:bCs/>
          <w:sz w:val="21"/>
          <w:szCs w:val="21"/>
          <w:lang w:eastAsia="zh-CN"/>
        </w:rPr>
        <w:t>。</w:t>
      </w:r>
    </w:p>
    <w:p w14:paraId="05026D38">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default" w:cs="宋体"/>
          <w:b w:val="0"/>
          <w:bCs/>
          <w:sz w:val="21"/>
          <w:szCs w:val="21"/>
          <w:lang w:val="en-US" w:eastAsia="zh-CN"/>
        </w:rPr>
      </w:pPr>
      <w:r>
        <w:rPr>
          <w:rFonts w:hint="eastAsia" w:cs="宋体"/>
          <w:b w:val="0"/>
          <w:bCs/>
          <w:sz w:val="21"/>
          <w:szCs w:val="21"/>
          <w:lang w:eastAsia="zh-CN"/>
        </w:rPr>
        <w:t xml:space="preserve">7.3.4 </w:t>
      </w:r>
      <w:r>
        <w:rPr>
          <w:rFonts w:hint="eastAsia" w:cs="宋体"/>
          <w:b w:val="0"/>
          <w:bCs/>
          <w:sz w:val="21"/>
          <w:szCs w:val="21"/>
          <w:lang w:val="en-US" w:eastAsia="zh-CN"/>
        </w:rPr>
        <w:t>判定规则</w:t>
      </w:r>
    </w:p>
    <w:p w14:paraId="58251FED">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cs="宋体"/>
          <w:b w:val="0"/>
          <w:bCs/>
          <w:sz w:val="21"/>
          <w:szCs w:val="21"/>
          <w:lang w:eastAsia="zh-CN"/>
        </w:rPr>
      </w:pPr>
      <w:r>
        <w:rPr>
          <w:rFonts w:hint="eastAsia" w:cs="宋体"/>
          <w:b w:val="0"/>
          <w:bCs/>
          <w:sz w:val="21"/>
          <w:szCs w:val="21"/>
          <w:lang w:eastAsia="zh-CN"/>
        </w:rPr>
        <w:t>型式检验中若全部项目合格，则判定型式检验合格；若有任一项不合格，应加倍抽样复检，若复检仍有不合格项，则判定型式检验不合格</w:t>
      </w:r>
    </w:p>
    <w:p w14:paraId="1C6A8E53">
      <w:pPr>
        <w:pStyle w:val="107"/>
        <w:spacing w:before="240" w:after="240"/>
        <w:rPr>
          <w:rFonts w:hint="eastAsia"/>
          <w:szCs w:val="21"/>
        </w:rPr>
      </w:pPr>
      <w:bookmarkStart w:id="111" w:name="heading_30"/>
      <w:bookmarkStart w:id="112" w:name="_Toc28775"/>
      <w:r>
        <w:rPr>
          <w:rFonts w:hint="eastAsia"/>
          <w:szCs w:val="21"/>
        </w:rPr>
        <w:t>标志、包装、运输和贮存</w:t>
      </w:r>
      <w:bookmarkEnd w:id="111"/>
      <w:bookmarkEnd w:id="112"/>
    </w:p>
    <w:p w14:paraId="43EBA06F">
      <w:pPr>
        <w:pStyle w:val="108"/>
        <w:spacing w:before="120" w:after="120"/>
        <w:rPr>
          <w:rFonts w:hint="eastAsia" w:ascii="黑体" w:hAnsi="黑体" w:eastAsia="黑体" w:cs="黑体"/>
          <w:sz w:val="21"/>
          <w:lang w:val="en-US" w:eastAsia="zh-CN" w:bidi="ar-SA"/>
        </w:rPr>
      </w:pPr>
      <w:bookmarkStart w:id="113" w:name="_Toc15223"/>
      <w:bookmarkStart w:id="114" w:name="heading_31"/>
      <w:r>
        <w:rPr>
          <w:rFonts w:hint="eastAsia" w:ascii="黑体" w:hAnsi="黑体" w:eastAsia="黑体" w:cs="黑体"/>
          <w:sz w:val="21"/>
          <w:lang w:val="en-US" w:eastAsia="zh-CN" w:bidi="ar-SA"/>
        </w:rPr>
        <w:t>标志</w:t>
      </w:r>
      <w:bookmarkEnd w:id="113"/>
      <w:bookmarkEnd w:id="114"/>
    </w:p>
    <w:p w14:paraId="14B1FEE0">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包装储运图示标志应符合GB/T 191的规定，包装箱上应标明</w:t>
      </w:r>
      <w:r>
        <w:rPr>
          <w:rFonts w:hint="eastAsia" w:cs="宋体"/>
          <w:b w:val="0"/>
          <w:bCs/>
          <w:sz w:val="21"/>
          <w:szCs w:val="21"/>
          <w:lang w:eastAsia="zh-CN"/>
        </w:rPr>
        <w:t>“</w:t>
      </w:r>
      <w:r>
        <w:rPr>
          <w:rFonts w:hint="eastAsia" w:ascii="宋体" w:hAnsi="宋体" w:eastAsia="宋体" w:cs="宋体"/>
          <w:b w:val="0"/>
          <w:bCs/>
          <w:sz w:val="21"/>
          <w:szCs w:val="21"/>
        </w:rPr>
        <w:t>小心轻放</w:t>
      </w:r>
      <w:r>
        <w:rPr>
          <w:rFonts w:hint="eastAsia" w:cs="宋体"/>
          <w:b w:val="0"/>
          <w:bCs/>
          <w:sz w:val="21"/>
          <w:szCs w:val="21"/>
          <w:lang w:eastAsia="zh-CN"/>
        </w:rPr>
        <w:t>”“</w:t>
      </w:r>
      <w:r>
        <w:rPr>
          <w:rFonts w:hint="eastAsia" w:ascii="宋体" w:hAnsi="宋体" w:eastAsia="宋体" w:cs="宋体"/>
          <w:b w:val="0"/>
          <w:bCs/>
          <w:sz w:val="21"/>
          <w:szCs w:val="21"/>
        </w:rPr>
        <w:t>防潮</w:t>
      </w:r>
      <w:r>
        <w:rPr>
          <w:rFonts w:hint="eastAsia" w:cs="宋体"/>
          <w:b w:val="0"/>
          <w:bCs/>
          <w:sz w:val="21"/>
          <w:szCs w:val="21"/>
          <w:lang w:eastAsia="zh-CN"/>
        </w:rPr>
        <w:t>”“</w:t>
      </w:r>
      <w:r>
        <w:rPr>
          <w:rFonts w:hint="eastAsia" w:ascii="宋体" w:hAnsi="宋体" w:eastAsia="宋体" w:cs="宋体"/>
          <w:b w:val="0"/>
          <w:bCs/>
          <w:sz w:val="21"/>
          <w:szCs w:val="21"/>
        </w:rPr>
        <w:t>向上</w:t>
      </w:r>
      <w:r>
        <w:rPr>
          <w:rFonts w:hint="eastAsia" w:cs="宋体"/>
          <w:b w:val="0"/>
          <w:bCs/>
          <w:sz w:val="21"/>
          <w:szCs w:val="21"/>
          <w:lang w:eastAsia="zh-CN"/>
        </w:rPr>
        <w:t>”</w:t>
      </w:r>
      <w:r>
        <w:rPr>
          <w:rFonts w:hint="eastAsia" w:ascii="宋体" w:hAnsi="宋体" w:eastAsia="宋体" w:cs="宋体"/>
          <w:b w:val="0"/>
          <w:bCs/>
          <w:sz w:val="21"/>
          <w:szCs w:val="21"/>
        </w:rPr>
        <w:t>等标志。每台电磁泵应在明显位置固定产品铭牌，铭牌内容至少应包括：</w:t>
      </w:r>
    </w:p>
    <w:p w14:paraId="40FE0183">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a) 产品名称和型号；</w:t>
      </w:r>
    </w:p>
    <w:p w14:paraId="7D1B6572">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b) 额定流量、额定扬程；</w:t>
      </w:r>
    </w:p>
    <w:p w14:paraId="6E2D96E4">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c) 额定电压、额定功率；</w:t>
      </w:r>
    </w:p>
    <w:p w14:paraId="2220ABAE">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d) 适用介质及温度范围；</w:t>
      </w:r>
    </w:p>
    <w:p w14:paraId="1E534744">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e) 制造日期或生产批号；</w:t>
      </w:r>
    </w:p>
    <w:p w14:paraId="51E6DB18">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f) 制造厂名称及商标；</w:t>
      </w:r>
    </w:p>
    <w:p w14:paraId="487817A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g) 产品编号。</w:t>
      </w:r>
    </w:p>
    <w:p w14:paraId="441C7723">
      <w:pPr>
        <w:pStyle w:val="108"/>
        <w:spacing w:before="120" w:after="120"/>
        <w:rPr>
          <w:rFonts w:hint="eastAsia" w:ascii="黑体" w:hAnsi="黑体" w:eastAsia="黑体" w:cs="黑体"/>
          <w:sz w:val="21"/>
          <w:lang w:val="en-US" w:eastAsia="zh-CN" w:bidi="ar-SA"/>
        </w:rPr>
      </w:pPr>
      <w:bookmarkStart w:id="115" w:name="heading_32"/>
      <w:bookmarkStart w:id="116" w:name="_Toc19552"/>
      <w:r>
        <w:rPr>
          <w:rFonts w:hint="eastAsia" w:ascii="黑体" w:hAnsi="黑体" w:eastAsia="黑体" w:cs="黑体"/>
          <w:sz w:val="21"/>
          <w:lang w:val="en-US" w:eastAsia="zh-CN" w:bidi="ar-SA"/>
        </w:rPr>
        <w:t>包装</w:t>
      </w:r>
      <w:bookmarkEnd w:id="115"/>
      <w:bookmarkEnd w:id="116"/>
    </w:p>
    <w:p w14:paraId="25E85780">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default" w:ascii="宋体" w:hAnsi="宋体" w:eastAsia="宋体" w:cs="宋体"/>
          <w:b w:val="0"/>
          <w:bCs/>
          <w:sz w:val="21"/>
          <w:szCs w:val="21"/>
          <w:lang w:val="en-US" w:eastAsia="zh-CN"/>
        </w:rPr>
      </w:pPr>
      <w:r>
        <w:rPr>
          <w:rFonts w:hint="eastAsia" w:cs="宋体"/>
          <w:b w:val="0"/>
          <w:bCs/>
          <w:sz w:val="21"/>
          <w:szCs w:val="21"/>
          <w:lang w:val="en-US" w:eastAsia="zh-CN"/>
        </w:rPr>
        <w:t>8.2.1 产品包装</w:t>
      </w:r>
    </w:p>
    <w:p w14:paraId="5EFB5029">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lang w:eastAsia="zh-CN"/>
        </w:rPr>
      </w:pPr>
      <w:r>
        <w:rPr>
          <w:rFonts w:hint="eastAsia" w:ascii="宋体" w:hAnsi="宋体" w:eastAsia="宋体" w:cs="宋体"/>
          <w:b w:val="0"/>
          <w:bCs/>
          <w:sz w:val="21"/>
          <w:szCs w:val="21"/>
        </w:rPr>
        <w:t>电磁泵应采用防潮、防震包装，内包装宜采用防静电塑料袋抽真空封装，外加缓冲材料固定。产品出厂前应将泵腔内液态金属排空或充入保护气体，进出口应用密封盖封堵</w:t>
      </w:r>
      <w:r>
        <w:rPr>
          <w:rFonts w:hint="eastAsia" w:ascii="宋体" w:hAnsi="宋体" w:eastAsia="宋体" w:cs="宋体"/>
          <w:b w:val="0"/>
          <w:bCs/>
          <w:sz w:val="21"/>
          <w:szCs w:val="21"/>
          <w:lang w:eastAsia="zh-CN"/>
        </w:rPr>
        <w:t>。</w:t>
      </w:r>
    </w:p>
    <w:p w14:paraId="5DEF6643">
      <w:pPr>
        <w:keepNext w:val="0"/>
        <w:keepLines w:val="0"/>
        <w:pageBreakBefore w:val="0"/>
        <w:widowControl w:val="0"/>
        <w:kinsoku/>
        <w:wordWrap/>
        <w:overflowPunct/>
        <w:topLinePunct w:val="0"/>
        <w:autoSpaceDE/>
        <w:autoSpaceDN/>
        <w:bidi w:val="0"/>
        <w:adjustRightInd w:val="0"/>
        <w:snapToGrid/>
        <w:spacing w:line="240" w:lineRule="auto"/>
        <w:jc w:val="both"/>
        <w:textAlignment w:val="auto"/>
        <w:outlineLvl w:val="9"/>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8.2.2 随附文件</w:t>
      </w:r>
    </w:p>
    <w:p w14:paraId="37A4E116">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包装箱内应附有下列文件：</w:t>
      </w:r>
    </w:p>
    <w:p w14:paraId="158E3E5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a) 产品合格证；</w:t>
      </w:r>
    </w:p>
    <w:p w14:paraId="687B3EF1">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b) 产品使用说明书；</w:t>
      </w:r>
    </w:p>
    <w:p w14:paraId="252FA7D4">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c) 装箱清单；</w:t>
      </w:r>
    </w:p>
    <w:p w14:paraId="42CFCDEC">
      <w:pPr>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d) 必要的备件。</w:t>
      </w:r>
    </w:p>
    <w:p w14:paraId="49ED29A0">
      <w:pPr>
        <w:pStyle w:val="108"/>
        <w:spacing w:before="120" w:after="120"/>
        <w:rPr>
          <w:rFonts w:hint="eastAsia" w:ascii="黑体" w:hAnsi="黑体" w:eastAsia="黑体" w:cs="黑体"/>
          <w:sz w:val="21"/>
          <w:lang w:val="en-US" w:eastAsia="zh-CN" w:bidi="ar-SA"/>
        </w:rPr>
      </w:pPr>
      <w:bookmarkStart w:id="117" w:name="heading_33"/>
      <w:bookmarkStart w:id="118" w:name="_Toc5765"/>
      <w:r>
        <w:rPr>
          <w:rFonts w:hint="eastAsia" w:ascii="黑体" w:hAnsi="黑体" w:eastAsia="黑体" w:cs="黑体"/>
          <w:sz w:val="21"/>
          <w:lang w:val="en-US" w:eastAsia="zh-CN" w:bidi="ar-SA"/>
        </w:rPr>
        <w:t>运输</w:t>
      </w:r>
      <w:bookmarkEnd w:id="117"/>
      <w:bookmarkEnd w:id="118"/>
    </w:p>
    <w:p w14:paraId="305462B2">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电磁泵在运输过程中应避免剧烈振动、冲击和雨淋</w:t>
      </w:r>
      <w:r>
        <w:rPr>
          <w:rFonts w:hint="eastAsia" w:cs="宋体"/>
          <w:b w:val="0"/>
          <w:bCs/>
          <w:sz w:val="21"/>
          <w:szCs w:val="21"/>
          <w:lang w:eastAsia="zh-CN"/>
        </w:rPr>
        <w:t>，</w:t>
      </w:r>
      <w:r>
        <w:rPr>
          <w:rFonts w:hint="eastAsia" w:ascii="宋体" w:hAnsi="宋体" w:eastAsia="宋体" w:cs="宋体"/>
          <w:b w:val="0"/>
          <w:bCs/>
          <w:sz w:val="21"/>
          <w:szCs w:val="21"/>
        </w:rPr>
        <w:t>运输环境温度范围宜为-25 ℃～+55 ℃，相对湿度不大于95 %。</w:t>
      </w:r>
    </w:p>
    <w:p w14:paraId="567491F5">
      <w:pPr>
        <w:pStyle w:val="108"/>
        <w:spacing w:before="120" w:after="120"/>
        <w:rPr>
          <w:rFonts w:hint="eastAsia" w:ascii="黑体" w:hAnsi="黑体" w:eastAsia="黑体" w:cs="黑体"/>
          <w:sz w:val="21"/>
          <w:lang w:val="en-US" w:eastAsia="zh-CN" w:bidi="ar-SA"/>
        </w:rPr>
      </w:pPr>
      <w:bookmarkStart w:id="119" w:name="_Toc2025"/>
      <w:bookmarkStart w:id="120" w:name="heading_34"/>
      <w:r>
        <w:rPr>
          <w:rFonts w:hint="eastAsia" w:ascii="黑体" w:hAnsi="黑体" w:eastAsia="黑体" w:cs="黑体"/>
          <w:sz w:val="21"/>
          <w:lang w:val="en-US" w:eastAsia="zh-CN" w:bidi="ar-SA"/>
        </w:rPr>
        <w:t>贮存</w:t>
      </w:r>
      <w:bookmarkEnd w:id="119"/>
      <w:bookmarkEnd w:id="120"/>
    </w:p>
    <w:p w14:paraId="4E28FBA5">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8.4.1 电磁泵应贮存在清洁、干燥、通风良好的库房内，贮存环境温度应为-40 ℃～85 ℃，相对湿度不应大于85%。</w:t>
      </w:r>
    </w:p>
    <w:p w14:paraId="4C21CF86">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8.4.2 贮存场所不应有腐蚀性气体，不应有强磁场干扰。</w:t>
      </w:r>
    </w:p>
    <w:p w14:paraId="1A4023B9">
      <w:pPr>
        <w:keepNext w:val="0"/>
        <w:keepLines w:val="0"/>
        <w:pageBreakBefore w:val="0"/>
        <w:widowControl w:val="0"/>
        <w:kinsoku/>
        <w:wordWrap/>
        <w:overflowPunct/>
        <w:topLinePunct w:val="0"/>
        <w:autoSpaceDE/>
        <w:autoSpaceDN/>
        <w:bidi w:val="0"/>
        <w:adjustRightInd w:val="0"/>
        <w:snapToGrid/>
        <w:spacing w:line="240" w:lineRule="auto"/>
        <w:ind w:left="0" w:firstLine="0" w:firstLineChars="0"/>
        <w:jc w:val="both"/>
        <w:textAlignment w:val="auto"/>
        <w:outlineLvl w:val="9"/>
        <w:rPr>
          <w:rFonts w:hint="eastAsia" w:ascii="宋体" w:hAnsi="宋体" w:eastAsia="宋体" w:cs="宋体"/>
          <w:b w:val="0"/>
          <w:bCs/>
          <w:sz w:val="21"/>
          <w:szCs w:val="21"/>
        </w:rPr>
      </w:pPr>
      <w:r>
        <w:rPr>
          <w:rFonts w:hint="eastAsia" w:ascii="宋体" w:hAnsi="宋体" w:eastAsia="宋体" w:cs="宋体"/>
          <w:b w:val="0"/>
          <w:bCs/>
          <w:sz w:val="21"/>
          <w:szCs w:val="21"/>
        </w:rPr>
        <w:t>8.4.3 产品贮存期超过12个月时，出厂前应重新进行出厂检验。</w:t>
      </w:r>
    </w:p>
    <w:p w14:paraId="5FB1561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b w:val="0"/>
          <w:bCs/>
          <w:sz w:val="21"/>
          <w:szCs w:val="21"/>
        </w:rPr>
        <w:t>8.4.4 堆放时应按包装箱标识方向放置，堆码高度不宜超过5层。</w:t>
      </w:r>
    </w:p>
    <w:p w14:paraId="4973FA86">
      <w:pPr>
        <w:pStyle w:val="59"/>
        <w:rPr>
          <w:rFonts w:hint="eastAsia"/>
          <w:lang w:val="en-US" w:eastAsia="zh-CN"/>
        </w:rPr>
      </w:pPr>
    </w:p>
    <w:bookmarkEnd w:id="4"/>
    <w:p w14:paraId="397AC3B9">
      <w:pPr>
        <w:pStyle w:val="235"/>
        <w:framePr w:wrap="around"/>
        <w:jc w:val="center"/>
        <w:rPr>
          <w:rFonts w:hint="default"/>
          <w:lang w:val="en-US" w:eastAsia="zh-CN"/>
        </w:rPr>
      </w:pPr>
      <w:r>
        <w:t>_________________________________</w:t>
      </w:r>
    </w:p>
    <w:sectPr>
      <w:footerReference r:id="rId12" w:type="default"/>
      <w:pgSz w:w="11906" w:h="16838"/>
      <w:pgMar w:top="1928" w:right="1134" w:bottom="1134" w:left="1134" w:header="1418" w:footer="1134" w:gutter="284"/>
      <w:pgNumType w:fmt="decimal"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属">
    <w:altName w:val="宋体"/>
    <w:panose1 w:val="00000000000000000000"/>
    <w:charset w:val="00"/>
    <w:family w:val="auto"/>
    <w:pitch w:val="default"/>
    <w:sig w:usb0="00000000" w:usb1="00000000" w:usb2="00000000"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E2E08">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等线" w:hAnsi="等线" w:eastAsia="等线" w:cs="Times New Roman"/>
        <w:kern w:val="2"/>
        <w:sz w:val="21"/>
        <w:szCs w:val="22"/>
        <w:lang w:val="en-US" w:eastAsia="zh-CN" w:bidi="ar-SA"/>
      </w:rPr>
      <w:id w:val="-548138633"/>
      <w:docPartObj>
        <w:docPartGallery w:val="autotext"/>
      </w:docPartObj>
    </w:sdtPr>
    <w:sdtEndPr>
      <w:rPr>
        <w:rFonts w:ascii="等线" w:hAnsi="等线" w:eastAsia="等线" w:cs="Times New Roman"/>
        <w:kern w:val="2"/>
        <w:sz w:val="18"/>
        <w:szCs w:val="18"/>
        <w:lang w:val="en-US" w:eastAsia="zh-CN" w:bidi="ar-SA"/>
      </w:rPr>
    </w:sdtEndPr>
    <w:sdtContent>
      <w:p w14:paraId="21E1B7DD">
        <w:pPr>
          <w:framePr w:wrap="auto" w:vAnchor="text" w:hAnchor="margin" w:xAlign="center" w:y="1"/>
          <w:widowControl w:val="0"/>
          <w:tabs>
            <w:tab w:val="center" w:pos="4153"/>
            <w:tab w:val="right" w:pos="8306"/>
          </w:tabs>
          <w:snapToGrid w:val="0"/>
          <w:jc w:val="left"/>
          <w:rPr>
            <w:rFonts w:ascii="等线" w:hAnsi="等线" w:eastAsia="等线" w:cs="Times New Roman"/>
            <w:kern w:val="2"/>
            <w:sz w:val="18"/>
            <w:szCs w:val="18"/>
            <w:lang w:val="en-US" w:eastAsia="zh-CN" w:bidi="ar-SA"/>
          </w:rPr>
        </w:pPr>
        <w:r>
          <w:rPr>
            <w:rFonts w:ascii="宋体" w:hAnsi="Times New Roman" w:eastAsia="宋体" w:cs="宋体"/>
            <w:kern w:val="2"/>
            <w:sz w:val="18"/>
            <w:szCs w:val="18"/>
            <w:lang w:val="en-US" w:eastAsia="zh-CN" w:bidi="ar-SA"/>
          </w:rPr>
          <w:fldChar w:fldCharType="begin"/>
        </w:r>
        <w:r>
          <w:rPr>
            <w:rFonts w:ascii="宋体" w:hAnsi="Times New Roman" w:eastAsia="宋体" w:cs="宋体"/>
            <w:kern w:val="2"/>
            <w:sz w:val="18"/>
            <w:szCs w:val="18"/>
            <w:lang w:val="en-US" w:eastAsia="zh-CN" w:bidi="ar-SA"/>
          </w:rPr>
          <w:instrText xml:space="preserve"> PAGE </w:instrText>
        </w:r>
        <w:r>
          <w:rPr>
            <w:rFonts w:ascii="宋体" w:hAnsi="Times New Roman" w:eastAsia="宋体" w:cs="宋体"/>
            <w:kern w:val="2"/>
            <w:sz w:val="18"/>
            <w:szCs w:val="18"/>
            <w:lang w:val="en-US" w:eastAsia="zh-CN" w:bidi="ar-SA"/>
          </w:rPr>
          <w:fldChar w:fldCharType="end"/>
        </w:r>
      </w:p>
    </w:sdtContent>
  </w:sdt>
  <w:p w14:paraId="4A321105">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5E298">
    <w:pPr>
      <w:widowControl w:val="0"/>
      <w:tabs>
        <w:tab w:val="center" w:pos="4153"/>
        <w:tab w:val="right" w:pos="8306"/>
      </w:tabs>
      <w:snapToGrid w:val="0"/>
      <w:jc w:val="left"/>
      <w:rPr>
        <w:rFonts w:ascii="等线" w:hAnsi="等线" w:eastAsia="等线" w:cs="Times New Roman"/>
        <w:kern w:val="2"/>
        <w:sz w:val="18"/>
        <w:szCs w:val="18"/>
        <w:lang w:val="en-US" w:eastAsia="zh-CN" w:bidi="ar-SA"/>
      </w:rPr>
    </w:pPr>
    <w:sdt>
      <w:sdtPr>
        <w:rPr>
          <w:rFonts w:ascii="等线" w:hAnsi="等线" w:eastAsia="等线" w:cs="Times New Roman"/>
          <w:kern w:val="2"/>
          <w:sz w:val="21"/>
          <w:szCs w:val="22"/>
          <w:lang w:val="en-US" w:eastAsia="zh-CN" w:bidi="ar-SA"/>
        </w:rPr>
        <w:id w:val="1458601550"/>
        <w:docPartObj>
          <w:docPartGallery w:val="autotext"/>
        </w:docPartObj>
      </w:sdtPr>
      <w:sdtEndPr>
        <w:rPr>
          <w:rFonts w:ascii="等线" w:hAnsi="等线" w:eastAsia="等线" w:cs="Times New Roman"/>
          <w:kern w:val="2"/>
          <w:sz w:val="18"/>
          <w:szCs w:val="18"/>
          <w:lang w:val="en-US" w:eastAsia="zh-CN" w:bidi="ar-SA"/>
        </w:rPr>
      </w:sdtEndP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88984">
    <w:pPr>
      <w:pStyle w:val="55"/>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D1AD3">
    <w:pPr>
      <w:pStyle w:val="5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2D55E">
                          <w:pPr>
                            <w:pStyle w:val="55"/>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52D55E">
                    <w:pPr>
                      <w:pStyle w:val="55"/>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D29DD">
    <w:pPr>
      <w:pStyle w:val="64"/>
      <w:wordWrap w:val="0"/>
      <w:rPr>
        <w:rFonts w:hint="default" w:eastAsia="黑体"/>
        <w:lang w:val="en-US" w:eastAsia="zh-CN"/>
      </w:rPr>
    </w:pPr>
    <w:r>
      <w:rPr>
        <w:rFonts w:hint="eastAsia"/>
        <w:lang w:val="en-US" w:eastAsia="zh-CN"/>
      </w:rPr>
      <w:t>T/CI 351-2024</w:t>
    </w:r>
  </w:p>
  <w:p w14:paraId="5C843251">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56B0">
    <w:pPr>
      <w:pStyle w:val="64"/>
      <w:rPr>
        <w:sz w:val="21"/>
        <w:szCs w:val="21"/>
      </w:rPr>
    </w:pPr>
    <w:r>
      <w:rPr>
        <w:rFonts w:hint="eastAsia" w:ascii="黑体" w:hAnsi="黑体" w:eastAsia="黑体" w:cs="黑体"/>
        <w:sz w:val="21"/>
        <w:szCs w:val="21"/>
      </w:rPr>
      <w:t>T/</w:t>
    </w:r>
    <w:r>
      <w:rPr>
        <w:rFonts w:hint="eastAsia" w:hAnsi="黑体" w:cs="黑体"/>
        <w:sz w:val="21"/>
        <w:szCs w:val="21"/>
        <w:lang w:val="en-US" w:eastAsia="zh-CN"/>
      </w:rPr>
      <w:t>CWDPA</w:t>
    </w:r>
    <w:r>
      <w:rPr>
        <w:rFonts w:hint="eastAsia" w:ascii="黑体" w:hAnsi="黑体" w:eastAsia="黑体" w:cs="黑体"/>
        <w:sz w:val="21"/>
        <w:szCs w:val="21"/>
      </w:rPr>
      <w:t xml:space="preserve"> </w:t>
    </w:r>
    <w:r>
      <w:rPr>
        <w:rFonts w:hint="eastAsia" w:ascii="黑体" w:hAnsi="黑体" w:eastAsia="黑体" w:cs="黑体"/>
        <w:sz w:val="21"/>
        <w:szCs w:val="21"/>
        <w:lang w:val="en-US" w:eastAsia="zh-CN"/>
      </w:rPr>
      <w:t>XXX</w:t>
    </w:r>
    <w:r>
      <w:rPr>
        <w:rFonts w:hint="eastAsia" w:ascii="黑体" w:hAnsi="黑体" w:eastAsia="黑体" w:cs="黑体"/>
        <w:sz w:val="21"/>
        <w:szCs w:val="21"/>
      </w:rPr>
      <w:t>—202</w:t>
    </w:r>
    <w:r>
      <w:rPr>
        <w:rFonts w:hint="eastAsia" w:hAnsi="黑体" w:cs="黑体"/>
        <w:sz w:val="21"/>
        <w:szCs w:val="21"/>
        <w:lang w:val="en-US" w:eastAsia="zh-CN"/>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EE3AA">
    <w:pPr>
      <w:pStyle w:val="19"/>
      <w:jc w:val="right"/>
    </w:pPr>
    <w:r>
      <w:fldChar w:fldCharType="begin"/>
    </w:r>
    <w:r>
      <w:instrText xml:space="preserve"> STYLEREF  标准文件_文件编号  \* MERGEFORMAT </w:instrText>
    </w:r>
    <w:r>
      <w:fldChar w:fldCharType="separate"/>
    </w:r>
    <w:r>
      <w:rPr>
        <w:b/>
      </w:rPr>
      <w:t>文档中未找到关联章节样式</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hOWQyZTEyMzkzMmM5NDQ1ODRkNTRiNTAyMTlhMjIifQ=="/>
  </w:docVars>
  <w:rsids>
    <w:rsidRoot w:val="0067059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4F8E"/>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35DD"/>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059D"/>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F02"/>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827"/>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B0F"/>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9D2"/>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045D"/>
    <w:rsid w:val="00D51BF3"/>
    <w:rsid w:val="00D66846"/>
    <w:rsid w:val="00D675FB"/>
    <w:rsid w:val="00D71F25"/>
    <w:rsid w:val="00D72A9C"/>
    <w:rsid w:val="00D77031"/>
    <w:rsid w:val="00D81F09"/>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5CA4"/>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48305A"/>
    <w:rsid w:val="0250735D"/>
    <w:rsid w:val="029124C9"/>
    <w:rsid w:val="05D13019"/>
    <w:rsid w:val="06BD3950"/>
    <w:rsid w:val="07340504"/>
    <w:rsid w:val="074339A9"/>
    <w:rsid w:val="07F567CA"/>
    <w:rsid w:val="082454D8"/>
    <w:rsid w:val="08290134"/>
    <w:rsid w:val="08703CD9"/>
    <w:rsid w:val="09D750A5"/>
    <w:rsid w:val="09D76A51"/>
    <w:rsid w:val="0A611458"/>
    <w:rsid w:val="0B5D1CFF"/>
    <w:rsid w:val="0C554996"/>
    <w:rsid w:val="0C734149"/>
    <w:rsid w:val="0CE65413"/>
    <w:rsid w:val="0D7B7C42"/>
    <w:rsid w:val="0DA90E87"/>
    <w:rsid w:val="0DC73CDF"/>
    <w:rsid w:val="0FB22603"/>
    <w:rsid w:val="10A96AED"/>
    <w:rsid w:val="11466B07"/>
    <w:rsid w:val="11484B7B"/>
    <w:rsid w:val="121073DE"/>
    <w:rsid w:val="1273042B"/>
    <w:rsid w:val="12B969E9"/>
    <w:rsid w:val="13951B3B"/>
    <w:rsid w:val="13E25209"/>
    <w:rsid w:val="151C54CF"/>
    <w:rsid w:val="15C41AB6"/>
    <w:rsid w:val="172E656B"/>
    <w:rsid w:val="173B2048"/>
    <w:rsid w:val="18610CDC"/>
    <w:rsid w:val="1C7B1B3D"/>
    <w:rsid w:val="1D95247B"/>
    <w:rsid w:val="1D9F4E1C"/>
    <w:rsid w:val="1DEB6009"/>
    <w:rsid w:val="1F4A70FD"/>
    <w:rsid w:val="1F9A6382"/>
    <w:rsid w:val="200E40BC"/>
    <w:rsid w:val="2099237C"/>
    <w:rsid w:val="20BC49FB"/>
    <w:rsid w:val="228D3E7A"/>
    <w:rsid w:val="246A441E"/>
    <w:rsid w:val="247A76EA"/>
    <w:rsid w:val="25432329"/>
    <w:rsid w:val="25E42FB4"/>
    <w:rsid w:val="267C3185"/>
    <w:rsid w:val="26AD1FB3"/>
    <w:rsid w:val="26D144D4"/>
    <w:rsid w:val="27BC1FA7"/>
    <w:rsid w:val="283332DA"/>
    <w:rsid w:val="290047DB"/>
    <w:rsid w:val="291F0542"/>
    <w:rsid w:val="294D78C7"/>
    <w:rsid w:val="29BB5003"/>
    <w:rsid w:val="2D88542E"/>
    <w:rsid w:val="2E0067B1"/>
    <w:rsid w:val="2F802E28"/>
    <w:rsid w:val="2FCC5A71"/>
    <w:rsid w:val="3029746C"/>
    <w:rsid w:val="30CD7FF2"/>
    <w:rsid w:val="30FA5A12"/>
    <w:rsid w:val="32523AAD"/>
    <w:rsid w:val="32592EEF"/>
    <w:rsid w:val="32A978B2"/>
    <w:rsid w:val="32BE2B5E"/>
    <w:rsid w:val="332B5B5F"/>
    <w:rsid w:val="35956011"/>
    <w:rsid w:val="35E328D9"/>
    <w:rsid w:val="370C4202"/>
    <w:rsid w:val="37815996"/>
    <w:rsid w:val="37842B42"/>
    <w:rsid w:val="38521299"/>
    <w:rsid w:val="38D11273"/>
    <w:rsid w:val="39687A37"/>
    <w:rsid w:val="3B00217F"/>
    <w:rsid w:val="3C053706"/>
    <w:rsid w:val="3C425A6B"/>
    <w:rsid w:val="3C842FA3"/>
    <w:rsid w:val="3D850719"/>
    <w:rsid w:val="3E0B2DFF"/>
    <w:rsid w:val="3E511436"/>
    <w:rsid w:val="3EA42E61"/>
    <w:rsid w:val="403E177F"/>
    <w:rsid w:val="41E714BD"/>
    <w:rsid w:val="454848B8"/>
    <w:rsid w:val="462D2C94"/>
    <w:rsid w:val="46731392"/>
    <w:rsid w:val="47A125F4"/>
    <w:rsid w:val="47FE103D"/>
    <w:rsid w:val="48926E17"/>
    <w:rsid w:val="493868A9"/>
    <w:rsid w:val="49E625A7"/>
    <w:rsid w:val="4A4E5BB5"/>
    <w:rsid w:val="4A9F11A1"/>
    <w:rsid w:val="4AF56684"/>
    <w:rsid w:val="4C1B1639"/>
    <w:rsid w:val="4E3C7A50"/>
    <w:rsid w:val="4F5A5E19"/>
    <w:rsid w:val="4F66583F"/>
    <w:rsid w:val="521627B9"/>
    <w:rsid w:val="527267F2"/>
    <w:rsid w:val="55067F3A"/>
    <w:rsid w:val="553D7E00"/>
    <w:rsid w:val="558F5D5E"/>
    <w:rsid w:val="55E31AFA"/>
    <w:rsid w:val="56142799"/>
    <w:rsid w:val="56523435"/>
    <w:rsid w:val="57B12632"/>
    <w:rsid w:val="57C40382"/>
    <w:rsid w:val="57EE3633"/>
    <w:rsid w:val="584E7888"/>
    <w:rsid w:val="588C0F63"/>
    <w:rsid w:val="590961FC"/>
    <w:rsid w:val="5ADA376B"/>
    <w:rsid w:val="5B0E5A1D"/>
    <w:rsid w:val="5B2B4256"/>
    <w:rsid w:val="5D0968B1"/>
    <w:rsid w:val="5D156F6C"/>
    <w:rsid w:val="5D7879F0"/>
    <w:rsid w:val="5EB7760C"/>
    <w:rsid w:val="5F0759F1"/>
    <w:rsid w:val="60FA2528"/>
    <w:rsid w:val="62130050"/>
    <w:rsid w:val="6242450E"/>
    <w:rsid w:val="62A849B5"/>
    <w:rsid w:val="6735494D"/>
    <w:rsid w:val="67C64B9E"/>
    <w:rsid w:val="69FA7C16"/>
    <w:rsid w:val="6A975974"/>
    <w:rsid w:val="6A991B4E"/>
    <w:rsid w:val="6B9D229A"/>
    <w:rsid w:val="6D237483"/>
    <w:rsid w:val="6E0D32E8"/>
    <w:rsid w:val="6E426D96"/>
    <w:rsid w:val="6EB16D05"/>
    <w:rsid w:val="6F3C104B"/>
    <w:rsid w:val="6F77137F"/>
    <w:rsid w:val="718F134F"/>
    <w:rsid w:val="719647CC"/>
    <w:rsid w:val="72596DDD"/>
    <w:rsid w:val="72BB3A37"/>
    <w:rsid w:val="74FC77C0"/>
    <w:rsid w:val="75D829C3"/>
    <w:rsid w:val="76713F77"/>
    <w:rsid w:val="78F61204"/>
    <w:rsid w:val="79B53B59"/>
    <w:rsid w:val="7A9E283F"/>
    <w:rsid w:val="7AF0771F"/>
    <w:rsid w:val="7BF94115"/>
    <w:rsid w:val="7C8C3866"/>
    <w:rsid w:val="7D413817"/>
    <w:rsid w:val="7D474461"/>
    <w:rsid w:val="7DCB092C"/>
    <w:rsid w:val="7E2C6520"/>
    <w:rsid w:val="7F622EF2"/>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240" w:lineRule="auto"/>
      <w:jc w:val="both"/>
    </w:pPr>
    <w:rPr>
      <w:rFonts w:ascii="宋体" w:hAnsi="宋体" w:eastAsia="宋体" w:cs="Times New Roman"/>
      <w:kern w:val="2"/>
      <w:sz w:val="21"/>
      <w:szCs w:val="21"/>
      <w:lang w:val="en-US" w:eastAsia="zh-CN" w:bidi="ar-SA"/>
    </w:rPr>
  </w:style>
  <w:style w:type="paragraph" w:styleId="2">
    <w:name w:val="heading 1"/>
    <w:basedOn w:val="1"/>
    <w:next w:val="1"/>
    <w:link w:val="37"/>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0"/>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9"/>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autoRedefine/>
    <w:semiHidden/>
    <w:unhideWhenUsed/>
    <w:qFormat/>
    <w:uiPriority w:val="99"/>
    <w:rPr>
      <w:sz w:val="18"/>
      <w:szCs w:val="18"/>
    </w:rPr>
  </w:style>
  <w:style w:type="paragraph" w:styleId="18">
    <w:name w:val="footer"/>
    <w:basedOn w:val="1"/>
    <w:link w:val="47"/>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28">
    <w:name w:val="Title"/>
    <w:basedOn w:val="1"/>
    <w:link w:val="51"/>
    <w:autoRedefine/>
    <w:qFormat/>
    <w:uiPriority w:val="0"/>
    <w:pPr>
      <w:spacing w:before="240" w:after="60"/>
      <w:jc w:val="center"/>
      <w:outlineLvl w:val="0"/>
    </w:pPr>
    <w:rPr>
      <w:rFonts w:ascii="Arial" w:hAnsi="Arial" w:cs="Arial"/>
      <w:b/>
      <w:bCs/>
      <w:sz w:val="32"/>
      <w:szCs w:val="32"/>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footnote reference"/>
    <w:autoRedefine/>
    <w:semiHidden/>
    <w:qFormat/>
    <w:uiPriority w:val="0"/>
    <w:rPr>
      <w:rFonts w:ascii="宋体" w:hAnsi="宋体" w:eastAsia="宋体" w:cs="Times New Roman"/>
      <w:spacing w:val="0"/>
      <w:sz w:val="18"/>
      <w:vertAlign w:val="superscript"/>
    </w:rPr>
  </w:style>
  <w:style w:type="character" w:customStyle="1" w:styleId="37">
    <w:name w:val="标题 1 字符"/>
    <w:link w:val="2"/>
    <w:autoRedefine/>
    <w:qFormat/>
    <w:uiPriority w:val="0"/>
    <w:rPr>
      <w:b/>
      <w:bCs/>
      <w:kern w:val="44"/>
      <w:sz w:val="44"/>
      <w:szCs w:val="44"/>
    </w:rPr>
  </w:style>
  <w:style w:type="character" w:customStyle="1" w:styleId="38">
    <w:name w:val="标题 2 字符"/>
    <w:link w:val="3"/>
    <w:autoRedefine/>
    <w:qFormat/>
    <w:uiPriority w:val="0"/>
    <w:rPr>
      <w:rFonts w:ascii="Arial" w:hAnsi="Arial" w:eastAsia="黑体"/>
      <w:b/>
      <w:bCs/>
      <w:kern w:val="2"/>
      <w:sz w:val="32"/>
      <w:szCs w:val="32"/>
    </w:rPr>
  </w:style>
  <w:style w:type="character" w:customStyle="1" w:styleId="39">
    <w:name w:val="标题 3 字符"/>
    <w:link w:val="4"/>
    <w:autoRedefine/>
    <w:qFormat/>
    <w:uiPriority w:val="0"/>
    <w:rPr>
      <w:b/>
      <w:bCs/>
      <w:kern w:val="2"/>
      <w:sz w:val="32"/>
      <w:szCs w:val="32"/>
    </w:rPr>
  </w:style>
  <w:style w:type="character" w:customStyle="1" w:styleId="40">
    <w:name w:val="标题 4 字符"/>
    <w:link w:val="5"/>
    <w:autoRedefine/>
    <w:qFormat/>
    <w:uiPriority w:val="0"/>
    <w:rPr>
      <w:rFonts w:ascii="Arial" w:hAnsi="Arial" w:eastAsia="黑体"/>
      <w:b/>
      <w:bCs/>
      <w:kern w:val="2"/>
      <w:sz w:val="28"/>
      <w:szCs w:val="28"/>
    </w:rPr>
  </w:style>
  <w:style w:type="character" w:customStyle="1" w:styleId="41">
    <w:name w:val="标题 5 字符"/>
    <w:link w:val="6"/>
    <w:autoRedefine/>
    <w:qFormat/>
    <w:uiPriority w:val="0"/>
    <w:rPr>
      <w:b/>
      <w:bCs/>
      <w:kern w:val="2"/>
      <w:sz w:val="28"/>
      <w:szCs w:val="28"/>
    </w:rPr>
  </w:style>
  <w:style w:type="character" w:customStyle="1" w:styleId="42">
    <w:name w:val="标题 6 字符"/>
    <w:link w:val="7"/>
    <w:autoRedefine/>
    <w:qFormat/>
    <w:uiPriority w:val="0"/>
    <w:rPr>
      <w:rFonts w:ascii="Arial" w:hAnsi="Arial" w:eastAsia="黑体"/>
      <w:b/>
      <w:bCs/>
      <w:kern w:val="2"/>
      <w:sz w:val="24"/>
      <w:szCs w:val="24"/>
    </w:rPr>
  </w:style>
  <w:style w:type="character" w:customStyle="1" w:styleId="43">
    <w:name w:val="标题 7 字符"/>
    <w:link w:val="8"/>
    <w:autoRedefine/>
    <w:qFormat/>
    <w:uiPriority w:val="0"/>
    <w:rPr>
      <w:b/>
      <w:bCs/>
      <w:kern w:val="2"/>
      <w:sz w:val="24"/>
      <w:szCs w:val="24"/>
    </w:rPr>
  </w:style>
  <w:style w:type="character" w:customStyle="1" w:styleId="44">
    <w:name w:val="标题 8 字符"/>
    <w:link w:val="9"/>
    <w:autoRedefine/>
    <w:qFormat/>
    <w:uiPriority w:val="0"/>
    <w:rPr>
      <w:rFonts w:ascii="Arial" w:hAnsi="Arial" w:eastAsia="黑体"/>
      <w:kern w:val="2"/>
      <w:sz w:val="24"/>
      <w:szCs w:val="24"/>
    </w:rPr>
  </w:style>
  <w:style w:type="character" w:customStyle="1" w:styleId="45">
    <w:name w:val="标题 9 字符"/>
    <w:link w:val="10"/>
    <w:autoRedefine/>
    <w:qFormat/>
    <w:uiPriority w:val="0"/>
    <w:rPr>
      <w:rFonts w:ascii="Arial" w:hAnsi="Arial" w:eastAsia="黑体"/>
      <w:kern w:val="2"/>
      <w:sz w:val="21"/>
      <w:szCs w:val="21"/>
    </w:rPr>
  </w:style>
  <w:style w:type="character" w:customStyle="1" w:styleId="46">
    <w:name w:val="页眉 字符"/>
    <w:link w:val="19"/>
    <w:autoRedefine/>
    <w:qFormat/>
    <w:uiPriority w:val="99"/>
    <w:rPr>
      <w:kern w:val="2"/>
      <w:sz w:val="18"/>
      <w:szCs w:val="18"/>
    </w:rPr>
  </w:style>
  <w:style w:type="character" w:customStyle="1" w:styleId="47">
    <w:name w:val="页脚 字符"/>
    <w:link w:val="18"/>
    <w:autoRedefine/>
    <w:qFormat/>
    <w:uiPriority w:val="99"/>
    <w:rPr>
      <w:rFonts w:ascii="宋体"/>
      <w:kern w:val="2"/>
      <w:sz w:val="18"/>
      <w:szCs w:val="18"/>
    </w:rPr>
  </w:style>
  <w:style w:type="character" w:customStyle="1" w:styleId="48">
    <w:name w:val="批注框文本 字符"/>
    <w:link w:val="17"/>
    <w:autoRedefine/>
    <w:semiHidden/>
    <w:qFormat/>
    <w:uiPriority w:val="99"/>
    <w:rPr>
      <w:kern w:val="2"/>
      <w:sz w:val="18"/>
      <w:szCs w:val="18"/>
    </w:rPr>
  </w:style>
  <w:style w:type="paragraph" w:styleId="49">
    <w:name w:val="Quote"/>
    <w:basedOn w:val="1"/>
    <w:next w:val="1"/>
    <w:link w:val="50"/>
    <w:autoRedefine/>
    <w:qFormat/>
    <w:uiPriority w:val="29"/>
    <w:rPr>
      <w:i/>
      <w:iCs/>
      <w:color w:val="000000"/>
    </w:rPr>
  </w:style>
  <w:style w:type="character" w:customStyle="1" w:styleId="50">
    <w:name w:val="引用 字符"/>
    <w:link w:val="49"/>
    <w:autoRedefine/>
    <w:qFormat/>
    <w:uiPriority w:val="29"/>
    <w:rPr>
      <w:i/>
      <w:iCs/>
      <w:color w:val="000000"/>
      <w:kern w:val="2"/>
      <w:sz w:val="21"/>
      <w:szCs w:val="21"/>
    </w:rPr>
  </w:style>
  <w:style w:type="character" w:customStyle="1" w:styleId="51">
    <w:name w:val="标题 字符"/>
    <w:link w:val="28"/>
    <w:autoRedefine/>
    <w:qFormat/>
    <w:uiPriority w:val="0"/>
    <w:rPr>
      <w:rFonts w:ascii="Arial" w:hAnsi="Arial" w:cs="Arial"/>
      <w:b/>
      <w:bCs/>
      <w:kern w:val="2"/>
      <w:sz w:val="32"/>
      <w:szCs w:val="32"/>
    </w:rPr>
  </w:style>
  <w:style w:type="paragraph" w:customStyle="1" w:styleId="52">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autoRedefine/>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autoRedefine/>
    <w:qFormat/>
    <w:uiPriority w:val="0"/>
    <w:pPr>
      <w:spacing w:line="0" w:lineRule="atLeast"/>
    </w:pPr>
    <w:rPr>
      <w:rFonts w:ascii="黑体" w:hAnsi="宋体" w:eastAsia="黑体"/>
    </w:rPr>
  </w:style>
  <w:style w:type="paragraph" w:customStyle="1" w:styleId="58">
    <w:name w:val="标准文件_标准正文"/>
    <w:basedOn w:val="1"/>
    <w:next w:val="59"/>
    <w:autoRedefine/>
    <w:qFormat/>
    <w:uiPriority w:val="0"/>
    <w:pPr>
      <w:snapToGrid w:val="0"/>
      <w:ind w:firstLine="200" w:firstLineChars="200"/>
    </w:pPr>
    <w:rPr>
      <w:kern w:val="0"/>
    </w:rPr>
  </w:style>
  <w:style w:type="paragraph" w:customStyle="1" w:styleId="59">
    <w:name w:val="标准文件_段"/>
    <w:link w:val="187"/>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autoRedefine/>
    <w:qFormat/>
    <w:uiPriority w:val="0"/>
    <w:pPr>
      <w:adjustRightInd/>
      <w:snapToGrid/>
      <w:ind w:firstLine="0" w:firstLineChars="0"/>
    </w:pPr>
    <w:rPr>
      <w:rFonts w:ascii="宋体" w:hAnsi="宋体"/>
      <w:kern w:val="2"/>
    </w:rPr>
  </w:style>
  <w:style w:type="paragraph" w:customStyle="1" w:styleId="61">
    <w:name w:val="标准文件_标准部门"/>
    <w:basedOn w:val="1"/>
    <w:autoRedefine/>
    <w:qFormat/>
    <w:uiPriority w:val="0"/>
    <w:pPr>
      <w:jc w:val="center"/>
    </w:pPr>
    <w:rPr>
      <w:rFonts w:ascii="黑体" w:eastAsia="黑体"/>
      <w:kern w:val="0"/>
      <w:sz w:val="44"/>
    </w:rPr>
  </w:style>
  <w:style w:type="paragraph" w:customStyle="1" w:styleId="62">
    <w:name w:val="标准文件_标准代替"/>
    <w:basedOn w:val="1"/>
    <w:next w:val="1"/>
    <w:autoRedefine/>
    <w:qFormat/>
    <w:uiPriority w:val="0"/>
    <w:pPr>
      <w:spacing w:line="310" w:lineRule="exact"/>
      <w:jc w:val="right"/>
    </w:pPr>
    <w:rPr>
      <w:rFonts w:ascii="宋体" w:hAnsi="宋体"/>
      <w:kern w:val="0"/>
    </w:rPr>
  </w:style>
  <w:style w:type="paragraph" w:customStyle="1" w:styleId="63">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autoRedefine/>
    <w:qFormat/>
    <w:uiPriority w:val="0"/>
    <w:pPr>
      <w:jc w:val="left"/>
    </w:pPr>
  </w:style>
  <w:style w:type="paragraph" w:customStyle="1" w:styleId="66">
    <w:name w:val="标准文件_参考文献标题"/>
    <w:basedOn w:val="1"/>
    <w:next w:val="1"/>
    <w:autoRedefine/>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7">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autoRedefine/>
    <w:qFormat/>
    <w:uiPriority w:val="0"/>
    <w:rPr>
      <w:rFonts w:ascii="黑体" w:eastAsia="黑体"/>
      <w:spacing w:val="0"/>
      <w:w w:val="100"/>
      <w:position w:val="3"/>
      <w:sz w:val="28"/>
    </w:rPr>
  </w:style>
  <w:style w:type="paragraph" w:customStyle="1" w:styleId="70">
    <w:name w:val="标准文件_方框数字列项"/>
    <w:basedOn w:val="59"/>
    <w:autoRedefine/>
    <w:qFormat/>
    <w:uiPriority w:val="0"/>
    <w:pPr>
      <w:numPr>
        <w:ilvl w:val="0"/>
        <w:numId w:val="3"/>
      </w:numPr>
      <w:ind w:firstLine="0" w:firstLineChars="0"/>
    </w:pPr>
  </w:style>
  <w:style w:type="paragraph" w:customStyle="1" w:styleId="71">
    <w:name w:val="标准文件_封面标准编号"/>
    <w:basedOn w:val="1"/>
    <w:next w:val="62"/>
    <w:autoRedefine/>
    <w:qFormat/>
    <w:uiPriority w:val="0"/>
    <w:pPr>
      <w:spacing w:line="310" w:lineRule="exact"/>
      <w:jc w:val="right"/>
    </w:pPr>
    <w:rPr>
      <w:rFonts w:ascii="黑体" w:eastAsia="黑体"/>
      <w:kern w:val="0"/>
      <w:sz w:val="28"/>
    </w:rPr>
  </w:style>
  <w:style w:type="paragraph" w:customStyle="1" w:styleId="72">
    <w:name w:val="标准文件_封面标准分类号"/>
    <w:basedOn w:val="1"/>
    <w:autoRedefine/>
    <w:qFormat/>
    <w:uiPriority w:val="0"/>
    <w:rPr>
      <w:rFonts w:ascii="黑体" w:eastAsia="黑体"/>
      <w:b/>
      <w:kern w:val="0"/>
      <w:sz w:val="28"/>
    </w:rPr>
  </w:style>
  <w:style w:type="paragraph" w:customStyle="1" w:styleId="73">
    <w:name w:val="标准文件_封面标准名称"/>
    <w:basedOn w:val="1"/>
    <w:autoRedefine/>
    <w:qFormat/>
    <w:uiPriority w:val="0"/>
    <w:pPr>
      <w:spacing w:line="240" w:lineRule="auto"/>
      <w:jc w:val="center"/>
    </w:pPr>
    <w:rPr>
      <w:rFonts w:ascii="黑体" w:eastAsia="黑体"/>
      <w:kern w:val="0"/>
      <w:sz w:val="52"/>
    </w:rPr>
  </w:style>
  <w:style w:type="paragraph" w:customStyle="1" w:styleId="74">
    <w:name w:val="标准文件_封面标准英文名称"/>
    <w:basedOn w:val="1"/>
    <w:autoRedefine/>
    <w:qFormat/>
    <w:uiPriority w:val="0"/>
    <w:pPr>
      <w:spacing w:line="240" w:lineRule="auto"/>
      <w:jc w:val="center"/>
    </w:pPr>
    <w:rPr>
      <w:rFonts w:ascii="黑体" w:eastAsia="黑体"/>
      <w:b/>
      <w:sz w:val="28"/>
    </w:rPr>
  </w:style>
  <w:style w:type="paragraph" w:customStyle="1" w:styleId="75">
    <w:name w:val="标准文件_封面发布日期"/>
    <w:basedOn w:val="1"/>
    <w:autoRedefine/>
    <w:qFormat/>
    <w:uiPriority w:val="0"/>
    <w:pPr>
      <w:spacing w:line="310" w:lineRule="exact"/>
    </w:pPr>
    <w:rPr>
      <w:rFonts w:ascii="黑体" w:eastAsia="黑体"/>
      <w:kern w:val="0"/>
      <w:sz w:val="28"/>
    </w:rPr>
  </w:style>
  <w:style w:type="paragraph" w:customStyle="1" w:styleId="76">
    <w:name w:val="标准文件_封面密级"/>
    <w:basedOn w:val="1"/>
    <w:autoRedefine/>
    <w:qFormat/>
    <w:uiPriority w:val="0"/>
    <w:rPr>
      <w:rFonts w:eastAsia="黑体"/>
      <w:sz w:val="32"/>
    </w:rPr>
  </w:style>
  <w:style w:type="paragraph" w:customStyle="1" w:styleId="77">
    <w:name w:val="标准文件_封面实施日期"/>
    <w:basedOn w:val="1"/>
    <w:autoRedefine/>
    <w:qFormat/>
    <w:uiPriority w:val="0"/>
    <w:pPr>
      <w:spacing w:line="310" w:lineRule="exact"/>
      <w:jc w:val="right"/>
    </w:pPr>
    <w:rPr>
      <w:rFonts w:ascii="黑体" w:eastAsia="黑体"/>
      <w:sz w:val="28"/>
    </w:rPr>
  </w:style>
  <w:style w:type="paragraph" w:customStyle="1" w:styleId="78">
    <w:name w:val="标准文件_封面抬头"/>
    <w:basedOn w:val="59"/>
    <w:autoRedefine/>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autoRedefine/>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autoRedefine/>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autoRedefine/>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autoRedefine/>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autoRedefine/>
    <w:qFormat/>
    <w:uiPriority w:val="0"/>
    <w:rPr>
      <w:kern w:val="2"/>
      <w:sz w:val="21"/>
      <w:szCs w:val="21"/>
    </w:rPr>
  </w:style>
  <w:style w:type="paragraph" w:customStyle="1" w:styleId="90">
    <w:name w:val="标准文件_附录章标题"/>
    <w:next w:val="59"/>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autoRedefine/>
    <w:qFormat/>
    <w:uiPriority w:val="0"/>
    <w:pPr>
      <w:ind w:left="488" w:leftChars="200" w:hanging="289" w:hangingChars="290"/>
    </w:pPr>
  </w:style>
  <w:style w:type="paragraph" w:customStyle="1" w:styleId="92">
    <w:name w:val="标准文件_前言、引言标题"/>
    <w:next w:val="1"/>
    <w:autoRedefine/>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autoRedefine/>
    <w:qFormat/>
    <w:uiPriority w:val="0"/>
    <w:pPr>
      <w:spacing w:line="460" w:lineRule="exact"/>
      <w:ind w:left="0" w:firstLine="0"/>
    </w:pPr>
  </w:style>
  <w:style w:type="paragraph" w:customStyle="1" w:styleId="94">
    <w:name w:val="标准文件_目录标题"/>
    <w:basedOn w:val="1"/>
    <w:autoRedefine/>
    <w:qFormat/>
    <w:uiPriority w:val="0"/>
    <w:pPr>
      <w:spacing w:before="480" w:after="150" w:afterLines="150" w:line="240" w:lineRule="auto"/>
      <w:jc w:val="center"/>
    </w:pPr>
    <w:rPr>
      <w:rFonts w:ascii="黑体" w:eastAsia="黑体"/>
      <w:sz w:val="32"/>
    </w:rPr>
  </w:style>
  <w:style w:type="paragraph" w:customStyle="1" w:styleId="95">
    <w:name w:val="标准文件_破折号列项"/>
    <w:autoRedefine/>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autoRedefine/>
    <w:qFormat/>
    <w:uiPriority w:val="0"/>
    <w:pPr>
      <w:numPr>
        <w:numId w:val="10"/>
      </w:numPr>
    </w:pPr>
  </w:style>
  <w:style w:type="paragraph" w:customStyle="1" w:styleId="97">
    <w:name w:val="标准文件_三级条标题"/>
    <w:basedOn w:val="68"/>
    <w:next w:val="59"/>
    <w:autoRedefine/>
    <w:qFormat/>
    <w:uiPriority w:val="0"/>
    <w:pPr>
      <w:widowControl/>
      <w:numPr>
        <w:ilvl w:val="4"/>
      </w:numPr>
      <w:outlineLvl w:val="3"/>
    </w:pPr>
  </w:style>
  <w:style w:type="character" w:customStyle="1" w:styleId="98">
    <w:name w:val="Subtle Reference"/>
    <w:autoRedefine/>
    <w:qFormat/>
    <w:uiPriority w:val="31"/>
    <w:rPr>
      <w:smallCaps/>
      <w:color w:val="C0504D"/>
      <w:u w:val="single"/>
    </w:rPr>
  </w:style>
  <w:style w:type="paragraph" w:customStyle="1" w:styleId="99">
    <w:name w:val="标准文件_示例后续"/>
    <w:basedOn w:val="1"/>
    <w:autoRedefine/>
    <w:qFormat/>
    <w:uiPriority w:val="0"/>
    <w:pPr>
      <w:adjustRightInd/>
      <w:spacing w:line="240" w:lineRule="auto"/>
      <w:ind w:firstLine="200" w:firstLineChars="200"/>
    </w:pPr>
    <w:rPr>
      <w:sz w:val="18"/>
      <w:szCs w:val="24"/>
    </w:rPr>
  </w:style>
  <w:style w:type="paragraph" w:customStyle="1" w:styleId="100">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autoRedefine/>
    <w:semiHidden/>
    <w:qFormat/>
    <w:uiPriority w:val="0"/>
    <w:rPr>
      <w:rFonts w:ascii="宋体"/>
      <w:kern w:val="2"/>
      <w:sz w:val="18"/>
      <w:szCs w:val="18"/>
    </w:rPr>
  </w:style>
  <w:style w:type="paragraph" w:customStyle="1" w:styleId="103">
    <w:name w:val="标准文件_条文脚注"/>
    <w:basedOn w:val="22"/>
    <w:autoRedefine/>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autoRedefine/>
    <w:qFormat/>
    <w:uiPriority w:val="0"/>
    <w:pPr>
      <w:numPr>
        <w:ilvl w:val="0"/>
        <w:numId w:val="12"/>
      </w:numPr>
      <w:spacing w:line="240" w:lineRule="auto"/>
      <w:jc w:val="left"/>
    </w:pPr>
    <w:rPr>
      <w:rFonts w:ascii="宋体" w:hAnsi="宋体"/>
      <w:sz w:val="18"/>
    </w:rPr>
  </w:style>
  <w:style w:type="character" w:customStyle="1" w:styleId="105">
    <w:name w:val="标准文件_图表脚注内容"/>
    <w:autoRedefine/>
    <w:qFormat/>
    <w:uiPriority w:val="0"/>
    <w:rPr>
      <w:rFonts w:ascii="宋体" w:hAnsi="宋体" w:eastAsia="宋体" w:cs="Times New Roman"/>
      <w:spacing w:val="0"/>
      <w:sz w:val="18"/>
      <w:vertAlign w:val="superscript"/>
    </w:rPr>
  </w:style>
  <w:style w:type="paragraph" w:customStyle="1" w:styleId="106">
    <w:name w:val="标准文件_五级条标题"/>
    <w:next w:val="59"/>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autoRedefine/>
    <w:qFormat/>
    <w:uiPriority w:val="0"/>
    <w:pPr>
      <w:numPr>
        <w:ilvl w:val="2"/>
      </w:numPr>
      <w:spacing w:before="50" w:beforeLines="50" w:after="50" w:afterLines="50"/>
      <w:outlineLvl w:val="1"/>
    </w:pPr>
  </w:style>
  <w:style w:type="paragraph" w:customStyle="1" w:styleId="109">
    <w:name w:val="标准文件_一致程度"/>
    <w:basedOn w:val="1"/>
    <w:autoRedefine/>
    <w:qFormat/>
    <w:uiPriority w:val="0"/>
    <w:pPr>
      <w:spacing w:line="440" w:lineRule="exact"/>
      <w:jc w:val="center"/>
    </w:pPr>
    <w:rPr>
      <w:sz w:val="28"/>
    </w:rPr>
  </w:style>
  <w:style w:type="paragraph" w:customStyle="1" w:styleId="110">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autoRedefine/>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autoRedefine/>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2">
    <w:name w:val="发布部门"/>
    <w:next w:val="59"/>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autoRedefine/>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autoRedefine/>
    <w:qFormat/>
    <w:uiPriority w:val="0"/>
    <w:pPr>
      <w:outlineLvl w:val="4"/>
    </w:pPr>
  </w:style>
  <w:style w:type="paragraph" w:customStyle="1" w:styleId="133">
    <w:name w:val="附录四级无标题条"/>
    <w:basedOn w:val="132"/>
    <w:next w:val="59"/>
    <w:autoRedefine/>
    <w:qFormat/>
    <w:uiPriority w:val="0"/>
    <w:pPr>
      <w:outlineLvl w:val="5"/>
    </w:pPr>
  </w:style>
  <w:style w:type="paragraph" w:customStyle="1" w:styleId="134">
    <w:name w:val="附录图"/>
    <w:next w:val="59"/>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autoRedefine/>
    <w:qFormat/>
    <w:uiPriority w:val="0"/>
    <w:pPr>
      <w:outlineLvl w:val="6"/>
    </w:pPr>
  </w:style>
  <w:style w:type="paragraph" w:customStyle="1" w:styleId="137">
    <w:name w:val="附录性质"/>
    <w:basedOn w:val="1"/>
    <w:autoRedefine/>
    <w:qFormat/>
    <w:uiPriority w:val="0"/>
    <w:pPr>
      <w:widowControl/>
      <w:adjustRightInd/>
      <w:jc w:val="center"/>
    </w:pPr>
    <w:rPr>
      <w:rFonts w:ascii="黑体" w:eastAsia="黑体"/>
    </w:rPr>
  </w:style>
  <w:style w:type="paragraph" w:customStyle="1" w:styleId="138">
    <w:name w:val="附录一级无标题条"/>
    <w:basedOn w:val="90"/>
    <w:next w:val="59"/>
    <w:autoRedefine/>
    <w:qFormat/>
    <w:uiPriority w:val="0"/>
    <w:pPr>
      <w:autoSpaceDN w:val="0"/>
      <w:outlineLvl w:val="2"/>
    </w:pPr>
    <w:rPr>
      <w:rFonts w:ascii="宋体" w:hAnsi="宋体" w:eastAsia="宋体"/>
    </w:rPr>
  </w:style>
  <w:style w:type="character" w:customStyle="1" w:styleId="139">
    <w:name w:val="个人答复风格"/>
    <w:autoRedefine/>
    <w:qFormat/>
    <w:uiPriority w:val="0"/>
    <w:rPr>
      <w:rFonts w:ascii="Arial" w:hAnsi="Arial" w:eastAsia="宋体" w:cs="Arial"/>
      <w:color w:val="auto"/>
      <w:spacing w:val="0"/>
      <w:sz w:val="20"/>
    </w:rPr>
  </w:style>
  <w:style w:type="character" w:customStyle="1" w:styleId="140">
    <w:name w:val="个人撰写风格"/>
    <w:autoRedefine/>
    <w:qFormat/>
    <w:uiPriority w:val="0"/>
    <w:rPr>
      <w:rFonts w:ascii="Arial" w:hAnsi="Arial" w:eastAsia="宋体" w:cs="Arial"/>
      <w:color w:val="auto"/>
      <w:spacing w:val="0"/>
      <w:sz w:val="20"/>
    </w:rPr>
  </w:style>
  <w:style w:type="paragraph" w:customStyle="1" w:styleId="141">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autoRedefine/>
    <w:qFormat/>
    <w:uiPriority w:val="0"/>
    <w:pPr>
      <w:tabs>
        <w:tab w:val="left" w:pos="840"/>
      </w:tabs>
    </w:pPr>
  </w:style>
  <w:style w:type="paragraph" w:customStyle="1" w:styleId="14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autoRedefine/>
    <w:qFormat/>
    <w:uiPriority w:val="0"/>
    <w:pPr>
      <w:framePr w:wrap="around"/>
      <w:spacing w:line="0" w:lineRule="atLeast"/>
    </w:pPr>
    <w:rPr>
      <w:rFonts w:ascii="黑体" w:eastAsia="黑体"/>
      <w:b w:val="0"/>
    </w:rPr>
  </w:style>
  <w:style w:type="paragraph" w:customStyle="1" w:styleId="155">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7">
    <w:name w:val="实施日期"/>
    <w:basedOn w:val="123"/>
    <w:autoRedefine/>
    <w:qFormat/>
    <w:uiPriority w:val="0"/>
    <w:pPr>
      <w:framePr w:hSpace="0" w:wrap="around" w:xAlign="right"/>
      <w:jc w:val="right"/>
    </w:pPr>
  </w:style>
  <w:style w:type="paragraph" w:customStyle="1" w:styleId="158">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59">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autoRedefine/>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autoRedefine/>
    <w:qFormat/>
    <w:uiPriority w:val="0"/>
    <w:pPr>
      <w:numPr>
        <w:ilvl w:val="6"/>
        <w:numId w:val="20"/>
      </w:numPr>
      <w:adjustRightInd/>
    </w:pPr>
    <w:rPr>
      <w:szCs w:val="24"/>
    </w:rPr>
  </w:style>
  <w:style w:type="paragraph" w:customStyle="1" w:styleId="162">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3">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autoRedefine/>
    <w:qFormat/>
    <w:uiPriority w:val="0"/>
    <w:pPr>
      <w:ind w:left="1406" w:leftChars="0" w:hanging="499" w:firstLineChars="0"/>
    </w:pPr>
  </w:style>
  <w:style w:type="paragraph" w:customStyle="1" w:styleId="165">
    <w:name w:val="标准文件_一级无标题"/>
    <w:basedOn w:val="108"/>
    <w:autoRedefine/>
    <w:qFormat/>
    <w:uiPriority w:val="0"/>
    <w:pPr>
      <w:spacing w:before="0" w:beforeLines="0" w:after="0" w:afterLines="0"/>
      <w:outlineLvl w:val="9"/>
    </w:pPr>
    <w:rPr>
      <w:rFonts w:ascii="宋体" w:eastAsia="宋体"/>
    </w:rPr>
  </w:style>
  <w:style w:type="paragraph" w:customStyle="1" w:styleId="166">
    <w:name w:val="标准文件_五级无标题"/>
    <w:basedOn w:val="106"/>
    <w:autoRedefine/>
    <w:qFormat/>
    <w:uiPriority w:val="0"/>
    <w:pPr>
      <w:spacing w:before="0" w:beforeLines="0" w:after="0" w:afterLines="0"/>
      <w:outlineLvl w:val="9"/>
    </w:pPr>
    <w:rPr>
      <w:rFonts w:ascii="宋体" w:eastAsia="宋体"/>
    </w:rPr>
  </w:style>
  <w:style w:type="paragraph" w:customStyle="1" w:styleId="167">
    <w:name w:val="标准文件_三级无标题"/>
    <w:basedOn w:val="97"/>
    <w:autoRedefine/>
    <w:qFormat/>
    <w:uiPriority w:val="0"/>
    <w:pPr>
      <w:spacing w:before="0" w:beforeLines="0" w:after="0" w:afterLines="0"/>
      <w:outlineLvl w:val="9"/>
    </w:pPr>
    <w:rPr>
      <w:rFonts w:ascii="宋体" w:eastAsia="宋体"/>
    </w:rPr>
  </w:style>
  <w:style w:type="paragraph" w:customStyle="1" w:styleId="168">
    <w:name w:val="标准文件_二级无标题"/>
    <w:basedOn w:val="68"/>
    <w:autoRedefine/>
    <w:qFormat/>
    <w:uiPriority w:val="0"/>
    <w:pPr>
      <w:spacing w:before="0" w:beforeLines="0" w:after="0" w:afterLines="0"/>
      <w:outlineLvl w:val="9"/>
    </w:pPr>
    <w:rPr>
      <w:rFonts w:ascii="宋体" w:eastAsia="宋体"/>
    </w:rPr>
  </w:style>
  <w:style w:type="paragraph" w:customStyle="1" w:styleId="169">
    <w:name w:val="标准_四级无标题"/>
    <w:basedOn w:val="101"/>
    <w:next w:val="59"/>
    <w:autoRedefine/>
    <w:qFormat/>
    <w:uiPriority w:val="0"/>
    <w:rPr>
      <w:rFonts w:eastAsia="宋体"/>
    </w:rPr>
  </w:style>
  <w:style w:type="paragraph" w:customStyle="1" w:styleId="170">
    <w:name w:val="标准文件_四级无标题"/>
    <w:basedOn w:val="101"/>
    <w:autoRedefine/>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autoRedefine/>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autoRedefine/>
    <w:qFormat/>
    <w:uiPriority w:val="0"/>
    <w:pPr>
      <w:numPr>
        <w:ilvl w:val="0"/>
        <w:numId w:val="24"/>
      </w:numPr>
      <w:ind w:firstLine="0" w:firstLineChars="0"/>
    </w:pPr>
    <w:rPr>
      <w:rFonts w:cs="Arial"/>
      <w:szCs w:val="28"/>
    </w:rPr>
  </w:style>
  <w:style w:type="paragraph" w:customStyle="1" w:styleId="173">
    <w:name w:val="标准文件_附录标题"/>
    <w:basedOn w:val="79"/>
    <w:autoRedefine/>
    <w:qFormat/>
    <w:uiPriority w:val="0"/>
    <w:pPr>
      <w:numPr>
        <w:numId w:val="0"/>
      </w:numPr>
      <w:spacing w:after="280"/>
      <w:outlineLvl w:val="9"/>
    </w:pPr>
  </w:style>
  <w:style w:type="paragraph" w:customStyle="1" w:styleId="174">
    <w:name w:val="标准文件_二级项"/>
    <w:autoRedefine/>
    <w:qFormat/>
    <w:uiPriority w:val="0"/>
    <w:rPr>
      <w:rFonts w:ascii="宋体" w:hAnsi="Times New Roman" w:eastAsia="宋体" w:cs="Times New Roman"/>
      <w:sz w:val="21"/>
      <w:lang w:val="en-US" w:eastAsia="zh-CN" w:bidi="ar-SA"/>
    </w:rPr>
  </w:style>
  <w:style w:type="paragraph" w:customStyle="1" w:styleId="175">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autoRedefine/>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autoRedefine/>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autoRedefine/>
    <w:qFormat/>
    <w:uiPriority w:val="0"/>
    <w:pPr>
      <w:ind w:firstLine="0" w:firstLineChars="0"/>
      <w:jc w:val="center"/>
    </w:pPr>
    <w:rPr>
      <w:sz w:val="18"/>
    </w:rPr>
  </w:style>
  <w:style w:type="paragraph" w:customStyle="1" w:styleId="182">
    <w:name w:val="标准文件_注："/>
    <w:next w:val="59"/>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autoRedefine/>
    <w:qFormat/>
    <w:uiPriority w:val="0"/>
    <w:pPr>
      <w:ind w:firstLine="420"/>
    </w:pPr>
    <w:rPr>
      <w:sz w:val="18"/>
    </w:rPr>
  </w:style>
  <w:style w:type="paragraph" w:customStyle="1" w:styleId="186">
    <w:name w:val="标准文件_示例×："/>
    <w:basedOn w:val="1"/>
    <w:next w:val="185"/>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autoRedefine/>
    <w:qFormat/>
    <w:uiPriority w:val="0"/>
    <w:rPr>
      <w:rFonts w:ascii="宋体" w:hAnsi="Times New Roman"/>
      <w:sz w:val="21"/>
    </w:rPr>
  </w:style>
  <w:style w:type="paragraph" w:customStyle="1" w:styleId="188">
    <w:name w:val="标准文件_表格续"/>
    <w:basedOn w:val="59"/>
    <w:next w:val="59"/>
    <w:autoRedefine/>
    <w:qFormat/>
    <w:uiPriority w:val="0"/>
    <w:pPr>
      <w:jc w:val="center"/>
    </w:pPr>
    <w:rPr>
      <w:rFonts w:ascii="黑体" w:hAnsi="黑体" w:eastAsia="黑体"/>
    </w:rPr>
  </w:style>
  <w:style w:type="character" w:styleId="189">
    <w:name w:val="Placeholder Text"/>
    <w:basedOn w:val="31"/>
    <w:autoRedefine/>
    <w:semiHidden/>
    <w:qFormat/>
    <w:uiPriority w:val="99"/>
    <w:rPr>
      <w:color w:val="808080"/>
    </w:rPr>
  </w:style>
  <w:style w:type="paragraph" w:customStyle="1" w:styleId="190">
    <w:name w:val="标准文件_二级项2"/>
    <w:basedOn w:val="59"/>
    <w:autoRedefine/>
    <w:qFormat/>
    <w:uiPriority w:val="0"/>
    <w:pPr>
      <w:numPr>
        <w:ilvl w:val="1"/>
        <w:numId w:val="21"/>
      </w:numPr>
      <w:ind w:firstLine="0" w:firstLineChars="0"/>
    </w:pPr>
  </w:style>
  <w:style w:type="paragraph" w:customStyle="1" w:styleId="191">
    <w:name w:val="标准文件_三级项2"/>
    <w:basedOn w:val="59"/>
    <w:autoRedefine/>
    <w:qFormat/>
    <w:uiPriority w:val="0"/>
    <w:pPr>
      <w:numPr>
        <w:ilvl w:val="0"/>
        <w:numId w:val="30"/>
      </w:numPr>
      <w:spacing w:line="300" w:lineRule="exact"/>
      <w:ind w:firstLineChars="0"/>
    </w:pPr>
    <w:rPr>
      <w:rFonts w:ascii="Times New Roman"/>
    </w:rPr>
  </w:style>
  <w:style w:type="paragraph" w:customStyle="1" w:styleId="192">
    <w:name w:val="标准文件_一级项2"/>
    <w:basedOn w:val="59"/>
    <w:autoRedefine/>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autoRedefine/>
    <w:qFormat/>
    <w:uiPriority w:val="0"/>
    <w:pPr>
      <w:ind w:firstLine="420"/>
    </w:pPr>
    <w:rPr>
      <w:rFonts w:ascii="黑体" w:eastAsia="黑体"/>
    </w:rPr>
  </w:style>
  <w:style w:type="character" w:customStyle="1" w:styleId="194">
    <w:name w:val="标准文件_来源"/>
    <w:basedOn w:val="31"/>
    <w:autoRedefine/>
    <w:qFormat/>
    <w:uiPriority w:val="1"/>
    <w:rPr>
      <w:rFonts w:eastAsia="宋体"/>
      <w:sz w:val="21"/>
    </w:rPr>
  </w:style>
  <w:style w:type="paragraph" w:customStyle="1" w:styleId="195">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autoRedefine/>
    <w:qFormat/>
    <w:uiPriority w:val="0"/>
    <w:pPr>
      <w:framePr w:w="3997" w:h="471" w:hRule="exact" w:hSpace="0" w:vSpace="181" w:wrap="around" w:vAnchor="page" w:hAnchor="page" w:x="1419" w:y="14097"/>
    </w:pPr>
  </w:style>
  <w:style w:type="paragraph" w:customStyle="1" w:styleId="197">
    <w:name w:val="其他实施日期"/>
    <w:basedOn w:val="157"/>
    <w:autoRedefine/>
    <w:qFormat/>
    <w:uiPriority w:val="0"/>
    <w:pPr>
      <w:framePr w:w="3997" w:h="471" w:hRule="exact" w:vSpace="181" w:wrap="around" w:vAnchor="page" w:hAnchor="page" w:x="7089" w:y="14097"/>
    </w:pPr>
  </w:style>
  <w:style w:type="paragraph" w:customStyle="1" w:styleId="198">
    <w:name w:val="标准文件_文件编号"/>
    <w:basedOn w:val="59"/>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autoRedefine/>
    <w:qFormat/>
    <w:uiPriority w:val="0"/>
    <w:pPr>
      <w:spacing w:before="57"/>
    </w:pPr>
    <w:rPr>
      <w:sz w:val="21"/>
    </w:rPr>
  </w:style>
  <w:style w:type="paragraph" w:customStyle="1" w:styleId="200">
    <w:name w:val="标准文件_文件名称"/>
    <w:basedOn w:val="59"/>
    <w:next w:val="59"/>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autoRedefine/>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autoRedefine/>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autoRedefine/>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autoRedefine/>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autoRedefine/>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autoRedefine/>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autoRedefine/>
    <w:qFormat/>
    <w:uiPriority w:val="0"/>
    <w:pPr>
      <w:ind w:left="811" w:firstLine="0" w:firstLineChars="0"/>
    </w:pPr>
    <w:rPr>
      <w:sz w:val="18"/>
    </w:rPr>
  </w:style>
  <w:style w:type="paragraph" w:customStyle="1" w:styleId="209">
    <w:name w:val="标准文件_注X后"/>
    <w:basedOn w:val="59"/>
    <w:autoRedefine/>
    <w:qFormat/>
    <w:uiPriority w:val="0"/>
    <w:pPr>
      <w:ind w:left="811" w:firstLine="0" w:firstLineChars="0"/>
    </w:pPr>
    <w:rPr>
      <w:sz w:val="18"/>
    </w:rPr>
  </w:style>
  <w:style w:type="paragraph" w:customStyle="1" w:styleId="210">
    <w:name w:val="标准文件_示例后"/>
    <w:basedOn w:val="59"/>
    <w:autoRedefine/>
    <w:qFormat/>
    <w:uiPriority w:val="0"/>
    <w:pPr>
      <w:ind w:left="964" w:firstLine="0" w:firstLineChars="0"/>
    </w:pPr>
    <w:rPr>
      <w:sz w:val="18"/>
    </w:rPr>
  </w:style>
  <w:style w:type="paragraph" w:customStyle="1" w:styleId="211">
    <w:name w:val="标准文件_示例X后"/>
    <w:basedOn w:val="59"/>
    <w:link w:val="212"/>
    <w:autoRedefine/>
    <w:qFormat/>
    <w:uiPriority w:val="0"/>
    <w:pPr>
      <w:ind w:left="1049" w:firstLine="0" w:firstLineChars="0"/>
    </w:pPr>
    <w:rPr>
      <w:sz w:val="18"/>
    </w:rPr>
  </w:style>
  <w:style w:type="character" w:customStyle="1" w:styleId="212">
    <w:name w:val="标准文件_示例X后 字符"/>
    <w:basedOn w:val="187"/>
    <w:link w:val="211"/>
    <w:autoRedefine/>
    <w:qFormat/>
    <w:uiPriority w:val="0"/>
    <w:rPr>
      <w:rFonts w:ascii="宋体" w:hAnsi="Times New Roman"/>
      <w:sz w:val="18"/>
    </w:rPr>
  </w:style>
  <w:style w:type="paragraph" w:customStyle="1" w:styleId="213">
    <w:name w:val="标准文件_索引项"/>
    <w:basedOn w:val="59"/>
    <w:next w:val="59"/>
    <w:autoRedefine/>
    <w:qFormat/>
    <w:uiPriority w:val="0"/>
    <w:pPr>
      <w:tabs>
        <w:tab w:val="right" w:leader="dot" w:pos="9356"/>
      </w:tabs>
      <w:ind w:left="210" w:hanging="210" w:firstLineChars="0"/>
      <w:jc w:val="left"/>
    </w:pPr>
  </w:style>
  <w:style w:type="paragraph" w:customStyle="1" w:styleId="214">
    <w:name w:val="标准文件_附录一级无标题"/>
    <w:basedOn w:val="81"/>
    <w:autoRedefine/>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autoRedefine/>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autoRedefine/>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autoRedefine/>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autoRedefine/>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autoRedefine/>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autoRedefine/>
    <w:qFormat/>
    <w:uiPriority w:val="0"/>
    <w:pPr>
      <w:spacing w:before="0" w:beforeLines="0" w:after="0" w:afterLines="0" w:line="276" w:lineRule="auto"/>
    </w:pPr>
    <w:rPr>
      <w:rFonts w:ascii="宋体" w:eastAsia="宋体"/>
    </w:rPr>
  </w:style>
  <w:style w:type="paragraph" w:customStyle="1" w:styleId="221">
    <w:name w:val="标准文件_引言三级无标题"/>
    <w:basedOn w:val="205"/>
    <w:autoRedefine/>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autoRedefine/>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autoRedefine/>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autoRedefine/>
    <w:qFormat/>
    <w:uiPriority w:val="0"/>
    <w:rPr>
      <w:rFonts w:hAnsi="黑体"/>
    </w:rPr>
  </w:style>
  <w:style w:type="paragraph" w:customStyle="1" w:styleId="225">
    <w:name w:val="标准文件_脚注内容"/>
    <w:basedOn w:val="59"/>
    <w:autoRedefine/>
    <w:qFormat/>
    <w:uiPriority w:val="0"/>
    <w:pPr>
      <w:ind w:left="400" w:leftChars="200" w:hanging="200" w:hangingChars="200"/>
    </w:pPr>
    <w:rPr>
      <w:sz w:val="15"/>
    </w:rPr>
  </w:style>
  <w:style w:type="paragraph" w:customStyle="1" w:styleId="226">
    <w:name w:val="标准文件_术语条一"/>
    <w:basedOn w:val="165"/>
    <w:next w:val="59"/>
    <w:autoRedefine/>
    <w:qFormat/>
    <w:uiPriority w:val="0"/>
  </w:style>
  <w:style w:type="paragraph" w:customStyle="1" w:styleId="227">
    <w:name w:val="标准文件_术语条二"/>
    <w:basedOn w:val="168"/>
    <w:next w:val="59"/>
    <w:autoRedefine/>
    <w:qFormat/>
    <w:uiPriority w:val="0"/>
  </w:style>
  <w:style w:type="paragraph" w:customStyle="1" w:styleId="228">
    <w:name w:val="标准文件_术语条三"/>
    <w:basedOn w:val="167"/>
    <w:next w:val="59"/>
    <w:autoRedefine/>
    <w:qFormat/>
    <w:uiPriority w:val="0"/>
  </w:style>
  <w:style w:type="paragraph" w:customStyle="1" w:styleId="229">
    <w:name w:val="标准文件_术语条四"/>
    <w:basedOn w:val="170"/>
    <w:next w:val="59"/>
    <w:autoRedefine/>
    <w:qFormat/>
    <w:uiPriority w:val="0"/>
  </w:style>
  <w:style w:type="paragraph" w:customStyle="1" w:styleId="230">
    <w:name w:val="标准文件_术语条五"/>
    <w:basedOn w:val="166"/>
    <w:next w:val="59"/>
    <w:autoRedefine/>
    <w:qFormat/>
    <w:uiPriority w:val="0"/>
  </w:style>
  <w:style w:type="paragraph" w:customStyle="1" w:styleId="2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autoRedefine/>
    <w:qFormat/>
    <w:uiPriority w:val="0"/>
    <w:rPr>
      <w:rFonts w:ascii="黑体" w:eastAsia="黑体"/>
      <w:spacing w:val="85"/>
      <w:w w:val="100"/>
      <w:position w:val="3"/>
      <w:sz w:val="28"/>
      <w:szCs w:val="28"/>
    </w:rPr>
  </w:style>
  <w:style w:type="paragraph" w:customStyle="1" w:styleId="233">
    <w:name w:val="Table Text"/>
    <w:basedOn w:val="1"/>
    <w:autoRedefine/>
    <w:semiHidden/>
    <w:qFormat/>
    <w:uiPriority w:val="0"/>
    <w:rPr>
      <w:rFonts w:ascii="宋体" w:hAnsi="宋体" w:eastAsia="宋体" w:cs="宋体"/>
      <w:sz w:val="21"/>
      <w:szCs w:val="21"/>
      <w:lang w:val="en-US" w:eastAsia="en-US" w:bidi="ar-SA"/>
    </w:rPr>
  </w:style>
  <w:style w:type="table" w:customStyle="1" w:styleId="234">
    <w:name w:val="Table Normal"/>
    <w:autoRedefine/>
    <w:semiHidden/>
    <w:unhideWhenUsed/>
    <w:qFormat/>
    <w:uiPriority w:val="0"/>
    <w:tblPr>
      <w:tblCellMar>
        <w:top w:w="0" w:type="dxa"/>
        <w:left w:w="0" w:type="dxa"/>
        <w:bottom w:w="0" w:type="dxa"/>
        <w:right w:w="0" w:type="dxa"/>
      </w:tblCellMar>
    </w:tblPr>
  </w:style>
  <w:style w:type="paragraph" w:customStyle="1" w:styleId="235">
    <w:name w:val="终结线"/>
    <w:basedOn w:val="1"/>
    <w:autoRedefine/>
    <w:qFormat/>
    <w:uiPriority w:val="0"/>
    <w:pPr>
      <w:framePr w:hSpace="181" w:vSpace="181" w:wrap="around" w:vAnchor="text" w:hAnchor="margin" w:xAlign="center" w:y="285"/>
    </w:pPr>
  </w:style>
  <w:style w:type="paragraph" w:customStyle="1" w:styleId="236">
    <w:name w:val="附录标识"/>
    <w:basedOn w:val="1"/>
    <w:next w:val="237"/>
    <w:qFormat/>
    <w:uiPriority w:val="0"/>
    <w:pPr>
      <w:keepNext/>
      <w:widowControl/>
      <w:numPr>
        <w:ilvl w:val="0"/>
        <w:numId w:val="4"/>
      </w:numPr>
      <w:shd w:val="clear" w:color="FFFFFF" w:fill="FFFFFF"/>
      <w:spacing w:before="640" w:after="280"/>
      <w:ind w:left="3969"/>
      <w:jc w:val="center"/>
      <w:outlineLvl w:val="0"/>
    </w:pPr>
    <w:rPr>
      <w:rFonts w:ascii="黑体" w:eastAsia="黑体"/>
      <w:kern w:val="0"/>
      <w:szCs w:val="20"/>
    </w:rPr>
  </w:style>
  <w:style w:type="paragraph" w:customStyle="1" w:styleId="237">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38">
    <w:name w:val="附录章标题"/>
    <w:next w:val="237"/>
    <w:qFormat/>
    <w:uiPriority w:val="0"/>
    <w:pPr>
      <w:numPr>
        <w:ilvl w:val="1"/>
        <w:numId w:val="4"/>
      </w:numPr>
      <w:wordWrap w:val="0"/>
      <w:overflowPunct w:val="0"/>
      <w:autoSpaceDE w:val="0"/>
      <w:spacing w:beforeLines="100" w:afterLines="100"/>
      <w:ind w:left="1134"/>
      <w:jc w:val="both"/>
      <w:textAlignment w:val="baseline"/>
      <w:outlineLvl w:val="1"/>
    </w:pPr>
    <w:rPr>
      <w:rFonts w:ascii="黑体" w:hAnsi="Times New Roman" w:eastAsia="黑体" w:cs="Times New Roman"/>
      <w:kern w:val="21"/>
      <w:sz w:val="21"/>
      <w:lang w:val="en-US" w:eastAsia="zh-CN" w:bidi="ar-SA"/>
    </w:rPr>
  </w:style>
  <w:style w:type="paragraph" w:customStyle="1" w:styleId="239">
    <w:name w:val="参考文献"/>
    <w:basedOn w:val="1"/>
    <w:next w:val="23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240">
    <w:name w:val="二级无"/>
    <w:basedOn w:val="241"/>
    <w:autoRedefine/>
    <w:qFormat/>
    <w:uiPriority w:val="0"/>
    <w:pPr>
      <w:ind w:left="1843"/>
    </w:pPr>
    <w:rPr>
      <w:rFonts w:ascii="宋体"/>
    </w:rPr>
  </w:style>
  <w:style w:type="paragraph" w:customStyle="1" w:styleId="241">
    <w:name w:val="二级条标题"/>
    <w:basedOn w:val="242"/>
    <w:next w:val="237"/>
    <w:autoRedefine/>
    <w:qFormat/>
    <w:uiPriority w:val="0"/>
    <w:pPr>
      <w:spacing w:before="50" w:after="50"/>
      <w:outlineLvl w:val="3"/>
    </w:pPr>
  </w:style>
  <w:style w:type="paragraph" w:customStyle="1" w:styleId="242">
    <w:name w:val="一级条标题"/>
    <w:basedOn w:val="1"/>
    <w:next w:val="237"/>
    <w:autoRedefine/>
    <w:qFormat/>
    <w:uiPriority w:val="0"/>
    <w:pPr>
      <w:widowControl/>
      <w:adjustRightInd/>
      <w:spacing w:beforeLines="50" w:afterLines="50" w:line="240" w:lineRule="auto"/>
      <w:ind w:left="1701"/>
      <w:jc w:val="left"/>
      <w:outlineLvl w:val="2"/>
    </w:pPr>
    <w:rPr>
      <w:rFonts w:ascii="黑体" w:hAnsi="Times New Roman" w:eastAsia="黑体"/>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13</Pages>
  <Words>329</Words>
  <Characters>495</Characters>
  <Lines>45</Lines>
  <Paragraphs>12</Paragraphs>
  <TotalTime>113</TotalTime>
  <ScaleCrop>false</ScaleCrop>
  <LinksUpToDate>false</LinksUpToDate>
  <CharactersWithSpaces>637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2023-08-16T03:16:00Z</dcterms:created>
  <dc:creator>ZHH</dc:creator>
  <cp:lastModifiedBy>Administrator</cp:lastModifiedBy>
  <cp:lastPrinted>2025-01-06T08:01:00Z</cp:lastPrinted>
  <dcterms:modified xsi:type="dcterms:W3CDTF">2026-07-21T09:45:06Z</dcterms:modified>
  <dc:title>团体标准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2052-12.1.0.26884</vt:lpwstr>
  </property>
  <property fmtid="{D5CDD505-2E9C-101B-9397-08002B2CF9AE}" pid="15" name="ICV">
    <vt:lpwstr>D733C787006446A5809BC61CAEF5DF6C_13</vt:lpwstr>
  </property>
  <property fmtid="{D5CDD505-2E9C-101B-9397-08002B2CF9AE}" pid="16" name="KSOTemplateDocerSaveRecord">
    <vt:lpwstr>eyJoZGlkIjoiOWQ4ZGY3ZTZlYTg3MDY1ZDA4ZTQ3Y2RhYWYyZThkZDUiLCJ1c2VySWQiOiIzMjQ1OTgwNzkifQ==</vt:lpwstr>
  </property>
</Properties>
</file>