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2D054B">
      <w:pPr>
        <w:pStyle w:val="143"/>
        <w:numPr>
          <w:ilvl w:val="0"/>
          <w:numId w:val="0"/>
        </w:numPr>
        <w:spacing w:before="312" w:after="312"/>
        <w:jc w:val="both"/>
        <w:rPr>
          <w:rFonts w:hint="eastAsia" w:ascii="仿宋" w:hAnsi="仿宋" w:eastAsia="仿宋" w:cs="仿宋"/>
          <w:b/>
          <w:bCs/>
          <w:sz w:val="32"/>
          <w:szCs w:val="32"/>
        </w:rPr>
      </w:pPr>
      <w:bookmarkStart w:id="0" w:name="_Toc304825081"/>
      <w:bookmarkStart w:id="1" w:name="_Toc309995472"/>
      <w:bookmarkStart w:id="2" w:name="_Toc298937419"/>
      <w:bookmarkStart w:id="3" w:name="_Toc309995999"/>
      <w:bookmarkStart w:id="4" w:name="_Toc304402664"/>
      <w:bookmarkStart w:id="5" w:name="_Toc298937188"/>
      <w:bookmarkStart w:id="6" w:name="_Toc298937167"/>
      <w:bookmarkStart w:id="7" w:name="_Toc298938635"/>
      <w:bookmarkStart w:id="8" w:name="_Toc309995578"/>
      <w:bookmarkStart w:id="9" w:name="_Toc298937322"/>
      <w:bookmarkStart w:id="10" w:name="_Toc298936924"/>
      <w:bookmarkStart w:id="11" w:name="_Toc6138"/>
      <w:bookmarkStart w:id="12" w:name="_Toc298923383"/>
      <w:bookmarkStart w:id="13" w:name="_Toc309997040"/>
      <w:bookmarkStart w:id="14" w:name="_Toc298936801"/>
      <w:bookmarkStart w:id="15" w:name="_Toc304825008"/>
      <w:bookmarkStart w:id="16" w:name="_Toc309993180"/>
      <w:bookmarkStart w:id="17" w:name="_Toc309994551"/>
      <w:bookmarkStart w:id="18" w:name="_Toc298937462"/>
      <w:bookmarkStart w:id="19" w:name="_Toc309995390"/>
      <w:bookmarkStart w:id="20" w:name="_Toc298937100"/>
      <w:bookmarkStart w:id="21" w:name="_Toc298937609"/>
      <w:bookmarkStart w:id="22" w:name="_Toc298937276"/>
      <w:bookmarkStart w:id="23" w:name="_Toc304828066"/>
      <w:bookmarkStart w:id="24" w:name="_Toc37234703"/>
      <w:bookmarkStart w:id="25" w:name="_Toc310002637"/>
      <w:bookmarkStart w:id="26" w:name="_Toc304824969"/>
      <w:bookmarkStart w:id="27" w:name="_Toc298937152"/>
      <w:bookmarkStart w:id="28" w:name="_Toc298938783"/>
      <w:bookmarkStart w:id="29" w:name="_Toc298937357"/>
      <w:bookmarkStart w:id="30" w:name="_Toc298937201"/>
      <w:bookmarkStart w:id="31" w:name="_Toc499110426"/>
    </w:p>
    <w:p w14:paraId="705BFDC1">
      <w:pPr>
        <w:pStyle w:val="143"/>
        <w:numPr>
          <w:ilvl w:val="0"/>
          <w:numId w:val="0"/>
        </w:numPr>
        <w:spacing w:before="312" w:after="312" w:line="240" w:lineRule="auto"/>
        <w:jc w:val="center"/>
        <w:rPr>
          <w:rFonts w:hint="eastAsia" w:ascii="仿宋" w:hAnsi="仿宋" w:eastAsia="仿宋" w:cs="仿宋"/>
          <w:b/>
          <w:bCs/>
          <w:sz w:val="32"/>
          <w:szCs w:val="32"/>
        </w:rPr>
      </w:pPr>
      <w:r>
        <w:rPr>
          <w:rFonts w:hint="eastAsia" w:ascii="仿宋" w:hAnsi="仿宋" w:eastAsia="仿宋" w:cs="仿宋"/>
          <w:b/>
          <w:bCs/>
          <w:sz w:val="32"/>
          <w:szCs w:val="32"/>
          <w:lang w:eastAsia="zh-CN"/>
        </w:rPr>
        <w:t>《集成式微型液态金属电磁泵技术规范》</w:t>
      </w:r>
      <w:r>
        <w:rPr>
          <w:rFonts w:hint="eastAsia" w:ascii="仿宋" w:hAnsi="仿宋" w:eastAsia="仿宋" w:cs="仿宋"/>
          <w:b/>
          <w:bCs/>
          <w:sz w:val="32"/>
          <w:szCs w:val="32"/>
        </w:rPr>
        <w:t>团体标准编制说明</w:t>
      </w:r>
    </w:p>
    <w:p w14:paraId="2A8AD7D5">
      <w:pPr>
        <w:pStyle w:val="143"/>
        <w:numPr>
          <w:ilvl w:val="0"/>
          <w:numId w:val="0"/>
        </w:numPr>
        <w:spacing w:before="312" w:after="312"/>
        <w:rPr>
          <w:rFonts w:hint="eastAsia" w:ascii="仿宋" w:hAnsi="仿宋" w:eastAsia="仿宋" w:cs="仿宋"/>
          <w:b/>
          <w:bCs/>
          <w:sz w:val="21"/>
          <w:szCs w:val="21"/>
          <w:lang w:val="en-US" w:eastAsia="zh-CN" w:bidi="ar-SA"/>
        </w:rPr>
      </w:pPr>
      <w:r>
        <w:rPr>
          <w:rFonts w:hint="eastAsia" w:ascii="仿宋" w:hAnsi="仿宋" w:eastAsia="仿宋" w:cs="仿宋"/>
          <w:b/>
          <w:bCs/>
          <w:color w:val="000000"/>
          <w:sz w:val="21"/>
          <w:szCs w:val="21"/>
        </w:rPr>
        <w:t>一</w:t>
      </w:r>
      <w:r>
        <w:rPr>
          <w:rFonts w:hint="eastAsia" w:ascii="仿宋" w:hAnsi="仿宋" w:eastAsia="仿宋" w:cs="仿宋"/>
          <w:b/>
          <w:bCs/>
          <w:sz w:val="21"/>
          <w:szCs w:val="21"/>
          <w:lang w:val="en-US" w:eastAsia="zh-CN" w:bidi="ar-SA"/>
        </w:rPr>
        <w:t>、任务来源</w:t>
      </w:r>
    </w:p>
    <w:p w14:paraId="2BD45F79">
      <w:pPr>
        <w:keepNext w:val="0"/>
        <w:keepLines w:val="0"/>
        <w:widowControl/>
        <w:suppressLineNumbers w:val="0"/>
        <w:ind w:firstLine="420" w:firstLineChars="200"/>
        <w:jc w:val="left"/>
        <w:rPr>
          <w:rFonts w:hint="eastAsia" w:ascii="仿宋" w:hAnsi="仿宋" w:eastAsia="仿宋" w:cs="仿宋"/>
          <w:b/>
          <w:bCs/>
          <w:color w:val="000000"/>
          <w:sz w:val="21"/>
          <w:szCs w:val="21"/>
        </w:rPr>
      </w:pPr>
      <w:r>
        <w:rPr>
          <w:rFonts w:hint="eastAsia" w:ascii="仿宋" w:hAnsi="仿宋" w:eastAsia="仿宋" w:cs="仿宋"/>
          <w:sz w:val="21"/>
          <w:szCs w:val="21"/>
          <w:lang w:val="en-US" w:eastAsia="zh-CN"/>
        </w:rPr>
        <w:t>2026年6月24日，中国西部开发促进会发布《集成式微型液态金属电磁泵技术规范》团体标准立项通知,开展团体标准的编制工作。</w:t>
      </w:r>
    </w:p>
    <w:p w14:paraId="489FDD61">
      <w:pPr>
        <w:pStyle w:val="143"/>
        <w:numPr>
          <w:ilvl w:val="0"/>
          <w:numId w:val="0"/>
        </w:numPr>
        <w:spacing w:before="312" w:after="312"/>
      </w:pPr>
      <w:r>
        <w:rPr>
          <w:rFonts w:hint="eastAsia" w:ascii="仿宋" w:hAnsi="仿宋" w:eastAsia="仿宋" w:cs="仿宋"/>
          <w:b/>
          <w:bCs/>
          <w:color w:val="000000"/>
          <w:sz w:val="21"/>
          <w:szCs w:val="21"/>
          <w:lang w:eastAsia="zh-CN"/>
        </w:rPr>
        <w:t>二</w:t>
      </w:r>
      <w:r>
        <w:rPr>
          <w:rFonts w:hint="eastAsia" w:ascii="仿宋" w:hAnsi="仿宋" w:eastAsia="仿宋" w:cs="仿宋"/>
          <w:b/>
          <w:bCs/>
          <w:sz w:val="21"/>
          <w:szCs w:val="21"/>
          <w:lang w:val="en-US" w:eastAsia="zh-CN" w:bidi="ar-SA"/>
        </w:rPr>
        <w:t>、项目背景</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14:paraId="3AFA7EDD">
      <w:pPr>
        <w:pStyle w:val="30"/>
        <w:ind w:left="0" w:leftChars="0" w:firstLine="0" w:firstLineChars="0"/>
        <w:rPr>
          <w:rFonts w:hint="eastAsia" w:ascii="仿宋" w:hAnsi="仿宋" w:eastAsia="仿宋" w:cs="仿宋"/>
          <w:b/>
          <w:bCs/>
          <w:color w:val="000000"/>
          <w:sz w:val="21"/>
          <w:szCs w:val="21"/>
          <w:lang w:val="en-US" w:eastAsia="zh-CN"/>
        </w:rPr>
      </w:pPr>
      <w:bookmarkStart w:id="32" w:name="_Toc298937549"/>
      <w:bookmarkEnd w:id="32"/>
      <w:bookmarkStart w:id="33" w:name="BT1"/>
      <w:bookmarkEnd w:id="33"/>
      <w:r>
        <w:rPr>
          <w:rFonts w:hint="eastAsia" w:ascii="仿宋" w:hAnsi="仿宋" w:eastAsia="仿宋" w:cs="仿宋"/>
          <w:b/>
          <w:bCs/>
          <w:color w:val="000000"/>
          <w:sz w:val="21"/>
          <w:szCs w:val="21"/>
          <w:lang w:val="en-US" w:eastAsia="zh-CN"/>
        </w:rPr>
        <w:t>1.目的</w:t>
      </w:r>
    </w:p>
    <w:p w14:paraId="0E58F26E">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制定本团体标准，旨在顺应芯片热控、精密流体输送、先进能源装备快速发展需求，推动集成式微型液态金属电磁泵技术向标准化、规范化、精密化方向升级。集成式微型液态金属电磁泵作为微小空间高效散热、微量流体精准输送的核心器件，在电子芯片热管理、新能源精密温控、微型化工流控系统中发挥着基础性作用。然而，当前行业在腔体结构设计、电磁驱动参数、密封防护方案、性能检测方法等方面缺乏统一规范，导致产品性能可比性差、装备应用隐患高、技术产业化转化效率低等问题。制定本团体标准，有助于统一技术要求与性能指标，推动设计生产流程与性能评价标准化，为器件研发、批量制造、装备配套等各环节提供明确技术依据，促进集成式微型液态金属电磁泵产业健康有序发展。</w:t>
      </w:r>
    </w:p>
    <w:p w14:paraId="38381B68">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2.意义</w:t>
      </w:r>
    </w:p>
    <w:p w14:paraId="1C3D9695">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该团体标准的制定，有助于填补集成式微型液态金属电磁泵专项技术领域的标准空白，提升我国在微流控热控装备自主标准化体系中的话语权。通过明确装配流程、质控指标、流体输送性能评价方法等核心内容，能规范行业技术研发与应用流程，提升不同厂商产品性能的一致性与可靠性，降低精密装备温控失效风险，促进液态金属流控技术成果快速转化。同时，标准将建立统一的技术评价体系，提高装备厂商对国产微型电磁泵的信任度；此外，作为产业升级抓手，将引导企业聚焦电磁驱动优化、微型集成封装、防渗漏长效防护等关键技术突破，加快从 “定制化试制” 向 “标准引领” 转变，助力高端精密热控产业高质量发展。</w:t>
      </w:r>
    </w:p>
    <w:p w14:paraId="1A6555C0">
      <w:pPr>
        <w:pStyle w:val="30"/>
        <w:ind w:left="0" w:leftChars="0" w:firstLine="0" w:firstLineChars="0"/>
        <w:rPr>
          <w:rFonts w:hint="eastAsia" w:ascii="仿宋" w:hAnsi="仿宋" w:eastAsia="仿宋" w:cs="仿宋"/>
          <w:b/>
          <w:bCs/>
          <w:color w:val="000000"/>
          <w:sz w:val="21"/>
          <w:szCs w:val="21"/>
          <w:lang w:val="en-US" w:eastAsia="zh-CN"/>
        </w:rPr>
      </w:pPr>
      <w:r>
        <w:rPr>
          <w:rFonts w:hint="eastAsia" w:ascii="仿宋" w:hAnsi="仿宋" w:eastAsia="仿宋" w:cs="仿宋"/>
          <w:b/>
          <w:bCs/>
          <w:color w:val="000000"/>
          <w:sz w:val="21"/>
          <w:szCs w:val="21"/>
          <w:lang w:val="en-US" w:eastAsia="zh-CN"/>
        </w:rPr>
        <w:t>3.必要性</w:t>
      </w:r>
    </w:p>
    <w:p w14:paraId="02877DB1">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集成式微型液态金属电磁泵已成为高功率芯片散热、微型能源设备温控、精密实验室流控系统的核心部件，但缺乏统一规范导致行业应用乱象频发。不同企业的腔体结构、励磁参数、密封工艺差异造成产品性能不可比对，直接影响精密装备散热稳定性与运行可靠性；无统一质控标准增加渗漏、流量衰减、电磁干扰超标等故障风险，阻碍产品规模化配套推广。制定本标准是解决行业应用痛点、保障高端精密装备运行安全的迫切需求，也是推动我国微型液态金属泵技术自主创新、提升行业国际竞争力的关键支撑。</w:t>
      </w:r>
    </w:p>
    <w:p w14:paraId="1448D036">
      <w:pPr>
        <w:pStyle w:val="37"/>
        <w:widowControl/>
        <w:spacing w:beforeAutospacing="0" w:afterAutospacing="0" w:line="240" w:lineRule="auto"/>
        <w:ind w:firstLine="420" w:firstLineChars="200"/>
        <w:jc w:val="both"/>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综上所述，制定《集成式微型液态金属电磁泵技术规范》团体标准对于促进精密热控装备产业健康发展、推动微型液态金属流体输送技术创新、保障高端电子与能源装备稳定运行及增强行业竞争力均具有重要意义。这将有助于提升企业在微型泵研发制造与精密温控配套领域的科技创新能力和市场竞争力，推动整个行业向更加规范化、精密化的方向发展。</w:t>
      </w:r>
    </w:p>
    <w:p w14:paraId="62348F23">
      <w:pPr>
        <w:pStyle w:val="143"/>
        <w:numPr>
          <w:ilvl w:val="0"/>
          <w:numId w:val="0"/>
        </w:numPr>
        <w:spacing w:before="312" w:after="312"/>
        <w:ind w:left="0" w:leftChars="0" w:firstLine="0" w:firstLineChars="0"/>
        <w:rPr>
          <w:rFonts w:ascii="仿宋" w:hAnsi="仿宋" w:eastAsia="仿宋" w:cs="仿宋"/>
          <w:b/>
          <w:bCs/>
          <w:color w:val="000000"/>
          <w:sz w:val="21"/>
          <w:szCs w:val="21"/>
        </w:rPr>
      </w:pPr>
      <w:bookmarkStart w:id="34" w:name="BT3"/>
      <w:bookmarkEnd w:id="34"/>
      <w:r>
        <w:rPr>
          <w:rFonts w:hint="eastAsia" w:ascii="仿宋" w:hAnsi="仿宋" w:eastAsia="仿宋" w:cs="仿宋"/>
          <w:b/>
          <w:bCs/>
          <w:color w:val="000000"/>
          <w:sz w:val="21"/>
          <w:szCs w:val="21"/>
          <w:lang w:val="en-US" w:eastAsia="zh-CN" w:bidi="ar-SA"/>
        </w:rPr>
        <w:t>三、</w:t>
      </w:r>
      <w:r>
        <w:rPr>
          <w:rFonts w:hint="eastAsia" w:ascii="仿宋" w:hAnsi="仿宋" w:eastAsia="仿宋" w:cs="仿宋"/>
          <w:b/>
          <w:bCs/>
          <w:color w:val="000000"/>
          <w:sz w:val="21"/>
          <w:szCs w:val="21"/>
        </w:rPr>
        <w:t>起草单位</w:t>
      </w:r>
      <w:r>
        <w:rPr>
          <w:rFonts w:hint="eastAsia" w:ascii="仿宋" w:hAnsi="仿宋" w:eastAsia="仿宋" w:cs="仿宋"/>
          <w:b/>
          <w:bCs/>
          <w:color w:val="000000"/>
          <w:sz w:val="21"/>
          <w:szCs w:val="21"/>
          <w:lang w:val="en-US" w:eastAsia="zh-CN"/>
        </w:rPr>
        <w:t>和主要工作成员及其所作工作</w:t>
      </w:r>
    </w:p>
    <w:p w14:paraId="12D61796">
      <w:pPr>
        <w:pStyle w:val="30"/>
        <w:ind w:left="0" w:leftChars="0" w:firstLine="0" w:firstLineChars="0"/>
        <w:rPr>
          <w:rFonts w:hint="default" w:eastAsia="仿宋"/>
          <w:sz w:val="21"/>
          <w:szCs w:val="21"/>
          <w:lang w:val="en-US" w:eastAsia="zh-CN"/>
        </w:rPr>
      </w:pPr>
      <w:r>
        <w:rPr>
          <w:rFonts w:hint="eastAsia" w:ascii="仿宋" w:hAnsi="仿宋" w:eastAsia="仿宋" w:cs="仿宋"/>
          <w:b/>
          <w:bCs/>
          <w:color w:val="000000"/>
          <w:sz w:val="21"/>
          <w:szCs w:val="21"/>
          <w:lang w:val="en-US" w:eastAsia="zh-CN"/>
        </w:rPr>
        <w:t>1.起草单位</w:t>
      </w:r>
    </w:p>
    <w:p w14:paraId="33722D0E">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中国西部开发促进会</w:t>
      </w:r>
      <w:r>
        <w:rPr>
          <w:rFonts w:hint="eastAsia" w:ascii="仿宋" w:hAnsi="仿宋" w:eastAsia="仿宋" w:cs="仿宋"/>
          <w:sz w:val="21"/>
          <w:szCs w:val="21"/>
        </w:rPr>
        <w:t>提出</w:t>
      </w:r>
      <w:r>
        <w:rPr>
          <w:rFonts w:hint="eastAsia" w:ascii="仿宋" w:hAnsi="仿宋" w:eastAsia="仿宋" w:cs="仿宋"/>
          <w:sz w:val="21"/>
          <w:szCs w:val="21"/>
          <w:lang w:val="en-US" w:eastAsia="zh-CN"/>
        </w:rPr>
        <w:t>并</w:t>
      </w:r>
      <w:r>
        <w:rPr>
          <w:rFonts w:hint="eastAsia" w:ascii="仿宋" w:hAnsi="仿宋" w:eastAsia="仿宋" w:cs="仿宋"/>
          <w:sz w:val="21"/>
          <w:szCs w:val="21"/>
        </w:rPr>
        <w:t>归口。</w:t>
      </w:r>
    </w:p>
    <w:p w14:paraId="3F8B68C3">
      <w:pPr>
        <w:pStyle w:val="30"/>
        <w:ind w:firstLine="640"/>
        <w:rPr>
          <w:rFonts w:hint="eastAsia" w:ascii="仿宋" w:hAnsi="仿宋" w:eastAsia="仿宋" w:cs="仿宋"/>
          <w:sz w:val="21"/>
          <w:szCs w:val="21"/>
        </w:rPr>
      </w:pPr>
      <w:r>
        <w:rPr>
          <w:rFonts w:hint="eastAsia" w:ascii="仿宋" w:hAnsi="仿宋" w:eastAsia="仿宋" w:cs="仿宋"/>
          <w:sz w:val="21"/>
          <w:szCs w:val="21"/>
          <w:lang w:eastAsia="zh-CN"/>
        </w:rPr>
        <w:t>本文件</w:t>
      </w:r>
      <w:r>
        <w:rPr>
          <w:rFonts w:hint="eastAsia" w:ascii="仿宋" w:hAnsi="仿宋" w:eastAsia="仿宋" w:cs="仿宋"/>
          <w:sz w:val="21"/>
          <w:szCs w:val="21"/>
        </w:rPr>
        <w:t>由</w:t>
      </w:r>
      <w:r>
        <w:rPr>
          <w:rFonts w:hint="eastAsia" w:ascii="仿宋" w:hAnsi="仿宋" w:eastAsia="仿宋" w:cs="仿宋"/>
          <w:sz w:val="21"/>
          <w:szCs w:val="21"/>
          <w:lang w:val="en-US" w:eastAsia="zh-CN"/>
        </w:rPr>
        <w:t>XXXXXXXX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r>
        <w:rPr>
          <w:rFonts w:hint="eastAsia" w:ascii="仿宋" w:hAnsi="仿宋" w:eastAsia="仿宋" w:cs="仿宋"/>
          <w:sz w:val="21"/>
          <w:szCs w:val="21"/>
          <w:lang w:val="en-US" w:eastAsia="zh-CN" w:bidi="zh-CN"/>
        </w:rPr>
        <w:t>共同</w:t>
      </w:r>
      <w:r>
        <w:rPr>
          <w:rFonts w:hint="eastAsia" w:ascii="仿宋" w:hAnsi="仿宋" w:eastAsia="仿宋" w:cs="仿宋"/>
          <w:sz w:val="21"/>
          <w:szCs w:val="21"/>
        </w:rPr>
        <w:t>起草。</w:t>
      </w:r>
    </w:p>
    <w:p w14:paraId="6C2D1883">
      <w:pPr>
        <w:pStyle w:val="30"/>
        <w:numPr>
          <w:ilvl w:val="0"/>
          <w:numId w:val="0"/>
        </w:numPr>
        <w:ind w:left="0" w:leftChars="0" w:firstLine="0" w:firstLineChars="0"/>
        <w:rPr>
          <w:rFonts w:hint="eastAsia" w:ascii="仿宋" w:hAnsi="仿宋" w:eastAsia="仿宋" w:cs="仿宋"/>
          <w:b/>
          <w:bCs/>
          <w:sz w:val="21"/>
          <w:szCs w:val="21"/>
          <w:lang w:val="en-US" w:eastAsia="zh-CN"/>
        </w:rPr>
      </w:pPr>
      <w:r>
        <w:rPr>
          <w:rFonts w:hint="eastAsia" w:ascii="仿宋" w:hAnsi="仿宋" w:eastAsia="仿宋" w:cs="仿宋"/>
          <w:b/>
          <w:bCs/>
          <w:sz w:val="21"/>
          <w:szCs w:val="21"/>
          <w:lang w:val="en-US" w:eastAsia="zh-CN" w:bidi="ar-SA"/>
        </w:rPr>
        <w:t>2.</w:t>
      </w:r>
      <w:r>
        <w:rPr>
          <w:rFonts w:hint="eastAsia" w:ascii="仿宋" w:hAnsi="仿宋" w:eastAsia="仿宋" w:cs="仿宋"/>
          <w:b/>
          <w:bCs/>
          <w:sz w:val="21"/>
          <w:szCs w:val="21"/>
          <w:lang w:val="en-US" w:eastAsia="zh-CN"/>
        </w:rPr>
        <w:t>主要工作成员及其所做工作</w:t>
      </w:r>
    </w:p>
    <w:p w14:paraId="4F06396F">
      <w:pPr>
        <w:pStyle w:val="30"/>
        <w:numPr>
          <w:ilvl w:val="0"/>
          <w:numId w:val="0"/>
        </w:numPr>
        <w:ind w:leftChars="0" w:firstLine="420" w:firstLineChars="20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本文件主要主要工作及工作职责见表1。</w:t>
      </w:r>
    </w:p>
    <w:p w14:paraId="0BB1C4A3">
      <w:pPr>
        <w:pStyle w:val="30"/>
        <w:numPr>
          <w:ilvl w:val="0"/>
          <w:numId w:val="0"/>
        </w:numPr>
        <w:ind w:leftChars="0"/>
        <w:jc w:val="center"/>
        <w:rPr>
          <w:rFonts w:hint="eastAsia" w:ascii="仿宋" w:hAnsi="仿宋" w:eastAsia="仿宋" w:cs="仿宋"/>
          <w:sz w:val="21"/>
          <w:szCs w:val="21"/>
          <w:lang w:val="en-US" w:eastAsia="zh-CN"/>
        </w:rPr>
      </w:pPr>
    </w:p>
    <w:p w14:paraId="6CA2A8E8">
      <w:pPr>
        <w:pStyle w:val="30"/>
        <w:numPr>
          <w:ilvl w:val="0"/>
          <w:numId w:val="0"/>
        </w:numPr>
        <w:ind w:leftChars="0"/>
        <w:jc w:val="center"/>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表1 主要起草人及工作职责</w:t>
      </w:r>
    </w:p>
    <w:tbl>
      <w:tblPr>
        <w:tblStyle w:val="4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12"/>
        <w:gridCol w:w="5342"/>
      </w:tblGrid>
      <w:tr w14:paraId="662D2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12" w:type="dxa"/>
          </w:tcPr>
          <w:p w14:paraId="440D9251">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起草单位</w:t>
            </w:r>
          </w:p>
        </w:tc>
        <w:tc>
          <w:tcPr>
            <w:tcW w:w="5342" w:type="dxa"/>
          </w:tcPr>
          <w:p w14:paraId="65A92ED6">
            <w:pPr>
              <w:pStyle w:val="30"/>
              <w:numPr>
                <w:ilvl w:val="0"/>
                <w:numId w:val="0"/>
              </w:numPr>
              <w:jc w:val="center"/>
              <w:rPr>
                <w:rFonts w:hint="default" w:ascii="仿宋" w:hAnsi="仿宋" w:eastAsia="仿宋" w:cs="仿宋"/>
                <w:sz w:val="21"/>
                <w:szCs w:val="21"/>
                <w:vertAlign w:val="baseline"/>
                <w:lang w:val="en-US" w:eastAsia="zh-CN"/>
              </w:rPr>
            </w:pPr>
            <w:r>
              <w:rPr>
                <w:rFonts w:hint="eastAsia" w:ascii="仿宋" w:hAnsi="仿宋" w:eastAsia="仿宋" w:cs="仿宋"/>
                <w:sz w:val="21"/>
                <w:szCs w:val="21"/>
                <w:vertAlign w:val="baseline"/>
                <w:lang w:val="en-US" w:eastAsia="zh-CN"/>
              </w:rPr>
              <w:t>工作职责</w:t>
            </w:r>
          </w:p>
        </w:tc>
      </w:tr>
      <w:tr w14:paraId="61429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4512" w:type="dxa"/>
          </w:tcPr>
          <w:p w14:paraId="355EAAFE">
            <w:pPr>
              <w:pStyle w:val="30"/>
              <w:numPr>
                <w:ilvl w:val="0"/>
                <w:numId w:val="0"/>
              </w:numPr>
              <w:rPr>
                <w:rFonts w:hint="eastAsia" w:ascii="仿宋" w:hAnsi="仿宋" w:eastAsia="仿宋" w:cs="仿宋"/>
                <w:sz w:val="21"/>
                <w:szCs w:val="21"/>
                <w:highlight w:val="yellow"/>
                <w:vertAlign w:val="baseline"/>
                <w:lang w:val="en-US" w:eastAsia="zh-CN"/>
              </w:rPr>
            </w:pPr>
            <w:r>
              <w:rPr>
                <w:rFonts w:hint="eastAsia" w:ascii="仿宋" w:hAnsi="仿宋" w:eastAsia="仿宋" w:cs="仿宋"/>
                <w:sz w:val="21"/>
                <w:szCs w:val="21"/>
                <w:lang w:val="en-US" w:eastAsia="zh-CN"/>
              </w:rPr>
              <w:t>XXXXXXX</w:t>
            </w:r>
            <w:r>
              <w:rPr>
                <w:rFonts w:hint="eastAsia" w:ascii="仿宋" w:hAnsi="仿宋" w:eastAsia="仿宋" w:cs="仿宋"/>
                <w:sz w:val="21"/>
                <w:szCs w:val="21"/>
              </w:rPr>
              <w:t>有限公司</w:t>
            </w:r>
            <w:r>
              <w:rPr>
                <w:rFonts w:hint="eastAsia" w:ascii="仿宋" w:hAnsi="仿宋" w:eastAsia="仿宋" w:cs="仿宋"/>
                <w:sz w:val="21"/>
                <w:szCs w:val="21"/>
                <w:lang w:val="en-US" w:eastAsia="zh-CN"/>
              </w:rPr>
              <w:t>等</w:t>
            </w:r>
          </w:p>
        </w:tc>
        <w:tc>
          <w:tcPr>
            <w:tcW w:w="5342" w:type="dxa"/>
          </w:tcPr>
          <w:p w14:paraId="50D897F4">
            <w:pPr>
              <w:pStyle w:val="30"/>
              <w:numPr>
                <w:ilvl w:val="0"/>
                <w:numId w:val="0"/>
              </w:numPr>
              <w:rPr>
                <w:rFonts w:hint="default" w:ascii="仿宋" w:hAnsi="仿宋" w:eastAsia="仿宋" w:cs="仿宋"/>
                <w:sz w:val="21"/>
                <w:szCs w:val="21"/>
                <w:vertAlign w:val="baseline"/>
                <w:lang w:val="en-US" w:eastAsia="zh-CN"/>
              </w:rPr>
            </w:pPr>
            <w:r>
              <w:rPr>
                <w:rFonts w:hint="default" w:ascii="仿宋" w:hAnsi="仿宋" w:eastAsia="仿宋" w:cs="仿宋"/>
                <w:sz w:val="21"/>
                <w:szCs w:val="21"/>
                <w:vertAlign w:val="baseline"/>
                <w:lang w:val="en-US" w:eastAsia="zh-CN"/>
              </w:rPr>
              <w:t>项目主编单位主编人员，负责标准制定的统筹规划与安排，标准内容和试验方案编制与确定，标准水平的把握及标准编制运行的组织协调。人员中包括了</w:t>
            </w:r>
            <w:r>
              <w:rPr>
                <w:rFonts w:hint="eastAsia" w:ascii="仿宋" w:hAnsi="仿宋" w:eastAsia="仿宋" w:cs="仿宋"/>
                <w:sz w:val="21"/>
                <w:szCs w:val="21"/>
                <w:lang w:val="en-US" w:eastAsia="zh-CN"/>
              </w:rPr>
              <w:t>本项标准行业的</w:t>
            </w:r>
            <w:r>
              <w:rPr>
                <w:rFonts w:hint="default" w:ascii="仿宋" w:hAnsi="仿宋" w:eastAsia="仿宋" w:cs="仿宋"/>
                <w:sz w:val="21"/>
                <w:szCs w:val="21"/>
                <w:vertAlign w:val="baseline"/>
                <w:lang w:val="en-US" w:eastAsia="zh-CN"/>
              </w:rPr>
              <w:t>专业</w:t>
            </w:r>
            <w:r>
              <w:rPr>
                <w:rFonts w:hint="eastAsia" w:ascii="仿宋" w:hAnsi="仿宋" w:eastAsia="仿宋" w:cs="仿宋"/>
                <w:sz w:val="21"/>
                <w:szCs w:val="21"/>
                <w:vertAlign w:val="baseline"/>
                <w:lang w:val="en-US" w:eastAsia="zh-CN"/>
              </w:rPr>
              <w:t>技术</w:t>
            </w:r>
            <w:r>
              <w:rPr>
                <w:rFonts w:hint="default" w:ascii="仿宋" w:hAnsi="仿宋" w:eastAsia="仿宋" w:cs="仿宋"/>
                <w:sz w:val="21"/>
                <w:szCs w:val="21"/>
                <w:vertAlign w:val="baseline"/>
                <w:lang w:val="en-US" w:eastAsia="zh-CN"/>
              </w:rPr>
              <w:t>人员</w:t>
            </w:r>
            <w:r>
              <w:rPr>
                <w:rFonts w:hint="eastAsia" w:ascii="仿宋" w:hAnsi="仿宋" w:eastAsia="仿宋" w:cs="仿宋"/>
                <w:sz w:val="21"/>
                <w:szCs w:val="21"/>
                <w:vertAlign w:val="baseline"/>
                <w:lang w:val="en-US" w:eastAsia="zh-CN"/>
              </w:rPr>
              <w:t>、</w:t>
            </w:r>
            <w:r>
              <w:rPr>
                <w:rFonts w:hint="default" w:ascii="仿宋" w:hAnsi="仿宋" w:eastAsia="仿宋" w:cs="仿宋"/>
                <w:sz w:val="21"/>
                <w:szCs w:val="21"/>
                <w:vertAlign w:val="baseline"/>
                <w:lang w:val="en-US" w:eastAsia="zh-CN"/>
              </w:rPr>
              <w:t>管理人员</w:t>
            </w:r>
            <w:r>
              <w:rPr>
                <w:rFonts w:hint="eastAsia" w:ascii="仿宋" w:hAnsi="仿宋" w:eastAsia="仿宋" w:cs="仿宋"/>
                <w:sz w:val="21"/>
                <w:szCs w:val="21"/>
                <w:vertAlign w:val="baseline"/>
                <w:lang w:val="en-US" w:eastAsia="zh-CN"/>
              </w:rPr>
              <w:t>。</w:t>
            </w:r>
          </w:p>
        </w:tc>
      </w:tr>
    </w:tbl>
    <w:p w14:paraId="1AC4246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、标准的编制原则</w:t>
      </w:r>
    </w:p>
    <w:p w14:paraId="05199C8B">
      <w:pPr>
        <w:pStyle w:val="30"/>
        <w:ind w:firstLine="640"/>
        <w:rPr>
          <w:rFonts w:hint="eastAsia" w:ascii="仿宋" w:hAnsi="仿宋" w:eastAsia="仿宋" w:cs="仿宋"/>
          <w:sz w:val="21"/>
          <w:szCs w:val="21"/>
        </w:rPr>
      </w:pPr>
      <w:r>
        <w:rPr>
          <w:rFonts w:hint="eastAsia" w:ascii="仿宋" w:hAnsi="仿宋" w:eastAsia="仿宋" w:cs="仿宋"/>
          <w:sz w:val="21"/>
          <w:szCs w:val="21"/>
        </w:rPr>
        <w:t>标准</w:t>
      </w:r>
      <w:r>
        <w:rPr>
          <w:rFonts w:hint="eastAsia" w:ascii="仿宋" w:hAnsi="仿宋" w:eastAsia="仿宋" w:cs="仿宋"/>
          <w:sz w:val="21"/>
          <w:szCs w:val="21"/>
          <w:lang w:val="en-US" w:eastAsia="zh-CN"/>
        </w:rPr>
        <w:t>编制</w:t>
      </w:r>
      <w:r>
        <w:rPr>
          <w:rFonts w:hint="eastAsia" w:ascii="仿宋" w:hAnsi="仿宋" w:eastAsia="仿宋" w:cs="仿宋"/>
          <w:sz w:val="21"/>
          <w:szCs w:val="21"/>
        </w:rPr>
        <w:t>小组在编制标准过程中，以国家、行业现有的标准为制订基础，结合我国目前的行业现状，按照GB/T 1.1—2020《标准化工作导则 第1部分：标准化文件的结构和起草规则》的规定及相关要求编制。</w:t>
      </w:r>
    </w:p>
    <w:p w14:paraId="1C9A70ED">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五</w:t>
      </w:r>
      <w:r>
        <w:rPr>
          <w:rFonts w:hint="eastAsia" w:ascii="仿宋" w:hAnsi="仿宋" w:eastAsia="仿宋" w:cs="仿宋"/>
          <w:b/>
          <w:bCs/>
          <w:color w:val="000000"/>
          <w:sz w:val="21"/>
          <w:szCs w:val="21"/>
        </w:rPr>
        <w:t>、标准编制过程</w:t>
      </w:r>
    </w:p>
    <w:p w14:paraId="6D1CE6A6">
      <w:pPr>
        <w:pStyle w:val="30"/>
        <w:keepNext w:val="0"/>
        <w:keepLines w:val="0"/>
        <w:pageBreakBefore w:val="0"/>
        <w:widowControl/>
        <w:kinsoku/>
        <w:wordWrap/>
        <w:overflowPunct/>
        <w:topLinePunct w:val="0"/>
        <w:bidi w:val="0"/>
        <w:adjustRightInd/>
        <w:snapToGrid/>
        <w:spacing w:line="240" w:lineRule="auto"/>
        <w:ind w:firstLine="640"/>
        <w:textAlignment w:val="auto"/>
        <w:rPr>
          <w:rFonts w:hint="default" w:ascii="仿宋" w:hAnsi="仿宋" w:eastAsia="仿宋" w:cs="仿宋"/>
          <w:sz w:val="21"/>
          <w:szCs w:val="21"/>
          <w:lang w:val="en-US" w:eastAsia="zh-CN"/>
        </w:rPr>
      </w:pPr>
      <w:r>
        <w:rPr>
          <w:rFonts w:hint="eastAsia" w:ascii="仿宋" w:hAnsi="仿宋" w:eastAsia="仿宋" w:cs="仿宋"/>
          <w:sz w:val="21"/>
          <w:szCs w:val="21"/>
          <w:lang w:val="en-US" w:eastAsia="zh-CN"/>
        </w:rPr>
        <w:t>5.1 标准调研</w:t>
      </w:r>
    </w:p>
    <w:p w14:paraId="7B7E8339">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根据项目要求，于2026年6月组织开展起草工作，成立《集成式微型液态金属电磁泵技术规范》团体标准起草小组。</w:t>
      </w:r>
    </w:p>
    <w:p w14:paraId="1BA94DCC">
      <w:pPr>
        <w:pStyle w:val="30"/>
        <w:keepNext w:val="0"/>
        <w:keepLines w:val="0"/>
        <w:pageBreakBefore w:val="0"/>
        <w:widowControl/>
        <w:kinsoku/>
        <w:wordWrap/>
        <w:overflowPunct/>
        <w:topLinePunct w:val="0"/>
        <w:bidi w:val="0"/>
        <w:adjustRightInd/>
        <w:snapToGrid/>
        <w:spacing w:line="240" w:lineRule="auto"/>
        <w:textAlignment w:val="auto"/>
        <w:rPr>
          <w:rFonts w:hint="default" w:ascii="仿宋" w:hAnsi="仿宋" w:eastAsia="仿宋" w:cs="仿宋"/>
          <w:sz w:val="21"/>
          <w:szCs w:val="21"/>
          <w:highlight w:val="none"/>
          <w:lang w:val="en-US" w:eastAsia="zh-CN"/>
        </w:rPr>
      </w:pPr>
      <w:r>
        <w:rPr>
          <w:rFonts w:hint="eastAsia" w:ascii="仿宋" w:hAnsi="仿宋" w:eastAsia="仿宋" w:cs="仿宋"/>
          <w:sz w:val="21"/>
          <w:szCs w:val="21"/>
          <w:highlight w:val="none"/>
          <w:lang w:val="en-US" w:eastAsia="zh-CN"/>
        </w:rPr>
        <w:t>5.2. 标准立项</w:t>
      </w:r>
    </w:p>
    <w:p w14:paraId="0FCC36CE">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highlight w:val="none"/>
        </w:rPr>
      </w:pPr>
      <w:r>
        <w:rPr>
          <w:rFonts w:hint="eastAsia" w:ascii="仿宋" w:hAnsi="仿宋" w:eastAsia="仿宋" w:cs="仿宋"/>
          <w:sz w:val="21"/>
          <w:szCs w:val="21"/>
          <w:highlight w:val="none"/>
          <w:lang w:val="en-US" w:eastAsia="zh-CN"/>
        </w:rPr>
        <w:t>2026年6月24日团体标准正式立项</w:t>
      </w:r>
      <w:r>
        <w:rPr>
          <w:rFonts w:hint="eastAsia" w:ascii="仿宋" w:hAnsi="仿宋" w:eastAsia="仿宋" w:cs="仿宋"/>
          <w:sz w:val="21"/>
          <w:szCs w:val="21"/>
          <w:highlight w:val="none"/>
        </w:rPr>
        <w:t>。</w:t>
      </w:r>
    </w:p>
    <w:p w14:paraId="245DF18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 xml:space="preserve">5.3 </w:t>
      </w:r>
      <w:r>
        <w:rPr>
          <w:rFonts w:hint="eastAsia" w:ascii="仿宋" w:hAnsi="仿宋" w:eastAsia="仿宋" w:cs="仿宋"/>
          <w:sz w:val="21"/>
          <w:szCs w:val="21"/>
        </w:rPr>
        <w:t>形成标准草案</w:t>
      </w:r>
    </w:p>
    <w:p w14:paraId="0205E1E5">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起草小组在资料分析和企业调研的基础上，确定《集成式微型液态金属电磁泵技术规范》的技术规范框架，并参考现有微型流体泵通用技术、不同封装结构下的测试方法及多工况配套中的技术要点，明确标准的主要技术内容，于2026年</w:t>
      </w:r>
      <w:r>
        <w:rPr>
          <w:rFonts w:hint="eastAsia" w:ascii="仿宋" w:hAnsi="仿宋" w:eastAsia="仿宋" w:cs="仿宋"/>
          <w:sz w:val="21"/>
          <w:szCs w:val="21"/>
          <w:lang w:val="en-US" w:eastAsia="zh-CN"/>
        </w:rPr>
        <w:t>7</w:t>
      </w:r>
      <w:r>
        <w:rPr>
          <w:rFonts w:hint="eastAsia" w:ascii="仿宋" w:hAnsi="仿宋" w:eastAsia="仿宋" w:cs="仿宋"/>
          <w:sz w:val="21"/>
          <w:szCs w:val="21"/>
        </w:rPr>
        <w:t>月完成标准草案的编写</w:t>
      </w:r>
      <w:r>
        <w:rPr>
          <w:rFonts w:hint="eastAsia" w:ascii="仿宋" w:hAnsi="仿宋" w:eastAsia="仿宋" w:cs="仿宋"/>
          <w:sz w:val="21"/>
          <w:szCs w:val="21"/>
          <w:lang w:val="en-US" w:eastAsia="zh-CN"/>
        </w:rPr>
        <w:t>。</w:t>
      </w:r>
    </w:p>
    <w:p w14:paraId="0431BCCE">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sz w:val="21"/>
          <w:szCs w:val="21"/>
        </w:rPr>
      </w:pPr>
      <w:r>
        <w:rPr>
          <w:rFonts w:hint="eastAsia" w:ascii="仿宋" w:hAnsi="仿宋" w:eastAsia="仿宋" w:cs="仿宋"/>
          <w:b/>
          <w:bCs/>
          <w:color w:val="000000"/>
          <w:sz w:val="21"/>
          <w:szCs w:val="21"/>
          <w:lang w:val="en-US" w:eastAsia="zh-CN" w:bidi="ar-SA"/>
        </w:rPr>
        <w:t>六、试验验证的分析、综述报告，技术经济论证，预期的经济效益、社会效益和生态效益</w:t>
      </w:r>
    </w:p>
    <w:p w14:paraId="5D374B4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1. 试验验证分析</w:t>
      </w:r>
    </w:p>
    <w:p w14:paraId="55BED8E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本标准试验验证遵循 “覆盖核心场景、兼顾技术差异” 原则，组织精密装备科研院所、第三方检测机构及电磁泵生产企业开展联合验证。验证对象涵盖芯片散热、微型流体控制系统、精密能源装备等场景配套的集成式微型液态金属电磁泵，聚焦流量稳定性、电磁驱动效率、密封可靠性、工况适配性及长期运行耐久性关键指标。重点考察标准在不同工况环境、设备参数、生产工艺下的适配性，通过多轮验证有效规避传统产品测试中流量波动、渗漏隐患、性能衰减、检测结果偏差等问题。各参与单位均能通过规范操作获得稳定可靠结果，充分证明标准条款的科学性、可操作性及普适性，为行业内广泛落地提供坚实技术支撑。</w:t>
      </w:r>
    </w:p>
    <w:p w14:paraId="728D5E22">
      <w:pPr>
        <w:pStyle w:val="30"/>
        <w:keepNext w:val="0"/>
        <w:keepLines w:val="0"/>
        <w:pageBreakBefore w:val="0"/>
        <w:widowControl/>
        <w:numPr>
          <w:ilvl w:val="0"/>
          <w:numId w:val="0"/>
        </w:numPr>
        <w:kinsoku/>
        <w:wordWrap/>
        <w:overflowPunct/>
        <w:topLinePunct w:val="0"/>
        <w:bidi w:val="0"/>
        <w:adjustRightInd/>
        <w:snapToGrid/>
        <w:spacing w:line="240" w:lineRule="auto"/>
        <w:ind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bidi="ar-SA"/>
        </w:rPr>
        <w:t xml:space="preserve">2. </w:t>
      </w:r>
      <w:r>
        <w:rPr>
          <w:rFonts w:hint="eastAsia" w:ascii="仿宋" w:hAnsi="仿宋" w:eastAsia="仿宋" w:cs="仿宋"/>
          <w:sz w:val="21"/>
          <w:szCs w:val="21"/>
        </w:rPr>
        <w:t>综述报告</w:t>
      </w:r>
    </w:p>
    <w:p w14:paraId="2ECEC7E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内集成式微型液态金属电磁泵技术已进入科研成果产业化、精密装备规模化配套关键阶段，获国家高端装备、电子热控产业政策支持，多家企业推出成套产品解决方案，相关器件广泛应用于高功率芯片散热、精密仪器温控、微型流体输送等领域。但行业存在突出痛点：产品设计与制造技术路线不统一，器件与终端装备适配无规范，性能评价缺乏统一标准，质量控制体系不完善，导致产品性能数据可比性不足。结合国内行业调研，产业对全流程标准化技术文件需求迫切。本标准立足国内实践，参考相关国标框架，针对性解决核心痛点，填补国内集成式微型液态金属电磁泵技术统一规范空白。</w:t>
      </w:r>
    </w:p>
    <w:p w14:paraId="0364C389">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3. 技术经济论证</w:t>
      </w:r>
    </w:p>
    <w:p w14:paraId="28068198">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技术层面，标准统一核心结构参数、驱动适配要求及质控标准，降低研发生产技术门槛，缩短企业产线调试与人员培训周期，减少产品试制失败与资源浪费。经济层面，标准化生产优化加工装配流程，降低人力、物料及检测时间成本，实现行业综合成本节约。同时，标准为国内企业提供研发生产导向，推动液态金属电磁泵技术迭代与产业化升级，提升国产器件核心竞争力，降低高端微型流体泵进口依赖度，形成 “技术规范 - 产业升级 - 效益提升” 良性循环，技术可行性与经济合理性均经充分论证。</w:t>
      </w:r>
    </w:p>
    <w:p w14:paraId="375976D2">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4. 预期的经济效益</w:t>
      </w:r>
    </w:p>
    <w:p w14:paraId="17616A1D">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标准实施将推动集成式微型液态金属电磁泵在电子信息、精密装备、新能源温控等领域规模化应用，带动上下游产业稳步增长。对生产企业而言，可减少不合格产品产出，提升产品合格率，降低生产与售后运维成本，增强市场核心竞争力。对产业端，明确标准将引导企业优化产品结构，加速国产器件市场认可，提升国产化替代率，降低高端产品进口依赖成本。同时，标准化体系将促进产业链协同，催生性能检测、方案适配、技术维保等衍生业态，拓展行业经济发展空间。</w:t>
      </w:r>
    </w:p>
    <w:p w14:paraId="7583FD09">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5. 社会效益和生态效益</w:t>
      </w:r>
    </w:p>
    <w:p w14:paraId="601424B3">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lang w:val="en-US" w:eastAsia="zh-CN"/>
        </w:rPr>
      </w:pPr>
      <w:r>
        <w:rPr>
          <w:rFonts w:hint="eastAsia" w:ascii="仿宋" w:hAnsi="仿宋" w:eastAsia="仿宋" w:cs="仿宋"/>
          <w:sz w:val="21"/>
          <w:szCs w:val="21"/>
        </w:rPr>
        <w:t>社会效益方面，标准统一生产检测规范与性能评价标准，实现不同企业产品数据互认，缩小行业技术差距，保障高端精密装备运行稳定性。提升微型电磁泵产品质量与适配性能，为我国高端电子装备、精密温控产业发展提供可靠支撑，同时为行业技术人才培养提供统一指导，推动行业可持续发展。生态效益方面，标准明确绿色生产与检测要求，优化生产流程减少物料损耗与能耗，规范液态金属材料使用与回收流程，降低材料浪费与环境风险，助力精密制造产业绿色低碳转型，推动生态友好型高端装备配套产业体系建设</w:t>
      </w:r>
      <w:r>
        <w:rPr>
          <w:rFonts w:hint="eastAsia" w:ascii="仿宋" w:hAnsi="仿宋" w:eastAsia="仿宋" w:cs="仿宋"/>
          <w:sz w:val="21"/>
          <w:szCs w:val="21"/>
          <w:lang w:eastAsia="zh-CN"/>
        </w:rPr>
        <w:t>。</w:t>
      </w:r>
    </w:p>
    <w:p w14:paraId="10A20A3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七、与国际、国外同类标准技术内容的对比情况。</w:t>
      </w:r>
    </w:p>
    <w:p w14:paraId="7A4EF88F">
      <w:pPr>
        <w:pStyle w:val="30"/>
        <w:keepNext w:val="0"/>
        <w:keepLines w:val="0"/>
        <w:pageBreakBefore w:val="0"/>
        <w:widowControl/>
        <w:kinsoku/>
        <w:wordWrap/>
        <w:overflowPunct/>
        <w:topLinePunct w:val="0"/>
        <w:bidi w:val="0"/>
        <w:adjustRightInd/>
        <w:snapToGrid/>
        <w:spacing w:line="240" w:lineRule="auto"/>
        <w:ind w:firstLine="640"/>
        <w:textAlignment w:val="auto"/>
        <w:rPr>
          <w:rFonts w:hint="eastAsia" w:ascii="仿宋" w:hAnsi="仿宋" w:eastAsia="仿宋" w:cs="仿宋"/>
          <w:sz w:val="21"/>
          <w:szCs w:val="21"/>
        </w:rPr>
      </w:pPr>
      <w:r>
        <w:rPr>
          <w:rFonts w:hint="eastAsia" w:ascii="仿宋" w:hAnsi="仿宋" w:eastAsia="仿宋" w:cs="仿宋"/>
          <w:sz w:val="21"/>
          <w:szCs w:val="21"/>
        </w:rPr>
        <w:t>国际上 ISO、IEC 等组织的微型流体泵相关标准侧重通用结构框架与基础性能原则，对液态金属介质适配、微电磁驱动控制等细节规定较宽泛。本标准在参考其核心设计与质控理念基础上，更贴合国内实践：补充国产主流液态金属介质、微型驱动设备的适配要求，解决进口标准 “水土不服” 问题；针对国内电子散热、精密流控等常见应用场景，细化电磁参数、密封防护、微流量输送等关键技术指标；新增集成式微型结构专项技术规范，填补国际标准在液态金属电磁泵细分领域的空白。同时，核心技术指标与 IEC、ASTM 相关标准保持一致，确保产品性能的国际可比性。</w:t>
      </w:r>
    </w:p>
    <w:p w14:paraId="718EB447">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八、以国际标准为基础的起草情况，以及是否合规引用或者采用国际国外标准，并说明未采用国际标准的原因</w:t>
      </w:r>
    </w:p>
    <w:p w14:paraId="2AE6D9E8">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rPr>
      </w:pPr>
      <w:r>
        <w:rPr>
          <w:rFonts w:hint="eastAsia" w:ascii="仿宋" w:hAnsi="仿宋" w:eastAsia="仿宋" w:cs="仿宋"/>
          <w:sz w:val="21"/>
          <w:szCs w:val="21"/>
          <w:lang w:val="en-US" w:eastAsia="zh-CN"/>
        </w:rPr>
        <w:t>无。本文件自主制定。</w:t>
      </w:r>
    </w:p>
    <w:p w14:paraId="73EEA8A3">
      <w:pPr>
        <w:pStyle w:val="30"/>
        <w:keepNext w:val="0"/>
        <w:keepLines w:val="0"/>
        <w:pageBreakBefore w:val="0"/>
        <w:widowControl/>
        <w:numPr>
          <w:ilvl w:val="0"/>
          <w:numId w:val="0"/>
        </w:numPr>
        <w:kinsoku/>
        <w:wordWrap/>
        <w:overflowPunct/>
        <w:topLinePunct w:val="0"/>
        <w:bidi w:val="0"/>
        <w:adjustRightInd/>
        <w:snapToGrid/>
        <w:spacing w:line="240" w:lineRule="auto"/>
        <w:ind w:leftChars="0"/>
        <w:textAlignment w:val="auto"/>
        <w:rPr>
          <w:rFonts w:hint="eastAsia" w:ascii="仿宋" w:hAnsi="仿宋" w:eastAsia="仿宋" w:cs="仿宋"/>
          <w:b/>
          <w:bCs/>
          <w:color w:val="000000"/>
          <w:sz w:val="21"/>
          <w:szCs w:val="21"/>
          <w:lang w:val="en-US" w:eastAsia="zh-CN" w:bidi="ar-SA"/>
        </w:rPr>
      </w:pPr>
      <w:r>
        <w:rPr>
          <w:rFonts w:hint="eastAsia" w:ascii="仿宋" w:hAnsi="仿宋" w:eastAsia="仿宋" w:cs="仿宋"/>
          <w:b/>
          <w:bCs/>
          <w:color w:val="000000"/>
          <w:sz w:val="21"/>
          <w:szCs w:val="21"/>
          <w:lang w:val="en-US" w:eastAsia="zh-CN" w:bidi="ar-SA"/>
        </w:rPr>
        <w:t>九、标准主要内容</w:t>
      </w:r>
    </w:p>
    <w:p w14:paraId="5DD2CDA5">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default" w:ascii="仿宋" w:hAnsi="仿宋" w:eastAsia="仿宋" w:cs="仿宋"/>
          <w:b/>
          <w:bCs/>
          <w:sz w:val="21"/>
          <w:szCs w:val="21"/>
          <w:lang w:val="en-US" w:eastAsia="zh-CN"/>
        </w:rPr>
      </w:pPr>
      <w:r>
        <w:rPr>
          <w:rFonts w:hint="eastAsia" w:ascii="仿宋" w:hAnsi="仿宋" w:eastAsia="仿宋" w:cs="仿宋"/>
          <w:b/>
          <w:bCs/>
          <w:sz w:val="21"/>
          <w:szCs w:val="21"/>
          <w:lang w:val="en-US" w:eastAsia="zh-CN"/>
        </w:rPr>
        <w:t>1.范围</w:t>
      </w:r>
    </w:p>
    <w:p w14:paraId="1338BFC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bookmarkStart w:id="35" w:name="_Toc24884212"/>
      <w:bookmarkStart w:id="36" w:name="_Toc17233334"/>
      <w:bookmarkStart w:id="37" w:name="_Toc26648466"/>
      <w:bookmarkStart w:id="38" w:name="_Toc17233326"/>
      <w:bookmarkStart w:id="39" w:name="_Toc24884219"/>
      <w:r>
        <w:rPr>
          <w:rFonts w:hint="eastAsia" w:ascii="仿宋" w:hAnsi="仿宋" w:eastAsia="仿宋" w:cs="仿宋"/>
          <w:sz w:val="21"/>
          <w:szCs w:val="21"/>
          <w:lang w:val="en-US" w:eastAsia="zh-CN"/>
        </w:rPr>
        <w:t>本文件规定了集成式微型液态金属电磁泵的技术要求、试验方法、检验规则、标志、包装、运输和贮存。</w:t>
      </w:r>
    </w:p>
    <w:p w14:paraId="55B1F24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本文件适用于以镓基、铋锡基等低熔点导电液态金属为工作介质的集成式微型液态金属电磁泵（以下简称“电磁泵”）的设计、制造与检验。</w:t>
      </w:r>
    </w:p>
    <w:p w14:paraId="6220ABE0">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0" w:name="_Toc97192965"/>
      <w:bookmarkStart w:id="41" w:name="_Toc26986531"/>
      <w:bookmarkStart w:id="42" w:name="_Toc26718931"/>
      <w:bookmarkStart w:id="43" w:name="_Toc113282591"/>
      <w:bookmarkStart w:id="44" w:name="_Toc11915"/>
      <w:bookmarkStart w:id="45" w:name="_Toc26986772"/>
      <w:r>
        <w:rPr>
          <w:rFonts w:hint="eastAsia" w:ascii="仿宋" w:hAnsi="仿宋" w:eastAsia="仿宋" w:cs="仿宋"/>
          <w:b/>
          <w:bCs/>
          <w:sz w:val="21"/>
          <w:szCs w:val="21"/>
          <w:lang w:val="en-US" w:eastAsia="zh-CN"/>
        </w:rPr>
        <w:t>2.规范性引用文件</w:t>
      </w:r>
      <w:bookmarkEnd w:id="35"/>
      <w:bookmarkEnd w:id="36"/>
      <w:bookmarkEnd w:id="37"/>
      <w:bookmarkEnd w:id="38"/>
      <w:bookmarkEnd w:id="39"/>
      <w:bookmarkEnd w:id="40"/>
      <w:bookmarkEnd w:id="41"/>
      <w:bookmarkEnd w:id="42"/>
      <w:bookmarkEnd w:id="43"/>
      <w:bookmarkEnd w:id="44"/>
      <w:bookmarkEnd w:id="45"/>
    </w:p>
    <w:p w14:paraId="0E58B5BD">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191 包装储运图形符号标志</w:t>
      </w:r>
    </w:p>
    <w:p w14:paraId="2425F887">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2828.1 计数抽样检验程序 第1部分：按接收质量限（AQL）检索的逐批检验抽样计划</w:t>
      </w:r>
    </w:p>
    <w:p w14:paraId="013C2B75">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2900.1 电工术语 基本术语</w:t>
      </w:r>
    </w:p>
    <w:p w14:paraId="2DDB23A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2900.50 电工术语 发电、输电及配电 通用术语</w:t>
      </w:r>
    </w:p>
    <w:p w14:paraId="4DAC1F63">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3048.5 电线电缆电性能试验方法　第5部分：绝缘电阻试验</w:t>
      </w:r>
    </w:p>
    <w:p w14:paraId="5A4BA242">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4208 外壳防护等级(IP代码)</w:t>
      </w:r>
    </w:p>
    <w:p w14:paraId="7F6A148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5959.1 电热和电磁处理装置的安全 第1部分：通用要求</w:t>
      </w:r>
    </w:p>
    <w:p w14:paraId="3B02881C">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5959.11 电热装置的安全 第11部分：对液态金属电磁力作用装置的特殊要求</w:t>
      </w:r>
    </w:p>
    <w:p w14:paraId="4A4BBE40">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11026.1 电气绝缘材料 耐热性 第1部分：老化程序和试验结果的评定</w:t>
      </w:r>
    </w:p>
    <w:p w14:paraId="4EED69A9">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12350 小功率电动机的安全要求</w:t>
      </w:r>
    </w:p>
    <w:p w14:paraId="34144FFF">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13560 烧结钕铁硼永磁材料</w:t>
      </w:r>
    </w:p>
    <w:p w14:paraId="72C8F975">
      <w:pPr>
        <w:pStyle w:val="30"/>
        <w:keepNext w:val="0"/>
        <w:keepLines w:val="0"/>
        <w:pageBreakBefore w:val="0"/>
        <w:widowControl/>
        <w:kinsoku/>
        <w:wordWrap/>
        <w:overflowPunct/>
        <w:topLinePunct w:val="0"/>
        <w:bidi w:val="0"/>
        <w:adjustRightInd/>
        <w:snapToGrid/>
        <w:spacing w:line="240" w:lineRule="auto"/>
        <w:ind w:left="0" w:leftChars="0" w:firstLine="420" w:firstLineChars="200"/>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GB/T 21067 工业机械电气设备 电磁兼容 通用抗扰度要求</w:t>
      </w:r>
    </w:p>
    <w:p w14:paraId="558A4E8F">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6" w:name="_Toc2484"/>
      <w:bookmarkStart w:id="47" w:name="_Toc113282592"/>
      <w:bookmarkStart w:id="48" w:name="_Toc97192966"/>
      <w:r>
        <w:rPr>
          <w:rFonts w:hint="eastAsia" w:ascii="仿宋" w:hAnsi="仿宋" w:eastAsia="仿宋" w:cs="仿宋"/>
          <w:b/>
          <w:bCs/>
          <w:sz w:val="21"/>
          <w:szCs w:val="21"/>
          <w:lang w:val="en-US" w:eastAsia="zh-CN"/>
        </w:rPr>
        <w:t>3.术语和定义</w:t>
      </w:r>
      <w:bookmarkEnd w:id="46"/>
      <w:bookmarkEnd w:id="47"/>
      <w:bookmarkEnd w:id="48"/>
    </w:p>
    <w:p w14:paraId="24EF2DB7">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明确了</w:t>
      </w:r>
      <w:r>
        <w:rPr>
          <w:rFonts w:hint="eastAsia" w:ascii="仿宋" w:hAnsi="仿宋" w:eastAsia="仿宋" w:cs="仿宋"/>
          <w:sz w:val="21"/>
          <w:szCs w:val="21"/>
          <w:lang w:val="en-US" w:eastAsia="zh-CN"/>
        </w:rPr>
        <w:t>集成式微型液态金属电磁泵</w:t>
      </w:r>
      <w:r>
        <w:rPr>
          <w:rFonts w:hint="eastAsia" w:ascii="仿宋" w:hAnsi="仿宋" w:eastAsia="仿宋" w:cs="仿宋"/>
          <w:sz w:val="21"/>
          <w:szCs w:val="21"/>
          <w:lang w:val="en-US" w:eastAsia="zh-CN" w:bidi="ar-SA"/>
        </w:rPr>
        <w:t>的术语定义。</w:t>
      </w:r>
    </w:p>
    <w:p w14:paraId="0DC87ECC">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49" w:name="_Toc26986532"/>
      <w:bookmarkEnd w:id="49"/>
      <w:bookmarkStart w:id="50" w:name="_Toc7143"/>
      <w:r>
        <w:rPr>
          <w:rFonts w:hint="eastAsia" w:ascii="仿宋" w:hAnsi="仿宋" w:eastAsia="仿宋" w:cs="仿宋"/>
          <w:b/>
          <w:bCs/>
          <w:sz w:val="21"/>
          <w:szCs w:val="21"/>
          <w:lang w:val="en-US" w:eastAsia="zh-CN"/>
        </w:rPr>
        <w:t>4.</w:t>
      </w:r>
      <w:bookmarkEnd w:id="50"/>
      <w:r>
        <w:rPr>
          <w:rFonts w:hint="eastAsia" w:ascii="仿宋" w:hAnsi="仿宋" w:eastAsia="仿宋" w:cs="仿宋"/>
          <w:b/>
          <w:bCs/>
          <w:sz w:val="21"/>
          <w:szCs w:val="21"/>
          <w:lang w:val="en-US" w:eastAsia="zh-CN"/>
        </w:rPr>
        <w:t>技术要求</w:t>
      </w:r>
    </w:p>
    <w:p w14:paraId="26B1A1B2">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包括了集成式微型液态金属电磁泵的各项技术要求。</w:t>
      </w:r>
    </w:p>
    <w:p w14:paraId="3EEAB28A">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1" w:name="_Toc4594"/>
      <w:r>
        <w:rPr>
          <w:rFonts w:hint="eastAsia" w:ascii="仿宋" w:hAnsi="仿宋" w:eastAsia="仿宋" w:cs="仿宋"/>
          <w:b/>
          <w:bCs/>
          <w:sz w:val="21"/>
          <w:szCs w:val="21"/>
          <w:lang w:val="en-US" w:eastAsia="zh-CN"/>
        </w:rPr>
        <w:t>5.</w:t>
      </w:r>
      <w:bookmarkEnd w:id="51"/>
      <w:r>
        <w:rPr>
          <w:rFonts w:hint="eastAsia" w:ascii="仿宋" w:hAnsi="仿宋" w:eastAsia="仿宋" w:cs="仿宋"/>
          <w:b/>
          <w:bCs/>
          <w:sz w:val="21"/>
          <w:szCs w:val="21"/>
          <w:lang w:val="en-US" w:eastAsia="zh-CN"/>
        </w:rPr>
        <w:t>试验方法</w:t>
      </w:r>
    </w:p>
    <w:p w14:paraId="07831374">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sz w:val="21"/>
          <w:szCs w:val="21"/>
          <w:lang w:val="en-US" w:eastAsia="zh-CN" w:bidi="ar-SA"/>
        </w:rPr>
      </w:pPr>
      <w:r>
        <w:rPr>
          <w:rFonts w:hint="eastAsia" w:ascii="仿宋" w:hAnsi="仿宋" w:eastAsia="仿宋" w:cs="仿宋"/>
          <w:sz w:val="21"/>
          <w:szCs w:val="21"/>
          <w:lang w:val="en-US" w:eastAsia="zh-CN" w:bidi="ar-SA"/>
        </w:rPr>
        <w:t>包括了集成式微型液态金属电磁泵的试验方法。</w:t>
      </w:r>
    </w:p>
    <w:p w14:paraId="489A96A6">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2" w:name="_Toc15082"/>
      <w:r>
        <w:rPr>
          <w:rFonts w:hint="eastAsia" w:ascii="仿宋" w:hAnsi="仿宋" w:eastAsia="仿宋" w:cs="仿宋"/>
          <w:b/>
          <w:bCs/>
          <w:sz w:val="21"/>
          <w:szCs w:val="21"/>
          <w:lang w:val="en-US" w:eastAsia="zh-CN"/>
        </w:rPr>
        <w:t>6.</w:t>
      </w:r>
      <w:bookmarkEnd w:id="52"/>
      <w:r>
        <w:rPr>
          <w:rFonts w:hint="eastAsia" w:ascii="仿宋" w:hAnsi="仿宋" w:eastAsia="仿宋" w:cs="仿宋"/>
          <w:b/>
          <w:bCs/>
          <w:sz w:val="21"/>
          <w:szCs w:val="21"/>
          <w:lang w:val="en-US" w:eastAsia="zh-CN"/>
        </w:rPr>
        <w:t>检验规则</w:t>
      </w:r>
    </w:p>
    <w:p w14:paraId="686DBA43">
      <w:pPr>
        <w:pStyle w:val="169"/>
        <w:keepNext w:val="0"/>
        <w:keepLines w:val="0"/>
        <w:pageBreakBefore w:val="0"/>
        <w:widowControl/>
        <w:kinsoku/>
        <w:wordWrap/>
        <w:overflowPunct/>
        <w:topLinePunct w:val="0"/>
        <w:bidi w:val="0"/>
        <w:adjustRightInd w:val="0"/>
        <w:snapToGrid w:val="0"/>
        <w:spacing w:line="240" w:lineRule="auto"/>
        <w:textAlignment w:val="auto"/>
        <w:rPr>
          <w:rFonts w:hint="default"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包括了集成式微型液态金属电磁泵的检验规则。</w:t>
      </w:r>
    </w:p>
    <w:p w14:paraId="7E2E4369">
      <w:pPr>
        <w:pStyle w:val="30"/>
        <w:keepNext w:val="0"/>
        <w:keepLines w:val="0"/>
        <w:pageBreakBefore w:val="0"/>
        <w:widowControl/>
        <w:kinsoku/>
        <w:wordWrap/>
        <w:overflowPunct/>
        <w:topLinePunct w:val="0"/>
        <w:bidi w:val="0"/>
        <w:adjustRightInd/>
        <w:snapToGrid/>
        <w:spacing w:line="240" w:lineRule="auto"/>
        <w:ind w:left="0" w:leftChars="0" w:firstLine="0" w:firstLineChars="0"/>
        <w:textAlignment w:val="auto"/>
        <w:rPr>
          <w:rFonts w:hint="eastAsia" w:ascii="仿宋" w:hAnsi="仿宋" w:eastAsia="仿宋" w:cs="仿宋"/>
          <w:b/>
          <w:bCs/>
          <w:sz w:val="21"/>
          <w:szCs w:val="21"/>
          <w:lang w:val="en-US" w:eastAsia="zh-CN"/>
        </w:rPr>
      </w:pPr>
      <w:bookmarkStart w:id="53" w:name="_Toc32215"/>
      <w:r>
        <w:rPr>
          <w:rFonts w:hint="eastAsia" w:ascii="仿宋" w:hAnsi="仿宋" w:eastAsia="仿宋" w:cs="仿宋"/>
          <w:b/>
          <w:bCs/>
          <w:sz w:val="21"/>
          <w:szCs w:val="21"/>
          <w:lang w:val="en-US" w:eastAsia="zh-CN"/>
        </w:rPr>
        <w:t>7.</w:t>
      </w:r>
      <w:bookmarkEnd w:id="53"/>
      <w:r>
        <w:rPr>
          <w:rFonts w:hint="eastAsia" w:ascii="仿宋" w:hAnsi="仿宋" w:eastAsia="仿宋" w:cs="仿宋"/>
          <w:b/>
          <w:bCs/>
          <w:sz w:val="21"/>
          <w:szCs w:val="21"/>
          <w:lang w:val="en-US" w:eastAsia="zh-CN"/>
        </w:rPr>
        <w:t>标志、包装、运输和贮存</w:t>
      </w:r>
    </w:p>
    <w:p w14:paraId="6935A2F8">
      <w:pPr>
        <w:pStyle w:val="169"/>
        <w:keepNext w:val="0"/>
        <w:keepLines w:val="0"/>
        <w:pageBreakBefore w:val="0"/>
        <w:widowControl/>
        <w:kinsoku/>
        <w:wordWrap/>
        <w:overflowPunct/>
        <w:topLinePunct w:val="0"/>
        <w:bidi w:val="0"/>
        <w:adjustRightInd w:val="0"/>
        <w:snapToGrid w:val="0"/>
        <w:spacing w:line="240" w:lineRule="auto"/>
        <w:textAlignment w:val="auto"/>
        <w:rPr>
          <w:rFonts w:hint="eastAsia" w:ascii="仿宋" w:hAnsi="仿宋" w:eastAsia="仿宋" w:cs="仿宋"/>
          <w:b/>
          <w:bCs/>
          <w:sz w:val="21"/>
          <w:szCs w:val="21"/>
          <w:lang w:val="en-US" w:eastAsia="zh-CN"/>
        </w:rPr>
      </w:pPr>
      <w:r>
        <w:rPr>
          <w:rFonts w:hint="eastAsia" w:ascii="仿宋" w:hAnsi="仿宋" w:eastAsia="仿宋" w:cs="仿宋"/>
          <w:sz w:val="21"/>
          <w:szCs w:val="21"/>
          <w:lang w:val="en-US" w:eastAsia="zh-CN" w:bidi="ar-SA"/>
        </w:rPr>
        <w:t>包括了集成式微型液态金属电磁泵的标志、包装、运输和贮存。</w:t>
      </w:r>
    </w:p>
    <w:p w14:paraId="2545AB1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w:t>
      </w:r>
      <w:r>
        <w:rPr>
          <w:rFonts w:hint="eastAsia" w:ascii="仿宋" w:hAnsi="仿宋" w:eastAsia="仿宋" w:cs="仿宋"/>
          <w:b/>
          <w:bCs/>
          <w:color w:val="000000"/>
          <w:sz w:val="21"/>
          <w:szCs w:val="21"/>
        </w:rPr>
        <w:t>、与有关的现行法律、法规和强制性国</w:t>
      </w:r>
      <w:bookmarkStart w:id="54" w:name="_GoBack"/>
      <w:bookmarkEnd w:id="54"/>
      <w:r>
        <w:rPr>
          <w:rFonts w:hint="eastAsia" w:ascii="仿宋" w:hAnsi="仿宋" w:eastAsia="仿宋" w:cs="仿宋"/>
          <w:b/>
          <w:bCs/>
          <w:color w:val="000000"/>
          <w:sz w:val="21"/>
          <w:szCs w:val="21"/>
        </w:rPr>
        <w:t>家标准及相关标准协调配套情况</w:t>
      </w:r>
    </w:p>
    <w:p w14:paraId="3C228C4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本文件的制定过程等符合现行法律、法规和强制性国家标准的规定。</w:t>
      </w:r>
    </w:p>
    <w:p w14:paraId="433D6DCC">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十一</w:t>
      </w:r>
      <w:r>
        <w:rPr>
          <w:rFonts w:hint="eastAsia" w:ascii="仿宋" w:hAnsi="仿宋" w:eastAsia="仿宋" w:cs="仿宋"/>
          <w:b/>
          <w:bCs/>
          <w:color w:val="000000"/>
          <w:sz w:val="21"/>
          <w:szCs w:val="21"/>
        </w:rPr>
        <w:t>、重大分歧意见的处理经过和依据</w:t>
      </w:r>
    </w:p>
    <w:p w14:paraId="106E5E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0912C1A3">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lang w:val="en-US" w:eastAsia="zh-CN"/>
        </w:rPr>
        <w:t>十二</w:t>
      </w:r>
      <w:r>
        <w:rPr>
          <w:rFonts w:hint="eastAsia" w:ascii="仿宋" w:hAnsi="仿宋" w:eastAsia="仿宋" w:cs="仿宋"/>
          <w:b/>
          <w:bCs/>
          <w:color w:val="000000"/>
          <w:sz w:val="21"/>
          <w:szCs w:val="21"/>
        </w:rPr>
        <w:t>、标准作为强制性或推荐性标准的建议</w:t>
      </w:r>
    </w:p>
    <w:p w14:paraId="24C07FB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建议该标准作为推荐性团体标准。</w:t>
      </w:r>
    </w:p>
    <w:p w14:paraId="6F001D2A">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三</w:t>
      </w:r>
      <w:r>
        <w:rPr>
          <w:rFonts w:hint="eastAsia" w:ascii="仿宋" w:hAnsi="仿宋" w:eastAsia="仿宋" w:cs="仿宋"/>
          <w:b/>
          <w:bCs/>
          <w:color w:val="000000"/>
          <w:sz w:val="21"/>
          <w:szCs w:val="21"/>
        </w:rPr>
        <w:t>、贯彻标准的要求和措施建议，包括（组织措施、技术措施、过渡办法）</w:t>
      </w:r>
    </w:p>
    <w:p w14:paraId="29A3120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由于本文件首次制定，没有特殊要求。</w:t>
      </w:r>
    </w:p>
    <w:p w14:paraId="7C9E39C5">
      <w:pPr>
        <w:pStyle w:val="60"/>
        <w:numPr>
          <w:ilvl w:val="1"/>
          <w:numId w:val="0"/>
        </w:numPr>
        <w:spacing w:before="156" w:after="156"/>
        <w:rPr>
          <w:rFonts w:ascii="仿宋" w:hAnsi="仿宋" w:eastAsia="仿宋" w:cs="仿宋"/>
          <w:b/>
          <w:bCs/>
          <w:color w:val="000000"/>
          <w:sz w:val="21"/>
          <w:szCs w:val="21"/>
        </w:rPr>
      </w:pPr>
      <w:r>
        <w:rPr>
          <w:rFonts w:hint="eastAsia" w:ascii="仿宋" w:hAnsi="仿宋" w:eastAsia="仿宋" w:cs="仿宋"/>
          <w:b/>
          <w:bCs/>
          <w:color w:val="000000"/>
          <w:sz w:val="21"/>
          <w:szCs w:val="21"/>
        </w:rPr>
        <w:t>十</w:t>
      </w:r>
      <w:r>
        <w:rPr>
          <w:rFonts w:hint="eastAsia" w:ascii="仿宋" w:hAnsi="仿宋" w:eastAsia="仿宋" w:cs="仿宋"/>
          <w:b/>
          <w:bCs/>
          <w:color w:val="000000"/>
          <w:sz w:val="21"/>
          <w:szCs w:val="21"/>
          <w:lang w:val="en-US" w:eastAsia="zh-CN"/>
        </w:rPr>
        <w:t>四</w:t>
      </w:r>
      <w:r>
        <w:rPr>
          <w:rFonts w:hint="eastAsia" w:ascii="仿宋" w:hAnsi="仿宋" w:eastAsia="仿宋" w:cs="仿宋"/>
          <w:b/>
          <w:bCs/>
          <w:color w:val="000000"/>
          <w:sz w:val="21"/>
          <w:szCs w:val="21"/>
        </w:rPr>
        <w:t>、废止现有有关标准的建议</w:t>
      </w:r>
    </w:p>
    <w:p w14:paraId="1C52110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无。</w:t>
      </w:r>
    </w:p>
    <w:p w14:paraId="58A38841">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eastAsia" w:ascii="仿宋" w:hAnsi="仿宋" w:eastAsia="仿宋" w:cs="仿宋"/>
          <w:kern w:val="0"/>
          <w:sz w:val="21"/>
          <w:szCs w:val="21"/>
          <w:lang w:val="en-US" w:eastAsia="zh-CN" w:bidi="ar-SA"/>
        </w:rPr>
      </w:pPr>
    </w:p>
    <w:p w14:paraId="180512C4">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团体标准工作组</w:t>
      </w:r>
    </w:p>
    <w:p w14:paraId="57A2996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right"/>
        <w:textAlignment w:val="auto"/>
        <w:rPr>
          <w:rFonts w:hint="eastAsia" w:ascii="仿宋" w:hAnsi="仿宋" w:eastAsia="仿宋" w:cs="仿宋"/>
          <w:kern w:val="0"/>
          <w:sz w:val="21"/>
          <w:szCs w:val="21"/>
          <w:lang w:val="en-US" w:eastAsia="zh-CN" w:bidi="ar-SA"/>
        </w:rPr>
      </w:pPr>
      <w:r>
        <w:rPr>
          <w:rFonts w:hint="eastAsia" w:ascii="仿宋" w:hAnsi="仿宋" w:eastAsia="仿宋" w:cs="仿宋"/>
          <w:kern w:val="0"/>
          <w:sz w:val="21"/>
          <w:szCs w:val="21"/>
          <w:lang w:val="en-US" w:eastAsia="zh-CN" w:bidi="ar-SA"/>
        </w:rPr>
        <w:t>2026年7月</w:t>
      </w:r>
    </w:p>
    <w:sectPr>
      <w:footerReference r:id="rId4" w:type="default"/>
      <w:headerReference r:id="rId3" w:type="even"/>
      <w:footerReference r:id="rId5" w:type="even"/>
      <w:pgSz w:w="11906" w:h="16838"/>
      <w:pgMar w:top="850" w:right="1134" w:bottom="850" w:left="1134" w:header="1418" w:footer="1134" w:gutter="0"/>
      <w:pgNumType w:start="1"/>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3D482">
    <w:pPr>
      <w:pStyle w:val="24"/>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1</w:t>
    </w:r>
    <w:r>
      <w:rPr>
        <w:rFonts w:ascii="宋体" w:hAnsi="宋体"/>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32914">
    <w:pPr>
      <w:pStyle w:val="24"/>
      <w:jc w:val="left"/>
      <w:rPr>
        <w:rFonts w:ascii="宋体" w:hAnsi="宋体"/>
      </w:rPr>
    </w:pPr>
    <w:r>
      <w:rPr>
        <w:rFonts w:ascii="宋体" w:hAnsi="宋体"/>
      </w:rPr>
      <w:fldChar w:fldCharType="begin"/>
    </w:r>
    <w:r>
      <w:rPr>
        <w:rFonts w:ascii="宋体" w:hAnsi="宋体"/>
      </w:rPr>
      <w:instrText xml:space="preserve">PAGE   \* MERGEFORMAT</w:instrText>
    </w:r>
    <w:r>
      <w:rPr>
        <w:rFonts w:ascii="宋体" w:hAnsi="宋体"/>
      </w:rPr>
      <w:fldChar w:fldCharType="separate"/>
    </w:r>
    <w:r>
      <w:rPr>
        <w:rFonts w:ascii="宋体" w:hAnsi="宋体"/>
        <w:lang w:val="zh-CN"/>
      </w:rPr>
      <w:t>2</w:t>
    </w:r>
    <w:r>
      <w:rPr>
        <w:rFonts w:ascii="宋体" w:hAnsi="宋体"/>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577314">
    <w:pPr>
      <w:pStyle w:val="91"/>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BF583A"/>
    <w:multiLevelType w:val="multilevel"/>
    <w:tmpl w:val="1DBF583A"/>
    <w:lvl w:ilvl="0" w:tentative="0">
      <w:start w:val="1"/>
      <w:numFmt w:val="decimal"/>
      <w:pStyle w:val="105"/>
      <w:suff w:val="nothing"/>
      <w:lvlText w:val="注%1："/>
      <w:lvlJc w:val="left"/>
      <w:pPr>
        <w:ind w:left="811" w:hanging="448"/>
      </w:pPr>
      <w:rPr>
        <w:rFonts w:hint="eastAsia" w:ascii="黑体" w:eastAsia="黑体"/>
        <w:b w:val="0"/>
        <w:i w:val="0"/>
        <w:sz w:val="18"/>
        <w:szCs w:val="18"/>
        <w:vertAlign w:val="baseline"/>
      </w:rPr>
    </w:lvl>
    <w:lvl w:ilvl="1" w:tentative="0">
      <w:start w:val="1"/>
      <w:numFmt w:val="lowerLetter"/>
      <w:lvlText w:val="%2)"/>
      <w:lvlJc w:val="left"/>
      <w:pPr>
        <w:tabs>
          <w:tab w:val="left" w:pos="180"/>
        </w:tabs>
        <w:ind w:left="1172" w:hanging="629"/>
      </w:pPr>
      <w:rPr>
        <w:rFonts w:hint="eastAsia"/>
        <w:vertAlign w:val="baseline"/>
      </w:rPr>
    </w:lvl>
    <w:lvl w:ilvl="2" w:tentative="0">
      <w:start w:val="1"/>
      <w:numFmt w:val="lowerRoman"/>
      <w:lvlText w:val="%3."/>
      <w:lvlJc w:val="right"/>
      <w:pPr>
        <w:tabs>
          <w:tab w:val="left" w:pos="180"/>
        </w:tabs>
        <w:ind w:left="1172" w:hanging="629"/>
      </w:pPr>
      <w:rPr>
        <w:rFonts w:hint="eastAsia"/>
        <w:vertAlign w:val="baseline"/>
      </w:rPr>
    </w:lvl>
    <w:lvl w:ilvl="3" w:tentative="0">
      <w:start w:val="1"/>
      <w:numFmt w:val="decimal"/>
      <w:lvlText w:val="%4."/>
      <w:lvlJc w:val="left"/>
      <w:pPr>
        <w:tabs>
          <w:tab w:val="left" w:pos="180"/>
        </w:tabs>
        <w:ind w:left="1172" w:hanging="629"/>
      </w:pPr>
      <w:rPr>
        <w:rFonts w:hint="eastAsia"/>
        <w:vertAlign w:val="baseline"/>
      </w:rPr>
    </w:lvl>
    <w:lvl w:ilvl="4" w:tentative="0">
      <w:start w:val="1"/>
      <w:numFmt w:val="lowerLetter"/>
      <w:lvlText w:val="%5)"/>
      <w:lvlJc w:val="left"/>
      <w:pPr>
        <w:tabs>
          <w:tab w:val="left" w:pos="180"/>
        </w:tabs>
        <w:ind w:left="1172" w:hanging="629"/>
      </w:pPr>
      <w:rPr>
        <w:rFonts w:hint="eastAsia"/>
        <w:vertAlign w:val="baseline"/>
      </w:rPr>
    </w:lvl>
    <w:lvl w:ilvl="5" w:tentative="0">
      <w:start w:val="1"/>
      <w:numFmt w:val="lowerRoman"/>
      <w:lvlText w:val="%6."/>
      <w:lvlJc w:val="right"/>
      <w:pPr>
        <w:tabs>
          <w:tab w:val="left" w:pos="180"/>
        </w:tabs>
        <w:ind w:left="1172" w:hanging="629"/>
      </w:pPr>
      <w:rPr>
        <w:rFonts w:hint="eastAsia"/>
        <w:vertAlign w:val="baseline"/>
      </w:rPr>
    </w:lvl>
    <w:lvl w:ilvl="6" w:tentative="0">
      <w:start w:val="1"/>
      <w:numFmt w:val="decimal"/>
      <w:lvlText w:val="%7."/>
      <w:lvlJc w:val="left"/>
      <w:pPr>
        <w:tabs>
          <w:tab w:val="left" w:pos="180"/>
        </w:tabs>
        <w:ind w:left="1172" w:hanging="629"/>
      </w:pPr>
      <w:rPr>
        <w:rFonts w:hint="eastAsia"/>
        <w:vertAlign w:val="baseline"/>
      </w:rPr>
    </w:lvl>
    <w:lvl w:ilvl="7" w:tentative="0">
      <w:start w:val="1"/>
      <w:numFmt w:val="lowerLetter"/>
      <w:lvlText w:val="%8)"/>
      <w:lvlJc w:val="left"/>
      <w:pPr>
        <w:tabs>
          <w:tab w:val="left" w:pos="180"/>
        </w:tabs>
        <w:ind w:left="1172" w:hanging="629"/>
      </w:pPr>
      <w:rPr>
        <w:rFonts w:hint="eastAsia"/>
        <w:vertAlign w:val="baseline"/>
      </w:rPr>
    </w:lvl>
    <w:lvl w:ilvl="8" w:tentative="0">
      <w:start w:val="1"/>
      <w:numFmt w:val="lowerRoman"/>
      <w:lvlText w:val="%9."/>
      <w:lvlJc w:val="right"/>
      <w:pPr>
        <w:tabs>
          <w:tab w:val="left" w:pos="180"/>
        </w:tabs>
        <w:ind w:left="1172" w:hanging="629"/>
      </w:pPr>
      <w:rPr>
        <w:rFonts w:hint="eastAsia"/>
        <w:vertAlign w:val="baseline"/>
      </w:rPr>
    </w:lvl>
  </w:abstractNum>
  <w:abstractNum w:abstractNumId="1">
    <w:nsid w:val="1FC91163"/>
    <w:multiLevelType w:val="multilevel"/>
    <w:tmpl w:val="1FC91163"/>
    <w:lvl w:ilvl="0" w:tentative="0">
      <w:start w:val="1"/>
      <w:numFmt w:val="decimal"/>
      <w:pStyle w:val="143"/>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6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color w:val="000000"/>
        <w:spacing w:val="0"/>
        <w:kern w:val="0"/>
        <w:position w:val="0"/>
        <w:sz w:val="21"/>
        <w:szCs w:val="21"/>
        <w:u w:val="none"/>
        <w:vertAlign w:val="baseline"/>
      </w:rPr>
    </w:lvl>
    <w:lvl w:ilvl="2" w:tentative="0">
      <w:start w:val="1"/>
      <w:numFmt w:val="decimal"/>
      <w:pStyle w:val="59"/>
      <w:suff w:val="nothing"/>
      <w:lvlText w:val="%1.%2.%3　"/>
      <w:lvlJc w:val="left"/>
      <w:pPr>
        <w:ind w:left="0" w:firstLine="0"/>
      </w:pPr>
      <w:rPr>
        <w:rFonts w:hint="eastAsia" w:ascii="黑体" w:hAnsi="Times New Roman" w:eastAsia="黑体"/>
        <w:b w:val="0"/>
        <w:i w:val="0"/>
        <w:sz w:val="21"/>
      </w:rPr>
    </w:lvl>
    <w:lvl w:ilvl="3" w:tentative="0">
      <w:start w:val="1"/>
      <w:numFmt w:val="decimal"/>
      <w:pStyle w:val="62"/>
      <w:suff w:val="nothing"/>
      <w:lvlText w:val="%1.%2.%3.%4　"/>
      <w:lvlJc w:val="left"/>
      <w:pPr>
        <w:ind w:left="283" w:firstLine="0"/>
      </w:pPr>
      <w:rPr>
        <w:rFonts w:hint="eastAsia" w:ascii="黑体" w:hAnsi="Times New Roman" w:eastAsia="黑体"/>
        <w:b w:val="0"/>
        <w:i w:val="0"/>
        <w:sz w:val="21"/>
      </w:rPr>
    </w:lvl>
    <w:lvl w:ilvl="4" w:tentative="0">
      <w:start w:val="1"/>
      <w:numFmt w:val="decimal"/>
      <w:pStyle w:val="95"/>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2">
    <w:nsid w:val="2A8F7113"/>
    <w:multiLevelType w:val="multilevel"/>
    <w:tmpl w:val="2A8F7113"/>
    <w:lvl w:ilvl="0" w:tentative="0">
      <w:start w:val="1"/>
      <w:numFmt w:val="upperLetter"/>
      <w:pStyle w:val="100"/>
      <w:suff w:val="space"/>
      <w:lvlText w:val="%1"/>
      <w:lvlJc w:val="left"/>
      <w:pPr>
        <w:ind w:left="623" w:hanging="425"/>
      </w:pPr>
      <w:rPr>
        <w:rFonts w:hint="eastAsia"/>
      </w:rPr>
    </w:lvl>
    <w:lvl w:ilvl="1" w:tentative="0">
      <w:start w:val="1"/>
      <w:numFmt w:val="decimal"/>
      <w:pStyle w:val="145"/>
      <w:suff w:val="nothing"/>
      <w:lvlText w:val="图A.%2　"/>
      <w:lvlJc w:val="left"/>
      <w:pPr>
        <w:ind w:left="1190" w:hanging="567"/>
      </w:pPr>
      <w:rPr>
        <w:rFonts w:hint="eastAsia"/>
      </w:rPr>
    </w:lvl>
    <w:lvl w:ilvl="2" w:tentative="0">
      <w:start w:val="1"/>
      <w:numFmt w:val="decimal"/>
      <w:lvlText w:val="%1.%2.%3"/>
      <w:lvlJc w:val="left"/>
      <w:pPr>
        <w:tabs>
          <w:tab w:val="left" w:pos="1616"/>
        </w:tabs>
        <w:ind w:left="1616" w:hanging="567"/>
      </w:pPr>
      <w:rPr>
        <w:rFonts w:hint="eastAsia"/>
      </w:rPr>
    </w:lvl>
    <w:lvl w:ilvl="3" w:tentative="0">
      <w:start w:val="1"/>
      <w:numFmt w:val="decimal"/>
      <w:lvlText w:val="%1.%2.%3.%4"/>
      <w:lvlJc w:val="left"/>
      <w:pPr>
        <w:tabs>
          <w:tab w:val="left" w:pos="2914"/>
        </w:tabs>
        <w:ind w:left="2182" w:hanging="708"/>
      </w:pPr>
      <w:rPr>
        <w:rFonts w:hint="eastAsia"/>
      </w:rPr>
    </w:lvl>
    <w:lvl w:ilvl="4" w:tentative="0">
      <w:start w:val="1"/>
      <w:numFmt w:val="decimal"/>
      <w:lvlText w:val="%1.%2.%3.%4.%5"/>
      <w:lvlJc w:val="left"/>
      <w:pPr>
        <w:tabs>
          <w:tab w:val="left" w:pos="3699"/>
        </w:tabs>
        <w:ind w:left="2749" w:hanging="850"/>
      </w:pPr>
      <w:rPr>
        <w:rFonts w:hint="eastAsia"/>
      </w:rPr>
    </w:lvl>
    <w:lvl w:ilvl="5" w:tentative="0">
      <w:start w:val="1"/>
      <w:numFmt w:val="decimal"/>
      <w:lvlText w:val="%1.%2.%3.%4.%5.%6"/>
      <w:lvlJc w:val="left"/>
      <w:pPr>
        <w:tabs>
          <w:tab w:val="left" w:pos="4484"/>
        </w:tabs>
        <w:ind w:left="3458" w:hanging="1134"/>
      </w:pPr>
      <w:rPr>
        <w:rFonts w:hint="eastAsia"/>
      </w:rPr>
    </w:lvl>
    <w:lvl w:ilvl="6" w:tentative="0">
      <w:start w:val="1"/>
      <w:numFmt w:val="decimal"/>
      <w:lvlText w:val="%1.%2.%3.%4.%5.%6.%7"/>
      <w:lvlJc w:val="left"/>
      <w:pPr>
        <w:tabs>
          <w:tab w:val="left" w:pos="5269"/>
        </w:tabs>
        <w:ind w:left="4025" w:hanging="1276"/>
      </w:pPr>
      <w:rPr>
        <w:rFonts w:hint="eastAsia"/>
      </w:rPr>
    </w:lvl>
    <w:lvl w:ilvl="7" w:tentative="0">
      <w:start w:val="1"/>
      <w:numFmt w:val="decimal"/>
      <w:lvlText w:val="%1.%2.%3.%4.%5.%6.%7.%8"/>
      <w:lvlJc w:val="left"/>
      <w:pPr>
        <w:tabs>
          <w:tab w:val="left" w:pos="6054"/>
        </w:tabs>
        <w:ind w:left="4592" w:hanging="1418"/>
      </w:pPr>
      <w:rPr>
        <w:rFonts w:hint="eastAsia"/>
      </w:rPr>
    </w:lvl>
    <w:lvl w:ilvl="8" w:tentative="0">
      <w:start w:val="1"/>
      <w:numFmt w:val="decimal"/>
      <w:lvlText w:val="%1.%2.%3.%4.%5.%6.%7.%8.%9"/>
      <w:lvlJc w:val="left"/>
      <w:pPr>
        <w:tabs>
          <w:tab w:val="left" w:pos="6840"/>
        </w:tabs>
        <w:ind w:left="5300" w:hanging="1700"/>
      </w:pPr>
      <w:rPr>
        <w:rFonts w:hint="eastAsia"/>
      </w:rPr>
    </w:lvl>
  </w:abstractNum>
  <w:abstractNum w:abstractNumId="3">
    <w:nsid w:val="2C5917C3"/>
    <w:multiLevelType w:val="multilevel"/>
    <w:tmpl w:val="2C5917C3"/>
    <w:lvl w:ilvl="0" w:tentative="0">
      <w:start w:val="1"/>
      <w:numFmt w:val="none"/>
      <w:pStyle w:val="190"/>
      <w:suff w:val="nothing"/>
      <w:lvlText w:val="%1——"/>
      <w:lvlJc w:val="left"/>
      <w:pPr>
        <w:ind w:left="833" w:hanging="408"/>
      </w:pPr>
      <w:rPr>
        <w:rFonts w:hint="eastAsia"/>
      </w:rPr>
    </w:lvl>
    <w:lvl w:ilvl="1" w:tentative="0">
      <w:start w:val="1"/>
      <w:numFmt w:val="bullet"/>
      <w:pStyle w:val="118"/>
      <w:lvlText w:val=""/>
      <w:lvlJc w:val="left"/>
      <w:pPr>
        <w:tabs>
          <w:tab w:val="left" w:pos="760"/>
        </w:tabs>
        <w:ind w:left="1264" w:hanging="413"/>
      </w:pPr>
      <w:rPr>
        <w:rFonts w:hint="default" w:ascii="Symbol" w:hAnsi="Symbol"/>
        <w:color w:val="auto"/>
      </w:rPr>
    </w:lvl>
    <w:lvl w:ilvl="2" w:tentative="0">
      <w:start w:val="1"/>
      <w:numFmt w:val="bullet"/>
      <w:pStyle w:val="10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4">
    <w:nsid w:val="3D733618"/>
    <w:multiLevelType w:val="multilevel"/>
    <w:tmpl w:val="3D733618"/>
    <w:lvl w:ilvl="0" w:tentative="0">
      <w:start w:val="1"/>
      <w:numFmt w:val="decimal"/>
      <w:pStyle w:val="31"/>
      <w:lvlText w:val="%1)"/>
      <w:lvlJc w:val="left"/>
      <w:pPr>
        <w:tabs>
          <w:tab w:val="left" w:pos="0"/>
        </w:tabs>
        <w:ind w:left="720" w:hanging="357"/>
      </w:pPr>
      <w:rPr>
        <w:rFonts w:hint="eastAsia"/>
      </w:rPr>
    </w:lvl>
    <w:lvl w:ilvl="1" w:tentative="0">
      <w:start w:val="1"/>
      <w:numFmt w:val="lowerLetter"/>
      <w:lvlText w:val="%2)"/>
      <w:lvlJc w:val="left"/>
      <w:pPr>
        <w:tabs>
          <w:tab w:val="left" w:pos="504"/>
        </w:tabs>
        <w:ind w:left="544" w:hanging="544"/>
      </w:pPr>
      <w:rPr>
        <w:rFonts w:hint="eastAsia"/>
      </w:rPr>
    </w:lvl>
    <w:lvl w:ilvl="2" w:tentative="0">
      <w:start w:val="1"/>
      <w:numFmt w:val="lowerRoman"/>
      <w:lvlText w:val="%3."/>
      <w:lvlJc w:val="right"/>
      <w:pPr>
        <w:tabs>
          <w:tab w:val="left" w:pos="532"/>
        </w:tabs>
        <w:ind w:left="544" w:hanging="544"/>
      </w:pPr>
      <w:rPr>
        <w:rFonts w:hint="eastAsia"/>
      </w:rPr>
    </w:lvl>
    <w:lvl w:ilvl="3" w:tentative="0">
      <w:start w:val="1"/>
      <w:numFmt w:val="decimal"/>
      <w:lvlText w:val="%4."/>
      <w:lvlJc w:val="left"/>
      <w:pPr>
        <w:tabs>
          <w:tab w:val="left" w:pos="560"/>
        </w:tabs>
        <w:ind w:left="544" w:hanging="544"/>
      </w:pPr>
      <w:rPr>
        <w:rFonts w:hint="eastAsia"/>
      </w:rPr>
    </w:lvl>
    <w:lvl w:ilvl="4" w:tentative="0">
      <w:start w:val="1"/>
      <w:numFmt w:val="lowerLetter"/>
      <w:lvlText w:val="%5)"/>
      <w:lvlJc w:val="left"/>
      <w:pPr>
        <w:tabs>
          <w:tab w:val="left" w:pos="588"/>
        </w:tabs>
        <w:ind w:left="544" w:hanging="544"/>
      </w:pPr>
      <w:rPr>
        <w:rFonts w:hint="eastAsia"/>
      </w:rPr>
    </w:lvl>
    <w:lvl w:ilvl="5" w:tentative="0">
      <w:start w:val="1"/>
      <w:numFmt w:val="lowerRoman"/>
      <w:lvlText w:val="%6."/>
      <w:lvlJc w:val="right"/>
      <w:pPr>
        <w:tabs>
          <w:tab w:val="left" w:pos="616"/>
        </w:tabs>
        <w:ind w:left="544" w:hanging="544"/>
      </w:pPr>
      <w:rPr>
        <w:rFonts w:hint="eastAsia"/>
      </w:rPr>
    </w:lvl>
    <w:lvl w:ilvl="6" w:tentative="0">
      <w:start w:val="1"/>
      <w:numFmt w:val="decimal"/>
      <w:lvlText w:val="%7."/>
      <w:lvlJc w:val="left"/>
      <w:pPr>
        <w:tabs>
          <w:tab w:val="left" w:pos="644"/>
        </w:tabs>
        <w:ind w:left="544" w:hanging="544"/>
      </w:pPr>
      <w:rPr>
        <w:rFonts w:hint="eastAsia"/>
      </w:rPr>
    </w:lvl>
    <w:lvl w:ilvl="7" w:tentative="0">
      <w:start w:val="1"/>
      <w:numFmt w:val="lowerLetter"/>
      <w:lvlText w:val="%8)"/>
      <w:lvlJc w:val="left"/>
      <w:pPr>
        <w:tabs>
          <w:tab w:val="left" w:pos="672"/>
        </w:tabs>
        <w:ind w:left="544" w:hanging="544"/>
      </w:pPr>
      <w:rPr>
        <w:rFonts w:hint="eastAsia"/>
      </w:rPr>
    </w:lvl>
    <w:lvl w:ilvl="8" w:tentative="0">
      <w:start w:val="1"/>
      <w:numFmt w:val="lowerRoman"/>
      <w:lvlText w:val="%9."/>
      <w:lvlJc w:val="right"/>
      <w:pPr>
        <w:tabs>
          <w:tab w:val="left" w:pos="700"/>
        </w:tabs>
        <w:ind w:left="544" w:hanging="544"/>
      </w:pPr>
      <w:rPr>
        <w:rFonts w:hint="eastAsia"/>
      </w:rPr>
    </w:lvl>
  </w:abstractNum>
  <w:abstractNum w:abstractNumId="5">
    <w:nsid w:val="44C50F90"/>
    <w:multiLevelType w:val="multilevel"/>
    <w:tmpl w:val="44C50F90"/>
    <w:lvl w:ilvl="0" w:tentative="0">
      <w:start w:val="1"/>
      <w:numFmt w:val="lowerLetter"/>
      <w:pStyle w:val="180"/>
      <w:lvlText w:val="%1)"/>
      <w:lvlJc w:val="left"/>
      <w:pPr>
        <w:tabs>
          <w:tab w:val="left" w:pos="840"/>
        </w:tabs>
        <w:ind w:left="839" w:hanging="419"/>
      </w:pPr>
      <w:rPr>
        <w:rFonts w:hint="eastAsia" w:ascii="宋体" w:eastAsia="宋体"/>
        <w:b w:val="0"/>
        <w:i w:val="0"/>
        <w:sz w:val="21"/>
        <w:szCs w:val="21"/>
      </w:rPr>
    </w:lvl>
    <w:lvl w:ilvl="1" w:tentative="0">
      <w:start w:val="1"/>
      <w:numFmt w:val="decimal"/>
      <w:pStyle w:val="116"/>
      <w:lvlText w:val="%2)"/>
      <w:lvlJc w:val="left"/>
      <w:pPr>
        <w:tabs>
          <w:tab w:val="left" w:pos="1260"/>
        </w:tabs>
        <w:ind w:left="1259" w:hanging="419"/>
      </w:pPr>
      <w:rPr>
        <w:rFonts w:hint="eastAsia"/>
      </w:rPr>
    </w:lvl>
    <w:lvl w:ilvl="2" w:tentative="0">
      <w:start w:val="1"/>
      <w:numFmt w:val="decimal"/>
      <w:pStyle w:val="134"/>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6">
    <w:nsid w:val="48802D1C"/>
    <w:multiLevelType w:val="multilevel"/>
    <w:tmpl w:val="48802D1C"/>
    <w:lvl w:ilvl="0" w:tentative="0">
      <w:start w:val="1"/>
      <w:numFmt w:val="upperLetter"/>
      <w:pStyle w:val="183"/>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7">
    <w:nsid w:val="557C2AF5"/>
    <w:multiLevelType w:val="multilevel"/>
    <w:tmpl w:val="557C2AF5"/>
    <w:lvl w:ilvl="0" w:tentative="0">
      <w:start w:val="1"/>
      <w:numFmt w:val="decimal"/>
      <w:pStyle w:val="174"/>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8">
    <w:nsid w:val="5603797C"/>
    <w:multiLevelType w:val="multilevel"/>
    <w:tmpl w:val="5603797C"/>
    <w:lvl w:ilvl="0" w:tentative="0">
      <w:start w:val="1"/>
      <w:numFmt w:val="upperLetter"/>
      <w:pStyle w:val="184"/>
      <w:suff w:val="space"/>
      <w:lvlText w:val="%1"/>
      <w:lvlJc w:val="left"/>
      <w:pPr>
        <w:ind w:left="425" w:hanging="425"/>
      </w:pPr>
      <w:rPr>
        <w:rFonts w:hint="eastAsia"/>
      </w:rPr>
    </w:lvl>
    <w:lvl w:ilvl="1" w:tentative="0">
      <w:start w:val="1"/>
      <w:numFmt w:val="decimal"/>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9">
    <w:nsid w:val="60B55DC2"/>
    <w:multiLevelType w:val="multilevel"/>
    <w:tmpl w:val="60B55DC2"/>
    <w:lvl w:ilvl="0" w:tentative="0">
      <w:start w:val="1"/>
      <w:numFmt w:val="upperLetter"/>
      <w:pStyle w:val="156"/>
      <w:lvlText w:val="%1"/>
      <w:lvlJc w:val="left"/>
      <w:pPr>
        <w:tabs>
          <w:tab w:val="left" w:pos="0"/>
        </w:tabs>
        <w:ind w:left="0" w:hanging="425"/>
      </w:pPr>
      <w:rPr>
        <w:rFonts w:hint="eastAsia"/>
      </w:rPr>
    </w:lvl>
    <w:lvl w:ilvl="1" w:tentative="0">
      <w:start w:val="1"/>
      <w:numFmt w:val="decimal"/>
      <w:pStyle w:val="101"/>
      <w:suff w:val="nothing"/>
      <w:lvlText w:val="表%2　"/>
      <w:lvlJc w:val="left"/>
      <w:pPr>
        <w:ind w:left="567" w:hanging="567"/>
      </w:pPr>
      <w:rPr>
        <w:rFonts w:hint="eastAsia" w:ascii="黑体" w:hAnsi="黑体" w:eastAsia="黑体"/>
      </w:rPr>
    </w:lvl>
    <w:lvl w:ilvl="2" w:tentative="0">
      <w:start w:val="1"/>
      <w:numFmt w:val="decimal"/>
      <w:lvlText w:val="%1.%2.%3"/>
      <w:lvlJc w:val="left"/>
      <w:pPr>
        <w:tabs>
          <w:tab w:val="left" w:pos="993"/>
        </w:tabs>
        <w:ind w:left="993" w:hanging="567"/>
      </w:pPr>
      <w:rPr>
        <w:rFonts w:hint="eastAsia"/>
      </w:rPr>
    </w:lvl>
    <w:lvl w:ilvl="3" w:tentative="0">
      <w:start w:val="1"/>
      <w:numFmt w:val="decimal"/>
      <w:lvlText w:val="%1.%2.%3.%4"/>
      <w:lvlJc w:val="left"/>
      <w:pPr>
        <w:tabs>
          <w:tab w:val="left" w:pos="2291"/>
        </w:tabs>
        <w:ind w:left="1559" w:hanging="708"/>
      </w:pPr>
      <w:rPr>
        <w:rFonts w:hint="eastAsia"/>
      </w:rPr>
    </w:lvl>
    <w:lvl w:ilvl="4" w:tentative="0">
      <w:start w:val="1"/>
      <w:numFmt w:val="decimal"/>
      <w:lvlText w:val="%1.%2.%3.%4.%5"/>
      <w:lvlJc w:val="left"/>
      <w:pPr>
        <w:tabs>
          <w:tab w:val="left" w:pos="3076"/>
        </w:tabs>
        <w:ind w:left="2126" w:hanging="850"/>
      </w:pPr>
      <w:rPr>
        <w:rFonts w:hint="eastAsia"/>
      </w:rPr>
    </w:lvl>
    <w:lvl w:ilvl="5" w:tentative="0">
      <w:start w:val="1"/>
      <w:numFmt w:val="decimal"/>
      <w:lvlText w:val="%1.%2.%3.%4.%5.%6"/>
      <w:lvlJc w:val="left"/>
      <w:pPr>
        <w:tabs>
          <w:tab w:val="left" w:pos="3861"/>
        </w:tabs>
        <w:ind w:left="2835" w:hanging="1134"/>
      </w:pPr>
      <w:rPr>
        <w:rFonts w:hint="eastAsia"/>
      </w:rPr>
    </w:lvl>
    <w:lvl w:ilvl="6" w:tentative="0">
      <w:start w:val="1"/>
      <w:numFmt w:val="decimal"/>
      <w:lvlText w:val="%1.%2.%3.%4.%5.%6.%7"/>
      <w:lvlJc w:val="left"/>
      <w:pPr>
        <w:tabs>
          <w:tab w:val="left" w:pos="4646"/>
        </w:tabs>
        <w:ind w:left="3402" w:hanging="1276"/>
      </w:pPr>
      <w:rPr>
        <w:rFonts w:hint="eastAsia"/>
      </w:rPr>
    </w:lvl>
    <w:lvl w:ilvl="7" w:tentative="0">
      <w:start w:val="1"/>
      <w:numFmt w:val="decimal"/>
      <w:lvlText w:val="%1.%2.%3.%4.%5.%6.%7.%8"/>
      <w:lvlJc w:val="left"/>
      <w:pPr>
        <w:tabs>
          <w:tab w:val="left" w:pos="5431"/>
        </w:tabs>
        <w:ind w:left="3969" w:hanging="1418"/>
      </w:pPr>
      <w:rPr>
        <w:rFonts w:hint="eastAsia"/>
      </w:rPr>
    </w:lvl>
    <w:lvl w:ilvl="8" w:tentative="0">
      <w:start w:val="1"/>
      <w:numFmt w:val="decimal"/>
      <w:lvlText w:val="%1.%2.%3.%4.%5.%6.%7.%8.%9"/>
      <w:lvlJc w:val="left"/>
      <w:pPr>
        <w:tabs>
          <w:tab w:val="left" w:pos="6217"/>
        </w:tabs>
        <w:ind w:left="4677" w:hanging="1700"/>
      </w:pPr>
      <w:rPr>
        <w:rFonts w:hint="eastAsia"/>
      </w:rPr>
    </w:lvl>
  </w:abstractNum>
  <w:abstractNum w:abstractNumId="10">
    <w:nsid w:val="646260FA"/>
    <w:multiLevelType w:val="multilevel"/>
    <w:tmpl w:val="646260FA"/>
    <w:lvl w:ilvl="0" w:tentative="0">
      <w:start w:val="1"/>
      <w:numFmt w:val="decimal"/>
      <w:pStyle w:val="176"/>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1">
    <w:nsid w:val="657D3FBC"/>
    <w:multiLevelType w:val="multilevel"/>
    <w:tmpl w:val="657D3FBC"/>
    <w:lvl w:ilvl="0" w:tentative="0">
      <w:start w:val="1"/>
      <w:numFmt w:val="upperLetter"/>
      <w:pStyle w:val="185"/>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86"/>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187"/>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173"/>
      <w:suff w:val="nothing"/>
      <w:lvlText w:val="%1%2　"/>
      <w:lvlJc w:val="left"/>
      <w:pPr>
        <w:ind w:left="0" w:firstLine="0"/>
      </w:pPr>
      <w:rPr>
        <w:rFonts w:hint="eastAsia" w:ascii="黑体" w:eastAsia="黑体"/>
        <w:b w:val="0"/>
        <w:i w:val="0"/>
        <w:sz w:val="21"/>
      </w:rPr>
    </w:lvl>
    <w:lvl w:ilvl="2" w:tentative="0">
      <w:start w:val="1"/>
      <w:numFmt w:val="decimal"/>
      <w:pStyle w:val="17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pStyle w:val="175"/>
      <w:suff w:val="nothing"/>
      <w:lvlText w:val="%1%2.%3.%4　"/>
      <w:lvlJc w:val="left"/>
      <w:pPr>
        <w:ind w:left="0" w:firstLine="0"/>
      </w:pPr>
      <w:rPr>
        <w:rFonts w:hint="eastAsia" w:ascii="黑体" w:eastAsia="黑体"/>
        <w:b w:val="0"/>
        <w:i w:val="0"/>
        <w:sz w:val="21"/>
      </w:rPr>
    </w:lvl>
    <w:lvl w:ilvl="4" w:tentative="0">
      <w:start w:val="1"/>
      <w:numFmt w:val="decimal"/>
      <w:pStyle w:val="178"/>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3">
    <w:nsid w:val="6D6C07CD"/>
    <w:multiLevelType w:val="multilevel"/>
    <w:tmpl w:val="6D6C07CD"/>
    <w:lvl w:ilvl="0" w:tentative="0">
      <w:start w:val="1"/>
      <w:numFmt w:val="lowerLetter"/>
      <w:pStyle w:val="133"/>
      <w:lvlText w:val="%1)"/>
      <w:lvlJc w:val="left"/>
      <w:pPr>
        <w:tabs>
          <w:tab w:val="left" w:pos="839"/>
        </w:tabs>
        <w:ind w:left="839" w:hanging="419"/>
      </w:pPr>
      <w:rPr>
        <w:rFonts w:hint="eastAsia" w:ascii="宋体" w:eastAsia="宋体"/>
        <w:b w:val="0"/>
        <w:i w:val="0"/>
        <w:sz w:val="21"/>
      </w:rPr>
    </w:lvl>
    <w:lvl w:ilvl="1" w:tentative="0">
      <w:start w:val="1"/>
      <w:numFmt w:val="decimal"/>
      <w:pStyle w:val="89"/>
      <w:lvlText w:val="%2)"/>
      <w:lvlJc w:val="left"/>
      <w:pPr>
        <w:tabs>
          <w:tab w:val="left" w:pos="840"/>
        </w:tabs>
        <w:ind w:left="839" w:hanging="419"/>
      </w:pPr>
      <w:rPr>
        <w:rFonts w:hint="eastAsia" w:ascii="宋体" w:eastAsia="宋体"/>
        <w:b w:val="0"/>
        <w:i w:val="0"/>
        <w:sz w:val="21"/>
      </w:rPr>
    </w:lvl>
    <w:lvl w:ilvl="2" w:tentative="0">
      <w:start w:val="1"/>
      <w:numFmt w:val="lowerRoman"/>
      <w:lvlText w:val="%3."/>
      <w:lvlJc w:val="right"/>
      <w:pPr>
        <w:tabs>
          <w:tab w:val="left" w:pos="1260"/>
        </w:tabs>
        <w:ind w:left="1259" w:hanging="419"/>
      </w:pPr>
      <w:rPr>
        <w:rFonts w:hint="eastAsia"/>
      </w:rPr>
    </w:lvl>
    <w:lvl w:ilvl="3" w:tentative="0">
      <w:start w:val="1"/>
      <w:numFmt w:val="decimal"/>
      <w:lvlText w:val="%4."/>
      <w:lvlJc w:val="left"/>
      <w:pPr>
        <w:tabs>
          <w:tab w:val="left" w:pos="1680"/>
        </w:tabs>
        <w:ind w:left="1679" w:hanging="419"/>
      </w:pPr>
      <w:rPr>
        <w:rFonts w:hint="eastAsia"/>
      </w:rPr>
    </w:lvl>
    <w:lvl w:ilvl="4" w:tentative="0">
      <w:start w:val="1"/>
      <w:numFmt w:val="lowerLetter"/>
      <w:lvlText w:val="%5)"/>
      <w:lvlJc w:val="left"/>
      <w:pPr>
        <w:tabs>
          <w:tab w:val="left" w:pos="2100"/>
        </w:tabs>
        <w:ind w:left="2099" w:hanging="419"/>
      </w:pPr>
      <w:rPr>
        <w:rFonts w:hint="eastAsia"/>
      </w:rPr>
    </w:lvl>
    <w:lvl w:ilvl="5" w:tentative="0">
      <w:start w:val="1"/>
      <w:numFmt w:val="lowerRoman"/>
      <w:lvlText w:val="%6."/>
      <w:lvlJc w:val="right"/>
      <w:pPr>
        <w:tabs>
          <w:tab w:val="left" w:pos="2520"/>
        </w:tabs>
        <w:ind w:left="2519" w:hanging="419"/>
      </w:pPr>
      <w:rPr>
        <w:rFonts w:hint="eastAsia"/>
      </w:rPr>
    </w:lvl>
    <w:lvl w:ilvl="6" w:tentative="0">
      <w:start w:val="1"/>
      <w:numFmt w:val="decimal"/>
      <w:lvlText w:val="%7."/>
      <w:lvlJc w:val="left"/>
      <w:pPr>
        <w:tabs>
          <w:tab w:val="left" w:pos="2940"/>
        </w:tabs>
        <w:ind w:left="2939" w:hanging="419"/>
      </w:pPr>
      <w:rPr>
        <w:rFonts w:hint="eastAsia"/>
      </w:rPr>
    </w:lvl>
    <w:lvl w:ilvl="7" w:tentative="0">
      <w:start w:val="1"/>
      <w:numFmt w:val="lowerLetter"/>
      <w:lvlText w:val="%8)"/>
      <w:lvlJc w:val="left"/>
      <w:pPr>
        <w:tabs>
          <w:tab w:val="left" w:pos="3360"/>
        </w:tabs>
        <w:ind w:left="3359" w:hanging="419"/>
      </w:pPr>
      <w:rPr>
        <w:rFonts w:hint="eastAsia"/>
      </w:rPr>
    </w:lvl>
    <w:lvl w:ilvl="8" w:tentative="0">
      <w:start w:val="1"/>
      <w:numFmt w:val="lowerRoman"/>
      <w:lvlText w:val="%9."/>
      <w:lvlJc w:val="right"/>
      <w:pPr>
        <w:tabs>
          <w:tab w:val="left" w:pos="3780"/>
        </w:tabs>
        <w:ind w:left="3779" w:hanging="419"/>
      </w:pPr>
      <w:rPr>
        <w:rFonts w:hint="eastAsia"/>
      </w:rPr>
    </w:lvl>
  </w:abstractNum>
  <w:num w:numId="1">
    <w:abstractNumId w:val="4"/>
  </w:num>
  <w:num w:numId="2">
    <w:abstractNumId w:val="1"/>
  </w:num>
  <w:num w:numId="3">
    <w:abstractNumId w:val="11"/>
  </w:num>
  <w:num w:numId="4">
    <w:abstractNumId w:val="13"/>
  </w:num>
  <w:num w:numId="5">
    <w:abstractNumId w:val="2"/>
  </w:num>
  <w:num w:numId="6">
    <w:abstractNumId w:val="9"/>
  </w:num>
  <w:num w:numId="7">
    <w:abstractNumId w:val="0"/>
  </w:num>
  <w:num w:numId="8">
    <w:abstractNumId w:val="3"/>
  </w:num>
  <w:num w:numId="9">
    <w:abstractNumId w:val="5"/>
  </w:num>
  <w:num w:numId="10">
    <w:abstractNumId w:val="12"/>
  </w:num>
  <w:num w:numId="11">
    <w:abstractNumId w:val="7"/>
  </w:num>
  <w:num w:numId="12">
    <w:abstractNumId w:val="10"/>
  </w:num>
  <w:num w:numId="13">
    <w:abstractNumId w:val="6"/>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mirrorMargins w:val="1"/>
  <w:bordersDoNotSurroundHeader w:val="0"/>
  <w:bordersDoNotSurroundFooter w:val="0"/>
  <w:attachedTemplate r:id="rId1"/>
  <w:documentProtection w:edit="forms"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xMjU0YWRiNjhmNzkyNDkwNmUzZWY0ZjhkYmVlMzgifQ=="/>
  </w:docVars>
  <w:rsids>
    <w:rsidRoot w:val="00650531"/>
    <w:rsid w:val="00000244"/>
    <w:rsid w:val="0000025A"/>
    <w:rsid w:val="0000185F"/>
    <w:rsid w:val="00002107"/>
    <w:rsid w:val="00002850"/>
    <w:rsid w:val="00002B97"/>
    <w:rsid w:val="000052B7"/>
    <w:rsid w:val="0000586F"/>
    <w:rsid w:val="00007D7C"/>
    <w:rsid w:val="00012C3B"/>
    <w:rsid w:val="00013D86"/>
    <w:rsid w:val="00013E02"/>
    <w:rsid w:val="00015AE6"/>
    <w:rsid w:val="00015CA4"/>
    <w:rsid w:val="00015F29"/>
    <w:rsid w:val="000175E9"/>
    <w:rsid w:val="000176B7"/>
    <w:rsid w:val="0001793A"/>
    <w:rsid w:val="00020A3F"/>
    <w:rsid w:val="00020A9D"/>
    <w:rsid w:val="0002143C"/>
    <w:rsid w:val="00025A65"/>
    <w:rsid w:val="00026A04"/>
    <w:rsid w:val="00026C31"/>
    <w:rsid w:val="00027280"/>
    <w:rsid w:val="000279F7"/>
    <w:rsid w:val="000279F8"/>
    <w:rsid w:val="000304E5"/>
    <w:rsid w:val="000320A7"/>
    <w:rsid w:val="0003245E"/>
    <w:rsid w:val="00033866"/>
    <w:rsid w:val="0003552A"/>
    <w:rsid w:val="00035925"/>
    <w:rsid w:val="00035AB8"/>
    <w:rsid w:val="000379F1"/>
    <w:rsid w:val="00037C56"/>
    <w:rsid w:val="00041631"/>
    <w:rsid w:val="00042604"/>
    <w:rsid w:val="00043436"/>
    <w:rsid w:val="000441C8"/>
    <w:rsid w:val="000448A3"/>
    <w:rsid w:val="00045A75"/>
    <w:rsid w:val="00045D3D"/>
    <w:rsid w:val="00050981"/>
    <w:rsid w:val="00052269"/>
    <w:rsid w:val="0005289F"/>
    <w:rsid w:val="00053C4C"/>
    <w:rsid w:val="00060F13"/>
    <w:rsid w:val="00063025"/>
    <w:rsid w:val="000639FB"/>
    <w:rsid w:val="00063D96"/>
    <w:rsid w:val="0006463B"/>
    <w:rsid w:val="0006607A"/>
    <w:rsid w:val="000668CD"/>
    <w:rsid w:val="00067CDF"/>
    <w:rsid w:val="00067EE6"/>
    <w:rsid w:val="00070DC6"/>
    <w:rsid w:val="0007478A"/>
    <w:rsid w:val="00074E8D"/>
    <w:rsid w:val="00074FBE"/>
    <w:rsid w:val="000751BE"/>
    <w:rsid w:val="0007721B"/>
    <w:rsid w:val="00080341"/>
    <w:rsid w:val="00080E20"/>
    <w:rsid w:val="00081147"/>
    <w:rsid w:val="000829D3"/>
    <w:rsid w:val="00083A09"/>
    <w:rsid w:val="0009005E"/>
    <w:rsid w:val="00092279"/>
    <w:rsid w:val="00092857"/>
    <w:rsid w:val="0009356C"/>
    <w:rsid w:val="0009418F"/>
    <w:rsid w:val="00094E9F"/>
    <w:rsid w:val="00095847"/>
    <w:rsid w:val="00095B64"/>
    <w:rsid w:val="000A0D49"/>
    <w:rsid w:val="000A20A9"/>
    <w:rsid w:val="000A2D22"/>
    <w:rsid w:val="000A41C8"/>
    <w:rsid w:val="000A43C5"/>
    <w:rsid w:val="000A48B1"/>
    <w:rsid w:val="000A5F06"/>
    <w:rsid w:val="000A702D"/>
    <w:rsid w:val="000B0B86"/>
    <w:rsid w:val="000B106B"/>
    <w:rsid w:val="000B3143"/>
    <w:rsid w:val="000B549C"/>
    <w:rsid w:val="000B7DEB"/>
    <w:rsid w:val="000C06A4"/>
    <w:rsid w:val="000C1F22"/>
    <w:rsid w:val="000C3B93"/>
    <w:rsid w:val="000C4E74"/>
    <w:rsid w:val="000C5779"/>
    <w:rsid w:val="000C5CA7"/>
    <w:rsid w:val="000C5E20"/>
    <w:rsid w:val="000C6B05"/>
    <w:rsid w:val="000C6DD6"/>
    <w:rsid w:val="000C73D4"/>
    <w:rsid w:val="000C7984"/>
    <w:rsid w:val="000D150A"/>
    <w:rsid w:val="000D246C"/>
    <w:rsid w:val="000D3954"/>
    <w:rsid w:val="000D3B28"/>
    <w:rsid w:val="000D3D4C"/>
    <w:rsid w:val="000D4178"/>
    <w:rsid w:val="000D4B6E"/>
    <w:rsid w:val="000D4F51"/>
    <w:rsid w:val="000D718B"/>
    <w:rsid w:val="000D7B1A"/>
    <w:rsid w:val="000E0C46"/>
    <w:rsid w:val="000E1EBF"/>
    <w:rsid w:val="000E415C"/>
    <w:rsid w:val="000E464D"/>
    <w:rsid w:val="000F006D"/>
    <w:rsid w:val="000F030C"/>
    <w:rsid w:val="000F129C"/>
    <w:rsid w:val="000F17C1"/>
    <w:rsid w:val="000F33DC"/>
    <w:rsid w:val="000F4C84"/>
    <w:rsid w:val="000F507E"/>
    <w:rsid w:val="000F6C87"/>
    <w:rsid w:val="0010304E"/>
    <w:rsid w:val="00103C89"/>
    <w:rsid w:val="00103DF0"/>
    <w:rsid w:val="001043FC"/>
    <w:rsid w:val="001056DE"/>
    <w:rsid w:val="001066DA"/>
    <w:rsid w:val="00106CBC"/>
    <w:rsid w:val="00110AC8"/>
    <w:rsid w:val="00111A09"/>
    <w:rsid w:val="001124C0"/>
    <w:rsid w:val="001145D6"/>
    <w:rsid w:val="001200A5"/>
    <w:rsid w:val="00120EB4"/>
    <w:rsid w:val="00122251"/>
    <w:rsid w:val="00122D03"/>
    <w:rsid w:val="001232AA"/>
    <w:rsid w:val="00125B8A"/>
    <w:rsid w:val="00125BB5"/>
    <w:rsid w:val="0012762D"/>
    <w:rsid w:val="00130143"/>
    <w:rsid w:val="00130BAB"/>
    <w:rsid w:val="00130F07"/>
    <w:rsid w:val="001314DC"/>
    <w:rsid w:val="0013175F"/>
    <w:rsid w:val="001344C6"/>
    <w:rsid w:val="00141AE5"/>
    <w:rsid w:val="00147123"/>
    <w:rsid w:val="001471B4"/>
    <w:rsid w:val="001478CE"/>
    <w:rsid w:val="00150BFB"/>
    <w:rsid w:val="00150F07"/>
    <w:rsid w:val="0015106A"/>
    <w:rsid w:val="001512B4"/>
    <w:rsid w:val="00151693"/>
    <w:rsid w:val="001572E0"/>
    <w:rsid w:val="00160DAF"/>
    <w:rsid w:val="00161A7E"/>
    <w:rsid w:val="001620A5"/>
    <w:rsid w:val="00163C5D"/>
    <w:rsid w:val="0016446D"/>
    <w:rsid w:val="00164E53"/>
    <w:rsid w:val="0016699D"/>
    <w:rsid w:val="00167A1C"/>
    <w:rsid w:val="00171C0C"/>
    <w:rsid w:val="00172A27"/>
    <w:rsid w:val="00172DF4"/>
    <w:rsid w:val="00175159"/>
    <w:rsid w:val="00175719"/>
    <w:rsid w:val="00176208"/>
    <w:rsid w:val="00176C60"/>
    <w:rsid w:val="00180419"/>
    <w:rsid w:val="00181C3A"/>
    <w:rsid w:val="0018211B"/>
    <w:rsid w:val="001821AB"/>
    <w:rsid w:val="00182509"/>
    <w:rsid w:val="001840D3"/>
    <w:rsid w:val="00184F4C"/>
    <w:rsid w:val="00185101"/>
    <w:rsid w:val="0018584D"/>
    <w:rsid w:val="00185CC3"/>
    <w:rsid w:val="0018642C"/>
    <w:rsid w:val="001872EC"/>
    <w:rsid w:val="001900F8"/>
    <w:rsid w:val="00191258"/>
    <w:rsid w:val="00191812"/>
    <w:rsid w:val="00192680"/>
    <w:rsid w:val="00193037"/>
    <w:rsid w:val="00193A2C"/>
    <w:rsid w:val="00196702"/>
    <w:rsid w:val="001974DE"/>
    <w:rsid w:val="001A03CD"/>
    <w:rsid w:val="001A2132"/>
    <w:rsid w:val="001A225D"/>
    <w:rsid w:val="001A288E"/>
    <w:rsid w:val="001A2B90"/>
    <w:rsid w:val="001A2DB3"/>
    <w:rsid w:val="001A2DE1"/>
    <w:rsid w:val="001A3487"/>
    <w:rsid w:val="001A354D"/>
    <w:rsid w:val="001A4823"/>
    <w:rsid w:val="001A5062"/>
    <w:rsid w:val="001B4DE0"/>
    <w:rsid w:val="001B5EB5"/>
    <w:rsid w:val="001B6DC2"/>
    <w:rsid w:val="001C04CF"/>
    <w:rsid w:val="001C11C2"/>
    <w:rsid w:val="001C149C"/>
    <w:rsid w:val="001C1FF6"/>
    <w:rsid w:val="001C21AC"/>
    <w:rsid w:val="001C47BA"/>
    <w:rsid w:val="001C49CC"/>
    <w:rsid w:val="001C59EA"/>
    <w:rsid w:val="001C60E4"/>
    <w:rsid w:val="001C6560"/>
    <w:rsid w:val="001C7733"/>
    <w:rsid w:val="001D11DE"/>
    <w:rsid w:val="001D1E0D"/>
    <w:rsid w:val="001D273A"/>
    <w:rsid w:val="001D406C"/>
    <w:rsid w:val="001D41EE"/>
    <w:rsid w:val="001D4C0A"/>
    <w:rsid w:val="001D6B07"/>
    <w:rsid w:val="001D6E82"/>
    <w:rsid w:val="001E0380"/>
    <w:rsid w:val="001E13B1"/>
    <w:rsid w:val="001E1485"/>
    <w:rsid w:val="001E2EFE"/>
    <w:rsid w:val="001E2F5C"/>
    <w:rsid w:val="001E3DDA"/>
    <w:rsid w:val="001E3F91"/>
    <w:rsid w:val="001E4057"/>
    <w:rsid w:val="001E571C"/>
    <w:rsid w:val="001E5A30"/>
    <w:rsid w:val="001E6979"/>
    <w:rsid w:val="001E7BF0"/>
    <w:rsid w:val="001F2F84"/>
    <w:rsid w:val="001F3A19"/>
    <w:rsid w:val="001F429C"/>
    <w:rsid w:val="001F46AC"/>
    <w:rsid w:val="001F6610"/>
    <w:rsid w:val="001F6B7F"/>
    <w:rsid w:val="0020036A"/>
    <w:rsid w:val="002011BD"/>
    <w:rsid w:val="00203F2B"/>
    <w:rsid w:val="002116E3"/>
    <w:rsid w:val="00212ECA"/>
    <w:rsid w:val="002147FD"/>
    <w:rsid w:val="0021704E"/>
    <w:rsid w:val="00217ADE"/>
    <w:rsid w:val="00217BC8"/>
    <w:rsid w:val="002209B0"/>
    <w:rsid w:val="00220BD0"/>
    <w:rsid w:val="002211F6"/>
    <w:rsid w:val="002219C8"/>
    <w:rsid w:val="00224A0A"/>
    <w:rsid w:val="002273F7"/>
    <w:rsid w:val="0023133F"/>
    <w:rsid w:val="0023165D"/>
    <w:rsid w:val="00231C75"/>
    <w:rsid w:val="0023207A"/>
    <w:rsid w:val="002320AB"/>
    <w:rsid w:val="00233492"/>
    <w:rsid w:val="00234467"/>
    <w:rsid w:val="00234F62"/>
    <w:rsid w:val="00234FAC"/>
    <w:rsid w:val="0023711B"/>
    <w:rsid w:val="00237D8D"/>
    <w:rsid w:val="00240FC0"/>
    <w:rsid w:val="00241D8F"/>
    <w:rsid w:val="00241DA2"/>
    <w:rsid w:val="0024650C"/>
    <w:rsid w:val="00246B91"/>
    <w:rsid w:val="00247B25"/>
    <w:rsid w:val="00247B8A"/>
    <w:rsid w:val="00247FEE"/>
    <w:rsid w:val="00250E7D"/>
    <w:rsid w:val="00251629"/>
    <w:rsid w:val="00252CAF"/>
    <w:rsid w:val="002555F4"/>
    <w:rsid w:val="002565D5"/>
    <w:rsid w:val="002565FA"/>
    <w:rsid w:val="00257054"/>
    <w:rsid w:val="00257E82"/>
    <w:rsid w:val="002608E9"/>
    <w:rsid w:val="002611EE"/>
    <w:rsid w:val="002622C0"/>
    <w:rsid w:val="002638DE"/>
    <w:rsid w:val="0026748A"/>
    <w:rsid w:val="002677DC"/>
    <w:rsid w:val="002678FE"/>
    <w:rsid w:val="00267FE9"/>
    <w:rsid w:val="002707DD"/>
    <w:rsid w:val="00272DEF"/>
    <w:rsid w:val="00273FF4"/>
    <w:rsid w:val="0027482F"/>
    <w:rsid w:val="002771AF"/>
    <w:rsid w:val="00277325"/>
    <w:rsid w:val="002778AE"/>
    <w:rsid w:val="00280980"/>
    <w:rsid w:val="0028269A"/>
    <w:rsid w:val="00282FE5"/>
    <w:rsid w:val="00283590"/>
    <w:rsid w:val="00283F8D"/>
    <w:rsid w:val="00285389"/>
    <w:rsid w:val="00285679"/>
    <w:rsid w:val="00286973"/>
    <w:rsid w:val="00286DE3"/>
    <w:rsid w:val="002870AA"/>
    <w:rsid w:val="0029018A"/>
    <w:rsid w:val="00290950"/>
    <w:rsid w:val="00294E70"/>
    <w:rsid w:val="00295C5E"/>
    <w:rsid w:val="002972F7"/>
    <w:rsid w:val="00297B2C"/>
    <w:rsid w:val="002A147C"/>
    <w:rsid w:val="002A1924"/>
    <w:rsid w:val="002A2FFB"/>
    <w:rsid w:val="002A3218"/>
    <w:rsid w:val="002A3266"/>
    <w:rsid w:val="002A37A1"/>
    <w:rsid w:val="002A48D2"/>
    <w:rsid w:val="002A48F5"/>
    <w:rsid w:val="002A650C"/>
    <w:rsid w:val="002A668C"/>
    <w:rsid w:val="002A692D"/>
    <w:rsid w:val="002A7420"/>
    <w:rsid w:val="002B0DBD"/>
    <w:rsid w:val="002B0F12"/>
    <w:rsid w:val="002B1160"/>
    <w:rsid w:val="002B1308"/>
    <w:rsid w:val="002B1324"/>
    <w:rsid w:val="002B18CF"/>
    <w:rsid w:val="002B1BD9"/>
    <w:rsid w:val="002B4554"/>
    <w:rsid w:val="002B5854"/>
    <w:rsid w:val="002C1421"/>
    <w:rsid w:val="002C2EFC"/>
    <w:rsid w:val="002C30C1"/>
    <w:rsid w:val="002C3242"/>
    <w:rsid w:val="002C3E4D"/>
    <w:rsid w:val="002C4F01"/>
    <w:rsid w:val="002C562D"/>
    <w:rsid w:val="002C72D8"/>
    <w:rsid w:val="002C7B45"/>
    <w:rsid w:val="002C7B7A"/>
    <w:rsid w:val="002C7B87"/>
    <w:rsid w:val="002D01ED"/>
    <w:rsid w:val="002D11FA"/>
    <w:rsid w:val="002D2385"/>
    <w:rsid w:val="002D516F"/>
    <w:rsid w:val="002D67BC"/>
    <w:rsid w:val="002E0DDF"/>
    <w:rsid w:val="002E0EB4"/>
    <w:rsid w:val="002E15B0"/>
    <w:rsid w:val="002E2906"/>
    <w:rsid w:val="002E336B"/>
    <w:rsid w:val="002E5635"/>
    <w:rsid w:val="002E5A29"/>
    <w:rsid w:val="002E5F4E"/>
    <w:rsid w:val="002E64C3"/>
    <w:rsid w:val="002E6A2C"/>
    <w:rsid w:val="002F0216"/>
    <w:rsid w:val="002F1897"/>
    <w:rsid w:val="002F1D8C"/>
    <w:rsid w:val="002F21DA"/>
    <w:rsid w:val="002F6086"/>
    <w:rsid w:val="002F7002"/>
    <w:rsid w:val="002F73E5"/>
    <w:rsid w:val="002F7693"/>
    <w:rsid w:val="002F7889"/>
    <w:rsid w:val="002F7E33"/>
    <w:rsid w:val="003006FC"/>
    <w:rsid w:val="003018DB"/>
    <w:rsid w:val="00301DCC"/>
    <w:rsid w:val="00301F39"/>
    <w:rsid w:val="00303276"/>
    <w:rsid w:val="0030411F"/>
    <w:rsid w:val="003053E1"/>
    <w:rsid w:val="0030542A"/>
    <w:rsid w:val="003067B8"/>
    <w:rsid w:val="003107C1"/>
    <w:rsid w:val="00310BC7"/>
    <w:rsid w:val="003124E9"/>
    <w:rsid w:val="00312C9D"/>
    <w:rsid w:val="00313E64"/>
    <w:rsid w:val="00314B84"/>
    <w:rsid w:val="00316BAD"/>
    <w:rsid w:val="00317009"/>
    <w:rsid w:val="00320AF9"/>
    <w:rsid w:val="00321CF6"/>
    <w:rsid w:val="0032241D"/>
    <w:rsid w:val="0032293F"/>
    <w:rsid w:val="00325135"/>
    <w:rsid w:val="00325926"/>
    <w:rsid w:val="00325952"/>
    <w:rsid w:val="00327A8A"/>
    <w:rsid w:val="00331EA1"/>
    <w:rsid w:val="00332183"/>
    <w:rsid w:val="00333914"/>
    <w:rsid w:val="00334337"/>
    <w:rsid w:val="00335264"/>
    <w:rsid w:val="00336610"/>
    <w:rsid w:val="0033740C"/>
    <w:rsid w:val="003375F9"/>
    <w:rsid w:val="00340599"/>
    <w:rsid w:val="00340C2C"/>
    <w:rsid w:val="003411F3"/>
    <w:rsid w:val="003414DA"/>
    <w:rsid w:val="00343F73"/>
    <w:rsid w:val="00345060"/>
    <w:rsid w:val="00346674"/>
    <w:rsid w:val="003479BF"/>
    <w:rsid w:val="003505EC"/>
    <w:rsid w:val="0035323B"/>
    <w:rsid w:val="003546E5"/>
    <w:rsid w:val="0035624A"/>
    <w:rsid w:val="00356629"/>
    <w:rsid w:val="003609D2"/>
    <w:rsid w:val="003610CC"/>
    <w:rsid w:val="003631DB"/>
    <w:rsid w:val="003631E0"/>
    <w:rsid w:val="00363F22"/>
    <w:rsid w:val="0036424D"/>
    <w:rsid w:val="00364BA1"/>
    <w:rsid w:val="00365C36"/>
    <w:rsid w:val="00367563"/>
    <w:rsid w:val="003676D1"/>
    <w:rsid w:val="00370458"/>
    <w:rsid w:val="003739EF"/>
    <w:rsid w:val="00373B14"/>
    <w:rsid w:val="0037505B"/>
    <w:rsid w:val="00375354"/>
    <w:rsid w:val="00375564"/>
    <w:rsid w:val="00377178"/>
    <w:rsid w:val="00377703"/>
    <w:rsid w:val="00377C75"/>
    <w:rsid w:val="00380F15"/>
    <w:rsid w:val="00380F56"/>
    <w:rsid w:val="00382361"/>
    <w:rsid w:val="00383191"/>
    <w:rsid w:val="00383412"/>
    <w:rsid w:val="00385331"/>
    <w:rsid w:val="00385E94"/>
    <w:rsid w:val="003861D7"/>
    <w:rsid w:val="00386DED"/>
    <w:rsid w:val="0038737D"/>
    <w:rsid w:val="00387848"/>
    <w:rsid w:val="00390EE3"/>
    <w:rsid w:val="003912E7"/>
    <w:rsid w:val="003915FC"/>
    <w:rsid w:val="0039201B"/>
    <w:rsid w:val="00393947"/>
    <w:rsid w:val="00393D09"/>
    <w:rsid w:val="00394E86"/>
    <w:rsid w:val="0039519D"/>
    <w:rsid w:val="003954EB"/>
    <w:rsid w:val="0039600C"/>
    <w:rsid w:val="003960C2"/>
    <w:rsid w:val="00396E95"/>
    <w:rsid w:val="003A0253"/>
    <w:rsid w:val="003A1C86"/>
    <w:rsid w:val="003A2275"/>
    <w:rsid w:val="003A2BEA"/>
    <w:rsid w:val="003A683A"/>
    <w:rsid w:val="003A6A4F"/>
    <w:rsid w:val="003A7088"/>
    <w:rsid w:val="003B00DF"/>
    <w:rsid w:val="003B1275"/>
    <w:rsid w:val="003B1778"/>
    <w:rsid w:val="003B1D1F"/>
    <w:rsid w:val="003B5917"/>
    <w:rsid w:val="003B6377"/>
    <w:rsid w:val="003B665D"/>
    <w:rsid w:val="003B7CEE"/>
    <w:rsid w:val="003B7D6F"/>
    <w:rsid w:val="003C11CB"/>
    <w:rsid w:val="003C1D6A"/>
    <w:rsid w:val="003C23D6"/>
    <w:rsid w:val="003C3114"/>
    <w:rsid w:val="003C5155"/>
    <w:rsid w:val="003C58CD"/>
    <w:rsid w:val="003C5FA6"/>
    <w:rsid w:val="003C6149"/>
    <w:rsid w:val="003C657C"/>
    <w:rsid w:val="003C75F3"/>
    <w:rsid w:val="003C78A3"/>
    <w:rsid w:val="003C7C30"/>
    <w:rsid w:val="003C7E1E"/>
    <w:rsid w:val="003D0A36"/>
    <w:rsid w:val="003D2F52"/>
    <w:rsid w:val="003D4F93"/>
    <w:rsid w:val="003E1234"/>
    <w:rsid w:val="003E1867"/>
    <w:rsid w:val="003E2E53"/>
    <w:rsid w:val="003E3014"/>
    <w:rsid w:val="003E3845"/>
    <w:rsid w:val="003E5729"/>
    <w:rsid w:val="003F0D75"/>
    <w:rsid w:val="003F18F2"/>
    <w:rsid w:val="003F2780"/>
    <w:rsid w:val="003F46E5"/>
    <w:rsid w:val="003F4EE0"/>
    <w:rsid w:val="003F531D"/>
    <w:rsid w:val="003F6955"/>
    <w:rsid w:val="003F7ABD"/>
    <w:rsid w:val="00402153"/>
    <w:rsid w:val="00402418"/>
    <w:rsid w:val="00402F73"/>
    <w:rsid w:val="00402FC1"/>
    <w:rsid w:val="00403C54"/>
    <w:rsid w:val="0040431A"/>
    <w:rsid w:val="0040441B"/>
    <w:rsid w:val="0040513A"/>
    <w:rsid w:val="004106A6"/>
    <w:rsid w:val="00410D96"/>
    <w:rsid w:val="00411DDF"/>
    <w:rsid w:val="00413456"/>
    <w:rsid w:val="0041401B"/>
    <w:rsid w:val="00415591"/>
    <w:rsid w:val="0041736E"/>
    <w:rsid w:val="00420716"/>
    <w:rsid w:val="00425082"/>
    <w:rsid w:val="004263D4"/>
    <w:rsid w:val="00427DCB"/>
    <w:rsid w:val="00430214"/>
    <w:rsid w:val="00430395"/>
    <w:rsid w:val="00431DEB"/>
    <w:rsid w:val="00433DCF"/>
    <w:rsid w:val="0043522F"/>
    <w:rsid w:val="00435D1D"/>
    <w:rsid w:val="00440569"/>
    <w:rsid w:val="00446B29"/>
    <w:rsid w:val="0044747C"/>
    <w:rsid w:val="004504EA"/>
    <w:rsid w:val="00452490"/>
    <w:rsid w:val="00453112"/>
    <w:rsid w:val="0045382F"/>
    <w:rsid w:val="00453F9A"/>
    <w:rsid w:val="00455A8E"/>
    <w:rsid w:val="00456806"/>
    <w:rsid w:val="0045797E"/>
    <w:rsid w:val="00457CF1"/>
    <w:rsid w:val="00460D6D"/>
    <w:rsid w:val="00461F56"/>
    <w:rsid w:val="00462818"/>
    <w:rsid w:val="00463BED"/>
    <w:rsid w:val="00464AFB"/>
    <w:rsid w:val="004655B7"/>
    <w:rsid w:val="004676DD"/>
    <w:rsid w:val="004679DD"/>
    <w:rsid w:val="0047134F"/>
    <w:rsid w:val="00471E91"/>
    <w:rsid w:val="00473D4A"/>
    <w:rsid w:val="00474533"/>
    <w:rsid w:val="00474675"/>
    <w:rsid w:val="0047470C"/>
    <w:rsid w:val="00475C07"/>
    <w:rsid w:val="004763D1"/>
    <w:rsid w:val="00480338"/>
    <w:rsid w:val="00485AAC"/>
    <w:rsid w:val="004860E8"/>
    <w:rsid w:val="004922F9"/>
    <w:rsid w:val="004925B2"/>
    <w:rsid w:val="00493686"/>
    <w:rsid w:val="00494358"/>
    <w:rsid w:val="004962D7"/>
    <w:rsid w:val="0049673E"/>
    <w:rsid w:val="004970ED"/>
    <w:rsid w:val="0049775C"/>
    <w:rsid w:val="00497AE5"/>
    <w:rsid w:val="004A061D"/>
    <w:rsid w:val="004A11F8"/>
    <w:rsid w:val="004A16D1"/>
    <w:rsid w:val="004A1F17"/>
    <w:rsid w:val="004A22D6"/>
    <w:rsid w:val="004A2ED4"/>
    <w:rsid w:val="004A35F9"/>
    <w:rsid w:val="004A4642"/>
    <w:rsid w:val="004A52E0"/>
    <w:rsid w:val="004A5318"/>
    <w:rsid w:val="004A61E7"/>
    <w:rsid w:val="004A6D32"/>
    <w:rsid w:val="004B03A7"/>
    <w:rsid w:val="004B1BA5"/>
    <w:rsid w:val="004B24C1"/>
    <w:rsid w:val="004B4C7B"/>
    <w:rsid w:val="004B5556"/>
    <w:rsid w:val="004B6696"/>
    <w:rsid w:val="004B6781"/>
    <w:rsid w:val="004C0062"/>
    <w:rsid w:val="004C1FA5"/>
    <w:rsid w:val="004C292F"/>
    <w:rsid w:val="004C5D65"/>
    <w:rsid w:val="004C71CB"/>
    <w:rsid w:val="004D124A"/>
    <w:rsid w:val="004D6006"/>
    <w:rsid w:val="004D6FB7"/>
    <w:rsid w:val="004E092D"/>
    <w:rsid w:val="004E1B59"/>
    <w:rsid w:val="004E2580"/>
    <w:rsid w:val="004E27C7"/>
    <w:rsid w:val="004E3B98"/>
    <w:rsid w:val="004E4699"/>
    <w:rsid w:val="004E4DDA"/>
    <w:rsid w:val="004E6843"/>
    <w:rsid w:val="004E6B8B"/>
    <w:rsid w:val="004E7D10"/>
    <w:rsid w:val="004F0A1E"/>
    <w:rsid w:val="004F28FF"/>
    <w:rsid w:val="004F350A"/>
    <w:rsid w:val="004F6E8C"/>
    <w:rsid w:val="004F766A"/>
    <w:rsid w:val="005001F0"/>
    <w:rsid w:val="00500D8B"/>
    <w:rsid w:val="005011B4"/>
    <w:rsid w:val="00503708"/>
    <w:rsid w:val="00503E3A"/>
    <w:rsid w:val="0050612B"/>
    <w:rsid w:val="00506236"/>
    <w:rsid w:val="005064AC"/>
    <w:rsid w:val="00507DF7"/>
    <w:rsid w:val="00510280"/>
    <w:rsid w:val="005128A4"/>
    <w:rsid w:val="005133A5"/>
    <w:rsid w:val="00513D73"/>
    <w:rsid w:val="00514A43"/>
    <w:rsid w:val="0051515E"/>
    <w:rsid w:val="0051529E"/>
    <w:rsid w:val="005172FD"/>
    <w:rsid w:val="005174E5"/>
    <w:rsid w:val="005203E3"/>
    <w:rsid w:val="00522393"/>
    <w:rsid w:val="00522620"/>
    <w:rsid w:val="00522B1E"/>
    <w:rsid w:val="00524877"/>
    <w:rsid w:val="005255AA"/>
    <w:rsid w:val="00525656"/>
    <w:rsid w:val="00527C3A"/>
    <w:rsid w:val="00530968"/>
    <w:rsid w:val="0053191C"/>
    <w:rsid w:val="00532C55"/>
    <w:rsid w:val="00532DC2"/>
    <w:rsid w:val="00534C02"/>
    <w:rsid w:val="005356A8"/>
    <w:rsid w:val="00536542"/>
    <w:rsid w:val="00540CC3"/>
    <w:rsid w:val="005421AF"/>
    <w:rsid w:val="0054253C"/>
    <w:rsid w:val="0054264B"/>
    <w:rsid w:val="005427D4"/>
    <w:rsid w:val="00543786"/>
    <w:rsid w:val="00545238"/>
    <w:rsid w:val="005464A0"/>
    <w:rsid w:val="00551A43"/>
    <w:rsid w:val="00552896"/>
    <w:rsid w:val="00552CAA"/>
    <w:rsid w:val="00552D98"/>
    <w:rsid w:val="005533D7"/>
    <w:rsid w:val="00554845"/>
    <w:rsid w:val="005556A7"/>
    <w:rsid w:val="00555912"/>
    <w:rsid w:val="005575E1"/>
    <w:rsid w:val="00557CAA"/>
    <w:rsid w:val="00560C4C"/>
    <w:rsid w:val="00561802"/>
    <w:rsid w:val="00562505"/>
    <w:rsid w:val="005638DB"/>
    <w:rsid w:val="00564BEC"/>
    <w:rsid w:val="0056716F"/>
    <w:rsid w:val="005703DE"/>
    <w:rsid w:val="005712FF"/>
    <w:rsid w:val="00572C6E"/>
    <w:rsid w:val="00573FA1"/>
    <w:rsid w:val="005754D6"/>
    <w:rsid w:val="00576D53"/>
    <w:rsid w:val="005771D8"/>
    <w:rsid w:val="005774CF"/>
    <w:rsid w:val="00580446"/>
    <w:rsid w:val="00583039"/>
    <w:rsid w:val="0058464E"/>
    <w:rsid w:val="0058611E"/>
    <w:rsid w:val="0058682D"/>
    <w:rsid w:val="005918B4"/>
    <w:rsid w:val="00591B20"/>
    <w:rsid w:val="00591E03"/>
    <w:rsid w:val="00591FA9"/>
    <w:rsid w:val="005933F2"/>
    <w:rsid w:val="00594910"/>
    <w:rsid w:val="00594B80"/>
    <w:rsid w:val="00595BBA"/>
    <w:rsid w:val="00596831"/>
    <w:rsid w:val="00596996"/>
    <w:rsid w:val="005A01CB"/>
    <w:rsid w:val="005A2542"/>
    <w:rsid w:val="005A2898"/>
    <w:rsid w:val="005A343C"/>
    <w:rsid w:val="005A37E1"/>
    <w:rsid w:val="005A40C0"/>
    <w:rsid w:val="005A4A08"/>
    <w:rsid w:val="005A58B8"/>
    <w:rsid w:val="005A58FF"/>
    <w:rsid w:val="005A5EAF"/>
    <w:rsid w:val="005A64C0"/>
    <w:rsid w:val="005A7408"/>
    <w:rsid w:val="005A761A"/>
    <w:rsid w:val="005B22DC"/>
    <w:rsid w:val="005B2998"/>
    <w:rsid w:val="005B3C11"/>
    <w:rsid w:val="005B3C25"/>
    <w:rsid w:val="005B3E04"/>
    <w:rsid w:val="005B4C1C"/>
    <w:rsid w:val="005B5393"/>
    <w:rsid w:val="005B5C1C"/>
    <w:rsid w:val="005B5D5F"/>
    <w:rsid w:val="005B64E6"/>
    <w:rsid w:val="005C04BA"/>
    <w:rsid w:val="005C1106"/>
    <w:rsid w:val="005C1C28"/>
    <w:rsid w:val="005C4C6B"/>
    <w:rsid w:val="005C6DB5"/>
    <w:rsid w:val="005C6DC0"/>
    <w:rsid w:val="005C6E38"/>
    <w:rsid w:val="005D43BD"/>
    <w:rsid w:val="005D4493"/>
    <w:rsid w:val="005D6BB0"/>
    <w:rsid w:val="005D6F4D"/>
    <w:rsid w:val="005D7589"/>
    <w:rsid w:val="005D77E7"/>
    <w:rsid w:val="005E003C"/>
    <w:rsid w:val="005E088D"/>
    <w:rsid w:val="005E11F5"/>
    <w:rsid w:val="005E19B9"/>
    <w:rsid w:val="005E19E7"/>
    <w:rsid w:val="005E1D67"/>
    <w:rsid w:val="005E1DEB"/>
    <w:rsid w:val="005E77CF"/>
    <w:rsid w:val="005F171C"/>
    <w:rsid w:val="005F2BF3"/>
    <w:rsid w:val="005F31C0"/>
    <w:rsid w:val="005F3950"/>
    <w:rsid w:val="005F4D13"/>
    <w:rsid w:val="006010F0"/>
    <w:rsid w:val="00601B16"/>
    <w:rsid w:val="00602232"/>
    <w:rsid w:val="0060236A"/>
    <w:rsid w:val="00602B0F"/>
    <w:rsid w:val="00603AAD"/>
    <w:rsid w:val="00603CDD"/>
    <w:rsid w:val="0060408D"/>
    <w:rsid w:val="006048D3"/>
    <w:rsid w:val="00605229"/>
    <w:rsid w:val="006072F5"/>
    <w:rsid w:val="00614042"/>
    <w:rsid w:val="00614918"/>
    <w:rsid w:val="0061545E"/>
    <w:rsid w:val="0061716C"/>
    <w:rsid w:val="00617380"/>
    <w:rsid w:val="00621138"/>
    <w:rsid w:val="00621392"/>
    <w:rsid w:val="0062238C"/>
    <w:rsid w:val="006225FE"/>
    <w:rsid w:val="00622ADC"/>
    <w:rsid w:val="006243A1"/>
    <w:rsid w:val="006243EE"/>
    <w:rsid w:val="006265D9"/>
    <w:rsid w:val="0063140B"/>
    <w:rsid w:val="0063264E"/>
    <w:rsid w:val="00632E56"/>
    <w:rsid w:val="00633210"/>
    <w:rsid w:val="006334B3"/>
    <w:rsid w:val="00635CBA"/>
    <w:rsid w:val="006400A3"/>
    <w:rsid w:val="00641374"/>
    <w:rsid w:val="00642991"/>
    <w:rsid w:val="006432F2"/>
    <w:rsid w:val="0064338B"/>
    <w:rsid w:val="006433D0"/>
    <w:rsid w:val="006457E1"/>
    <w:rsid w:val="00646542"/>
    <w:rsid w:val="006504F4"/>
    <w:rsid w:val="00650531"/>
    <w:rsid w:val="00651A84"/>
    <w:rsid w:val="00654BC9"/>
    <w:rsid w:val="006552FD"/>
    <w:rsid w:val="0065746A"/>
    <w:rsid w:val="0066121F"/>
    <w:rsid w:val="00661B4A"/>
    <w:rsid w:val="00662173"/>
    <w:rsid w:val="00663AF3"/>
    <w:rsid w:val="00664E31"/>
    <w:rsid w:val="00666B6C"/>
    <w:rsid w:val="00667A98"/>
    <w:rsid w:val="0067124A"/>
    <w:rsid w:val="00672055"/>
    <w:rsid w:val="006721B9"/>
    <w:rsid w:val="00672E55"/>
    <w:rsid w:val="00673ACC"/>
    <w:rsid w:val="00674483"/>
    <w:rsid w:val="00674C6B"/>
    <w:rsid w:val="00674EF6"/>
    <w:rsid w:val="006752E2"/>
    <w:rsid w:val="006761F5"/>
    <w:rsid w:val="006765E4"/>
    <w:rsid w:val="00680A7D"/>
    <w:rsid w:val="0068184B"/>
    <w:rsid w:val="00682682"/>
    <w:rsid w:val="00682702"/>
    <w:rsid w:val="006855A7"/>
    <w:rsid w:val="006858C3"/>
    <w:rsid w:val="00685F70"/>
    <w:rsid w:val="00687143"/>
    <w:rsid w:val="00687F08"/>
    <w:rsid w:val="00692368"/>
    <w:rsid w:val="00693427"/>
    <w:rsid w:val="00694FFA"/>
    <w:rsid w:val="006975EB"/>
    <w:rsid w:val="006A0311"/>
    <w:rsid w:val="006A07AC"/>
    <w:rsid w:val="006A0ABC"/>
    <w:rsid w:val="006A2EBC"/>
    <w:rsid w:val="006A461B"/>
    <w:rsid w:val="006A5EA0"/>
    <w:rsid w:val="006A5FDA"/>
    <w:rsid w:val="006A67C7"/>
    <w:rsid w:val="006A783B"/>
    <w:rsid w:val="006A7B33"/>
    <w:rsid w:val="006B12AD"/>
    <w:rsid w:val="006B32BF"/>
    <w:rsid w:val="006B3DF0"/>
    <w:rsid w:val="006B4E13"/>
    <w:rsid w:val="006B6273"/>
    <w:rsid w:val="006B7483"/>
    <w:rsid w:val="006B75DD"/>
    <w:rsid w:val="006C2DC2"/>
    <w:rsid w:val="006C318F"/>
    <w:rsid w:val="006C46E4"/>
    <w:rsid w:val="006C508D"/>
    <w:rsid w:val="006C67E0"/>
    <w:rsid w:val="006C6F15"/>
    <w:rsid w:val="006C7ABA"/>
    <w:rsid w:val="006D0CC7"/>
    <w:rsid w:val="006D0D60"/>
    <w:rsid w:val="006D1122"/>
    <w:rsid w:val="006D3C00"/>
    <w:rsid w:val="006D4B45"/>
    <w:rsid w:val="006D4FE2"/>
    <w:rsid w:val="006D5946"/>
    <w:rsid w:val="006D6E00"/>
    <w:rsid w:val="006E0766"/>
    <w:rsid w:val="006E22D9"/>
    <w:rsid w:val="006E2F24"/>
    <w:rsid w:val="006E3003"/>
    <w:rsid w:val="006E3675"/>
    <w:rsid w:val="006E3B64"/>
    <w:rsid w:val="006E3C8C"/>
    <w:rsid w:val="006E4A7F"/>
    <w:rsid w:val="006F0B25"/>
    <w:rsid w:val="006F116A"/>
    <w:rsid w:val="006F159A"/>
    <w:rsid w:val="006F2FA8"/>
    <w:rsid w:val="006F2FC0"/>
    <w:rsid w:val="006F3C41"/>
    <w:rsid w:val="006F55D4"/>
    <w:rsid w:val="006F5861"/>
    <w:rsid w:val="006F7810"/>
    <w:rsid w:val="006F7872"/>
    <w:rsid w:val="0070155B"/>
    <w:rsid w:val="00702E8E"/>
    <w:rsid w:val="00703111"/>
    <w:rsid w:val="00703970"/>
    <w:rsid w:val="00704CEA"/>
    <w:rsid w:val="00704DF6"/>
    <w:rsid w:val="00704E1E"/>
    <w:rsid w:val="0070651C"/>
    <w:rsid w:val="00706A0D"/>
    <w:rsid w:val="00711888"/>
    <w:rsid w:val="007118A4"/>
    <w:rsid w:val="007127B6"/>
    <w:rsid w:val="007132A3"/>
    <w:rsid w:val="00714A12"/>
    <w:rsid w:val="00714D75"/>
    <w:rsid w:val="00716421"/>
    <w:rsid w:val="0071652E"/>
    <w:rsid w:val="0071679C"/>
    <w:rsid w:val="00716C76"/>
    <w:rsid w:val="00717771"/>
    <w:rsid w:val="00717AFE"/>
    <w:rsid w:val="0072028A"/>
    <w:rsid w:val="007226D8"/>
    <w:rsid w:val="00722A9D"/>
    <w:rsid w:val="00724EFB"/>
    <w:rsid w:val="00725387"/>
    <w:rsid w:val="00725D63"/>
    <w:rsid w:val="007265C6"/>
    <w:rsid w:val="007325BC"/>
    <w:rsid w:val="00733E6C"/>
    <w:rsid w:val="00736440"/>
    <w:rsid w:val="00736E8A"/>
    <w:rsid w:val="0074065C"/>
    <w:rsid w:val="00741451"/>
    <w:rsid w:val="007419C3"/>
    <w:rsid w:val="00742D30"/>
    <w:rsid w:val="007467A7"/>
    <w:rsid w:val="007469DD"/>
    <w:rsid w:val="00746B84"/>
    <w:rsid w:val="0074741B"/>
    <w:rsid w:val="0074759E"/>
    <w:rsid w:val="007478EA"/>
    <w:rsid w:val="007508AB"/>
    <w:rsid w:val="00750928"/>
    <w:rsid w:val="007525E6"/>
    <w:rsid w:val="0075415C"/>
    <w:rsid w:val="007547E0"/>
    <w:rsid w:val="007561FC"/>
    <w:rsid w:val="0076040E"/>
    <w:rsid w:val="0076109F"/>
    <w:rsid w:val="00763502"/>
    <w:rsid w:val="00764224"/>
    <w:rsid w:val="00765DA3"/>
    <w:rsid w:val="0077165C"/>
    <w:rsid w:val="007733C5"/>
    <w:rsid w:val="00774FA6"/>
    <w:rsid w:val="0077637E"/>
    <w:rsid w:val="00776413"/>
    <w:rsid w:val="007778A7"/>
    <w:rsid w:val="00781812"/>
    <w:rsid w:val="00783DC4"/>
    <w:rsid w:val="0078416F"/>
    <w:rsid w:val="00784A07"/>
    <w:rsid w:val="00784EEF"/>
    <w:rsid w:val="00785387"/>
    <w:rsid w:val="0078752D"/>
    <w:rsid w:val="00790E21"/>
    <w:rsid w:val="007913AB"/>
    <w:rsid w:val="007914F7"/>
    <w:rsid w:val="0079291F"/>
    <w:rsid w:val="00792DBD"/>
    <w:rsid w:val="00794478"/>
    <w:rsid w:val="00797161"/>
    <w:rsid w:val="007979FC"/>
    <w:rsid w:val="00797F38"/>
    <w:rsid w:val="007A54A2"/>
    <w:rsid w:val="007A5F32"/>
    <w:rsid w:val="007A7680"/>
    <w:rsid w:val="007A7B30"/>
    <w:rsid w:val="007A7EC0"/>
    <w:rsid w:val="007B0B83"/>
    <w:rsid w:val="007B108D"/>
    <w:rsid w:val="007B1368"/>
    <w:rsid w:val="007B1625"/>
    <w:rsid w:val="007B2431"/>
    <w:rsid w:val="007B35EB"/>
    <w:rsid w:val="007B3732"/>
    <w:rsid w:val="007B6071"/>
    <w:rsid w:val="007B706E"/>
    <w:rsid w:val="007B71EB"/>
    <w:rsid w:val="007C0018"/>
    <w:rsid w:val="007C0C91"/>
    <w:rsid w:val="007C1414"/>
    <w:rsid w:val="007C1E6D"/>
    <w:rsid w:val="007C6205"/>
    <w:rsid w:val="007C686A"/>
    <w:rsid w:val="007C728E"/>
    <w:rsid w:val="007C79CC"/>
    <w:rsid w:val="007D03AE"/>
    <w:rsid w:val="007D211D"/>
    <w:rsid w:val="007D2C53"/>
    <w:rsid w:val="007D351D"/>
    <w:rsid w:val="007D3D60"/>
    <w:rsid w:val="007D3FF5"/>
    <w:rsid w:val="007D4C25"/>
    <w:rsid w:val="007E0058"/>
    <w:rsid w:val="007E0ABC"/>
    <w:rsid w:val="007E18F2"/>
    <w:rsid w:val="007E1980"/>
    <w:rsid w:val="007E24DE"/>
    <w:rsid w:val="007E28A5"/>
    <w:rsid w:val="007E3785"/>
    <w:rsid w:val="007E4B76"/>
    <w:rsid w:val="007E5BD5"/>
    <w:rsid w:val="007E5EA8"/>
    <w:rsid w:val="007F0CF1"/>
    <w:rsid w:val="007F12A5"/>
    <w:rsid w:val="007F223B"/>
    <w:rsid w:val="007F3368"/>
    <w:rsid w:val="007F4150"/>
    <w:rsid w:val="007F4B0C"/>
    <w:rsid w:val="007F4CF1"/>
    <w:rsid w:val="007F5A69"/>
    <w:rsid w:val="007F758D"/>
    <w:rsid w:val="007F75F9"/>
    <w:rsid w:val="007F7D52"/>
    <w:rsid w:val="0080218E"/>
    <w:rsid w:val="008051FE"/>
    <w:rsid w:val="0080654C"/>
    <w:rsid w:val="008071C6"/>
    <w:rsid w:val="008077FF"/>
    <w:rsid w:val="008079FA"/>
    <w:rsid w:val="0081010C"/>
    <w:rsid w:val="008108B3"/>
    <w:rsid w:val="00812AAA"/>
    <w:rsid w:val="00813137"/>
    <w:rsid w:val="00813C95"/>
    <w:rsid w:val="00813D32"/>
    <w:rsid w:val="00814ED1"/>
    <w:rsid w:val="0081581E"/>
    <w:rsid w:val="0081670D"/>
    <w:rsid w:val="00817A00"/>
    <w:rsid w:val="00821231"/>
    <w:rsid w:val="00821D30"/>
    <w:rsid w:val="00822BD4"/>
    <w:rsid w:val="00823EE0"/>
    <w:rsid w:val="00823F3D"/>
    <w:rsid w:val="00827AC3"/>
    <w:rsid w:val="00827C57"/>
    <w:rsid w:val="008317FE"/>
    <w:rsid w:val="008350F2"/>
    <w:rsid w:val="00835DB3"/>
    <w:rsid w:val="0083617B"/>
    <w:rsid w:val="00836F32"/>
    <w:rsid w:val="008371BD"/>
    <w:rsid w:val="008408CD"/>
    <w:rsid w:val="00841DAE"/>
    <w:rsid w:val="0084326C"/>
    <w:rsid w:val="00843304"/>
    <w:rsid w:val="00844C40"/>
    <w:rsid w:val="0084794F"/>
    <w:rsid w:val="008504A8"/>
    <w:rsid w:val="0085075C"/>
    <w:rsid w:val="00850C3D"/>
    <w:rsid w:val="00851FDE"/>
    <w:rsid w:val="0085282E"/>
    <w:rsid w:val="008539E5"/>
    <w:rsid w:val="00854788"/>
    <w:rsid w:val="00854EF8"/>
    <w:rsid w:val="00857106"/>
    <w:rsid w:val="00861364"/>
    <w:rsid w:val="00861F15"/>
    <w:rsid w:val="00862F57"/>
    <w:rsid w:val="0086391C"/>
    <w:rsid w:val="0086584E"/>
    <w:rsid w:val="0086758E"/>
    <w:rsid w:val="00870534"/>
    <w:rsid w:val="00870581"/>
    <w:rsid w:val="00870A5E"/>
    <w:rsid w:val="00870BED"/>
    <w:rsid w:val="0087198C"/>
    <w:rsid w:val="00872C1F"/>
    <w:rsid w:val="00873138"/>
    <w:rsid w:val="008738DF"/>
    <w:rsid w:val="00873B42"/>
    <w:rsid w:val="00875A19"/>
    <w:rsid w:val="008760C1"/>
    <w:rsid w:val="00877219"/>
    <w:rsid w:val="008808B8"/>
    <w:rsid w:val="0088165A"/>
    <w:rsid w:val="00882C87"/>
    <w:rsid w:val="00883A9A"/>
    <w:rsid w:val="00883F6B"/>
    <w:rsid w:val="008856D8"/>
    <w:rsid w:val="00885B24"/>
    <w:rsid w:val="008863BF"/>
    <w:rsid w:val="008863CA"/>
    <w:rsid w:val="00886660"/>
    <w:rsid w:val="0088772E"/>
    <w:rsid w:val="0089082D"/>
    <w:rsid w:val="00892E82"/>
    <w:rsid w:val="00896A30"/>
    <w:rsid w:val="008970FF"/>
    <w:rsid w:val="008A0665"/>
    <w:rsid w:val="008A3D7D"/>
    <w:rsid w:val="008A4C10"/>
    <w:rsid w:val="008A54F8"/>
    <w:rsid w:val="008A5FC2"/>
    <w:rsid w:val="008A62D6"/>
    <w:rsid w:val="008A6AC0"/>
    <w:rsid w:val="008A6B89"/>
    <w:rsid w:val="008B1844"/>
    <w:rsid w:val="008B29AC"/>
    <w:rsid w:val="008B40DD"/>
    <w:rsid w:val="008B4608"/>
    <w:rsid w:val="008B6B3C"/>
    <w:rsid w:val="008B756B"/>
    <w:rsid w:val="008C1B58"/>
    <w:rsid w:val="008C35C7"/>
    <w:rsid w:val="008C39AE"/>
    <w:rsid w:val="008C488C"/>
    <w:rsid w:val="008C4A5B"/>
    <w:rsid w:val="008C559D"/>
    <w:rsid w:val="008C56FD"/>
    <w:rsid w:val="008C590D"/>
    <w:rsid w:val="008C5C7D"/>
    <w:rsid w:val="008C7242"/>
    <w:rsid w:val="008C7E5A"/>
    <w:rsid w:val="008D489F"/>
    <w:rsid w:val="008D49FE"/>
    <w:rsid w:val="008D715C"/>
    <w:rsid w:val="008E031B"/>
    <w:rsid w:val="008E2385"/>
    <w:rsid w:val="008E23B4"/>
    <w:rsid w:val="008E3A02"/>
    <w:rsid w:val="008E7029"/>
    <w:rsid w:val="008E7EF6"/>
    <w:rsid w:val="008F1F98"/>
    <w:rsid w:val="008F43E4"/>
    <w:rsid w:val="008F6758"/>
    <w:rsid w:val="00903D4E"/>
    <w:rsid w:val="009040DD"/>
    <w:rsid w:val="009054DB"/>
    <w:rsid w:val="00905B47"/>
    <w:rsid w:val="009061B6"/>
    <w:rsid w:val="009067A4"/>
    <w:rsid w:val="0090724B"/>
    <w:rsid w:val="00907DD0"/>
    <w:rsid w:val="0091331C"/>
    <w:rsid w:val="0091372D"/>
    <w:rsid w:val="00914F6E"/>
    <w:rsid w:val="009174B8"/>
    <w:rsid w:val="00920646"/>
    <w:rsid w:val="009207F9"/>
    <w:rsid w:val="00920D4F"/>
    <w:rsid w:val="00922084"/>
    <w:rsid w:val="009253E0"/>
    <w:rsid w:val="009267F3"/>
    <w:rsid w:val="00926D2C"/>
    <w:rsid w:val="0092717C"/>
    <w:rsid w:val="009279DE"/>
    <w:rsid w:val="00930116"/>
    <w:rsid w:val="00931343"/>
    <w:rsid w:val="009329C1"/>
    <w:rsid w:val="0093433D"/>
    <w:rsid w:val="00934AFB"/>
    <w:rsid w:val="009414D2"/>
    <w:rsid w:val="0094212C"/>
    <w:rsid w:val="00942916"/>
    <w:rsid w:val="00942CDD"/>
    <w:rsid w:val="009442B4"/>
    <w:rsid w:val="009447F7"/>
    <w:rsid w:val="00945C58"/>
    <w:rsid w:val="00950227"/>
    <w:rsid w:val="009513F9"/>
    <w:rsid w:val="00951E8A"/>
    <w:rsid w:val="0095252F"/>
    <w:rsid w:val="00953181"/>
    <w:rsid w:val="0095429C"/>
    <w:rsid w:val="00954386"/>
    <w:rsid w:val="00954689"/>
    <w:rsid w:val="009557CF"/>
    <w:rsid w:val="00955BB2"/>
    <w:rsid w:val="009574B2"/>
    <w:rsid w:val="009609A0"/>
    <w:rsid w:val="009617C9"/>
    <w:rsid w:val="00961C93"/>
    <w:rsid w:val="00961FB7"/>
    <w:rsid w:val="0096318F"/>
    <w:rsid w:val="00963C27"/>
    <w:rsid w:val="00965071"/>
    <w:rsid w:val="00965157"/>
    <w:rsid w:val="00965324"/>
    <w:rsid w:val="00966337"/>
    <w:rsid w:val="00967657"/>
    <w:rsid w:val="00967DBB"/>
    <w:rsid w:val="0097091E"/>
    <w:rsid w:val="00970D3B"/>
    <w:rsid w:val="00971337"/>
    <w:rsid w:val="00971A35"/>
    <w:rsid w:val="00973BE4"/>
    <w:rsid w:val="00974BE3"/>
    <w:rsid w:val="00975D85"/>
    <w:rsid w:val="009760D3"/>
    <w:rsid w:val="00976701"/>
    <w:rsid w:val="00976C2B"/>
    <w:rsid w:val="00977132"/>
    <w:rsid w:val="00981A4B"/>
    <w:rsid w:val="00982501"/>
    <w:rsid w:val="009825E1"/>
    <w:rsid w:val="00983B9A"/>
    <w:rsid w:val="00985BDC"/>
    <w:rsid w:val="009860C2"/>
    <w:rsid w:val="009877D3"/>
    <w:rsid w:val="00987C2A"/>
    <w:rsid w:val="00990D71"/>
    <w:rsid w:val="00992197"/>
    <w:rsid w:val="0099290C"/>
    <w:rsid w:val="00993352"/>
    <w:rsid w:val="00994E8F"/>
    <w:rsid w:val="009951DC"/>
    <w:rsid w:val="009954FB"/>
    <w:rsid w:val="009959BB"/>
    <w:rsid w:val="00997158"/>
    <w:rsid w:val="00997F2D"/>
    <w:rsid w:val="009A0BBD"/>
    <w:rsid w:val="009A3A7C"/>
    <w:rsid w:val="009A4784"/>
    <w:rsid w:val="009A5AFA"/>
    <w:rsid w:val="009B1659"/>
    <w:rsid w:val="009B28F1"/>
    <w:rsid w:val="009B2ADB"/>
    <w:rsid w:val="009B428E"/>
    <w:rsid w:val="009B603A"/>
    <w:rsid w:val="009B6424"/>
    <w:rsid w:val="009B6B38"/>
    <w:rsid w:val="009B796A"/>
    <w:rsid w:val="009B7FD7"/>
    <w:rsid w:val="009C000B"/>
    <w:rsid w:val="009C1578"/>
    <w:rsid w:val="009C1B1A"/>
    <w:rsid w:val="009C1FBA"/>
    <w:rsid w:val="009C20D9"/>
    <w:rsid w:val="009C282E"/>
    <w:rsid w:val="009C2D0E"/>
    <w:rsid w:val="009C357C"/>
    <w:rsid w:val="009C3DAC"/>
    <w:rsid w:val="009C403A"/>
    <w:rsid w:val="009C42E0"/>
    <w:rsid w:val="009C6530"/>
    <w:rsid w:val="009C6AAA"/>
    <w:rsid w:val="009C6C3F"/>
    <w:rsid w:val="009C7EFD"/>
    <w:rsid w:val="009D0D7F"/>
    <w:rsid w:val="009D13E2"/>
    <w:rsid w:val="009D24DC"/>
    <w:rsid w:val="009D2AA8"/>
    <w:rsid w:val="009D2C06"/>
    <w:rsid w:val="009D4524"/>
    <w:rsid w:val="009D48CE"/>
    <w:rsid w:val="009D5362"/>
    <w:rsid w:val="009D5E84"/>
    <w:rsid w:val="009D6AC3"/>
    <w:rsid w:val="009E1415"/>
    <w:rsid w:val="009E198A"/>
    <w:rsid w:val="009E2218"/>
    <w:rsid w:val="009E285D"/>
    <w:rsid w:val="009E3638"/>
    <w:rsid w:val="009E3A08"/>
    <w:rsid w:val="009E3B46"/>
    <w:rsid w:val="009E3F63"/>
    <w:rsid w:val="009E4763"/>
    <w:rsid w:val="009E4AF2"/>
    <w:rsid w:val="009E5B25"/>
    <w:rsid w:val="009E5D84"/>
    <w:rsid w:val="009E606A"/>
    <w:rsid w:val="009E6116"/>
    <w:rsid w:val="009E684D"/>
    <w:rsid w:val="009E79DF"/>
    <w:rsid w:val="009F0F69"/>
    <w:rsid w:val="009F2B68"/>
    <w:rsid w:val="009F2EF0"/>
    <w:rsid w:val="009F455D"/>
    <w:rsid w:val="009F5C4D"/>
    <w:rsid w:val="009F600D"/>
    <w:rsid w:val="009F68EC"/>
    <w:rsid w:val="009F7E88"/>
    <w:rsid w:val="00A0140F"/>
    <w:rsid w:val="00A02386"/>
    <w:rsid w:val="00A02E43"/>
    <w:rsid w:val="00A0376C"/>
    <w:rsid w:val="00A046F3"/>
    <w:rsid w:val="00A05BAA"/>
    <w:rsid w:val="00A065F9"/>
    <w:rsid w:val="00A07F34"/>
    <w:rsid w:val="00A1319E"/>
    <w:rsid w:val="00A14F0C"/>
    <w:rsid w:val="00A154B0"/>
    <w:rsid w:val="00A159E8"/>
    <w:rsid w:val="00A21214"/>
    <w:rsid w:val="00A22154"/>
    <w:rsid w:val="00A22EA4"/>
    <w:rsid w:val="00A2300A"/>
    <w:rsid w:val="00A238FD"/>
    <w:rsid w:val="00A240D4"/>
    <w:rsid w:val="00A2497D"/>
    <w:rsid w:val="00A24AB5"/>
    <w:rsid w:val="00A259A6"/>
    <w:rsid w:val="00A25C38"/>
    <w:rsid w:val="00A2666A"/>
    <w:rsid w:val="00A26D64"/>
    <w:rsid w:val="00A27109"/>
    <w:rsid w:val="00A31162"/>
    <w:rsid w:val="00A31E2F"/>
    <w:rsid w:val="00A33247"/>
    <w:rsid w:val="00A33C5B"/>
    <w:rsid w:val="00A33CD4"/>
    <w:rsid w:val="00A33F72"/>
    <w:rsid w:val="00A3420E"/>
    <w:rsid w:val="00A3562E"/>
    <w:rsid w:val="00A36BBE"/>
    <w:rsid w:val="00A37188"/>
    <w:rsid w:val="00A371A5"/>
    <w:rsid w:val="00A40F16"/>
    <w:rsid w:val="00A41E5B"/>
    <w:rsid w:val="00A42763"/>
    <w:rsid w:val="00A4307A"/>
    <w:rsid w:val="00A44A80"/>
    <w:rsid w:val="00A44B93"/>
    <w:rsid w:val="00A4603E"/>
    <w:rsid w:val="00A4671B"/>
    <w:rsid w:val="00A46B1C"/>
    <w:rsid w:val="00A46C0D"/>
    <w:rsid w:val="00A473A3"/>
    <w:rsid w:val="00A479F9"/>
    <w:rsid w:val="00A47EBB"/>
    <w:rsid w:val="00A5199F"/>
    <w:rsid w:val="00A51CDD"/>
    <w:rsid w:val="00A5285E"/>
    <w:rsid w:val="00A539CE"/>
    <w:rsid w:val="00A542A4"/>
    <w:rsid w:val="00A55213"/>
    <w:rsid w:val="00A56450"/>
    <w:rsid w:val="00A57683"/>
    <w:rsid w:val="00A6070D"/>
    <w:rsid w:val="00A60C23"/>
    <w:rsid w:val="00A61B3D"/>
    <w:rsid w:val="00A61FBA"/>
    <w:rsid w:val="00A63A0F"/>
    <w:rsid w:val="00A63D1F"/>
    <w:rsid w:val="00A6506E"/>
    <w:rsid w:val="00A65F04"/>
    <w:rsid w:val="00A6730D"/>
    <w:rsid w:val="00A70609"/>
    <w:rsid w:val="00A71069"/>
    <w:rsid w:val="00A71625"/>
    <w:rsid w:val="00A71B9B"/>
    <w:rsid w:val="00A71F04"/>
    <w:rsid w:val="00A722FA"/>
    <w:rsid w:val="00A72821"/>
    <w:rsid w:val="00A72BC2"/>
    <w:rsid w:val="00A731EE"/>
    <w:rsid w:val="00A73255"/>
    <w:rsid w:val="00A74F0D"/>
    <w:rsid w:val="00A751C7"/>
    <w:rsid w:val="00A75DAA"/>
    <w:rsid w:val="00A76399"/>
    <w:rsid w:val="00A80255"/>
    <w:rsid w:val="00A874AC"/>
    <w:rsid w:val="00A87844"/>
    <w:rsid w:val="00A87F3B"/>
    <w:rsid w:val="00A904D2"/>
    <w:rsid w:val="00A91350"/>
    <w:rsid w:val="00A91712"/>
    <w:rsid w:val="00A91BA4"/>
    <w:rsid w:val="00A93A38"/>
    <w:rsid w:val="00A93BE1"/>
    <w:rsid w:val="00A9514F"/>
    <w:rsid w:val="00A96DAB"/>
    <w:rsid w:val="00A97950"/>
    <w:rsid w:val="00A97A28"/>
    <w:rsid w:val="00AA038C"/>
    <w:rsid w:val="00AA0ECB"/>
    <w:rsid w:val="00AA20F6"/>
    <w:rsid w:val="00AA3D04"/>
    <w:rsid w:val="00AA5071"/>
    <w:rsid w:val="00AA614A"/>
    <w:rsid w:val="00AA64F6"/>
    <w:rsid w:val="00AA6543"/>
    <w:rsid w:val="00AA7A09"/>
    <w:rsid w:val="00AA7DCE"/>
    <w:rsid w:val="00AB15A4"/>
    <w:rsid w:val="00AB259A"/>
    <w:rsid w:val="00AB3190"/>
    <w:rsid w:val="00AB3B50"/>
    <w:rsid w:val="00AB3C54"/>
    <w:rsid w:val="00AB4A2B"/>
    <w:rsid w:val="00AB63BB"/>
    <w:rsid w:val="00AB662C"/>
    <w:rsid w:val="00AB6B20"/>
    <w:rsid w:val="00AC02AC"/>
    <w:rsid w:val="00AC05B1"/>
    <w:rsid w:val="00AC1120"/>
    <w:rsid w:val="00AC4580"/>
    <w:rsid w:val="00AC4A20"/>
    <w:rsid w:val="00AC4E1D"/>
    <w:rsid w:val="00AC5623"/>
    <w:rsid w:val="00AC59EC"/>
    <w:rsid w:val="00AC5E35"/>
    <w:rsid w:val="00AD019C"/>
    <w:rsid w:val="00AD1273"/>
    <w:rsid w:val="00AD23FD"/>
    <w:rsid w:val="00AD356C"/>
    <w:rsid w:val="00AD4693"/>
    <w:rsid w:val="00AD6223"/>
    <w:rsid w:val="00AD72DD"/>
    <w:rsid w:val="00AD7745"/>
    <w:rsid w:val="00AE0550"/>
    <w:rsid w:val="00AE11E4"/>
    <w:rsid w:val="00AE24D6"/>
    <w:rsid w:val="00AE2914"/>
    <w:rsid w:val="00AE2E25"/>
    <w:rsid w:val="00AE44AB"/>
    <w:rsid w:val="00AE57AD"/>
    <w:rsid w:val="00AE6131"/>
    <w:rsid w:val="00AE6D15"/>
    <w:rsid w:val="00AE78EE"/>
    <w:rsid w:val="00AF0596"/>
    <w:rsid w:val="00AF217D"/>
    <w:rsid w:val="00AF4C74"/>
    <w:rsid w:val="00AF5CF3"/>
    <w:rsid w:val="00AF6546"/>
    <w:rsid w:val="00AF71C6"/>
    <w:rsid w:val="00AF7D49"/>
    <w:rsid w:val="00B00B0E"/>
    <w:rsid w:val="00B04182"/>
    <w:rsid w:val="00B04938"/>
    <w:rsid w:val="00B0655F"/>
    <w:rsid w:val="00B07AE3"/>
    <w:rsid w:val="00B10FCA"/>
    <w:rsid w:val="00B11430"/>
    <w:rsid w:val="00B1351A"/>
    <w:rsid w:val="00B1502D"/>
    <w:rsid w:val="00B1527C"/>
    <w:rsid w:val="00B16350"/>
    <w:rsid w:val="00B168DD"/>
    <w:rsid w:val="00B22270"/>
    <w:rsid w:val="00B22D85"/>
    <w:rsid w:val="00B265AE"/>
    <w:rsid w:val="00B27555"/>
    <w:rsid w:val="00B3156D"/>
    <w:rsid w:val="00B32EB3"/>
    <w:rsid w:val="00B33725"/>
    <w:rsid w:val="00B344DD"/>
    <w:rsid w:val="00B353EB"/>
    <w:rsid w:val="00B360A0"/>
    <w:rsid w:val="00B37507"/>
    <w:rsid w:val="00B37DC8"/>
    <w:rsid w:val="00B401DC"/>
    <w:rsid w:val="00B40357"/>
    <w:rsid w:val="00B40790"/>
    <w:rsid w:val="00B41821"/>
    <w:rsid w:val="00B431FF"/>
    <w:rsid w:val="00B439C4"/>
    <w:rsid w:val="00B43A58"/>
    <w:rsid w:val="00B4479C"/>
    <w:rsid w:val="00B4535E"/>
    <w:rsid w:val="00B45C52"/>
    <w:rsid w:val="00B47288"/>
    <w:rsid w:val="00B476E2"/>
    <w:rsid w:val="00B47D83"/>
    <w:rsid w:val="00B47FA4"/>
    <w:rsid w:val="00B51003"/>
    <w:rsid w:val="00B512E8"/>
    <w:rsid w:val="00B52A8C"/>
    <w:rsid w:val="00B53E3D"/>
    <w:rsid w:val="00B560A3"/>
    <w:rsid w:val="00B56194"/>
    <w:rsid w:val="00B60836"/>
    <w:rsid w:val="00B6328E"/>
    <w:rsid w:val="00B636A8"/>
    <w:rsid w:val="00B646E9"/>
    <w:rsid w:val="00B66263"/>
    <w:rsid w:val="00B665C6"/>
    <w:rsid w:val="00B70110"/>
    <w:rsid w:val="00B7117F"/>
    <w:rsid w:val="00B71408"/>
    <w:rsid w:val="00B716EB"/>
    <w:rsid w:val="00B721AF"/>
    <w:rsid w:val="00B739F9"/>
    <w:rsid w:val="00B74273"/>
    <w:rsid w:val="00B76348"/>
    <w:rsid w:val="00B7754C"/>
    <w:rsid w:val="00B77B7F"/>
    <w:rsid w:val="00B802B0"/>
    <w:rsid w:val="00B805AF"/>
    <w:rsid w:val="00B819B3"/>
    <w:rsid w:val="00B81ACB"/>
    <w:rsid w:val="00B82989"/>
    <w:rsid w:val="00B82C27"/>
    <w:rsid w:val="00B82E02"/>
    <w:rsid w:val="00B8401C"/>
    <w:rsid w:val="00B84989"/>
    <w:rsid w:val="00B869EC"/>
    <w:rsid w:val="00B86F18"/>
    <w:rsid w:val="00B87D83"/>
    <w:rsid w:val="00B933D6"/>
    <w:rsid w:val="00B936A7"/>
    <w:rsid w:val="00B9397A"/>
    <w:rsid w:val="00B94DE1"/>
    <w:rsid w:val="00B953B1"/>
    <w:rsid w:val="00B9590E"/>
    <w:rsid w:val="00B9633D"/>
    <w:rsid w:val="00B975B7"/>
    <w:rsid w:val="00BA154D"/>
    <w:rsid w:val="00BA28CB"/>
    <w:rsid w:val="00BA2BE9"/>
    <w:rsid w:val="00BA2EBE"/>
    <w:rsid w:val="00BA35C0"/>
    <w:rsid w:val="00BA4257"/>
    <w:rsid w:val="00BA4C21"/>
    <w:rsid w:val="00BA5C58"/>
    <w:rsid w:val="00BA6EB6"/>
    <w:rsid w:val="00BA7643"/>
    <w:rsid w:val="00BB0F28"/>
    <w:rsid w:val="00BB1F14"/>
    <w:rsid w:val="00BB20FA"/>
    <w:rsid w:val="00BB3E68"/>
    <w:rsid w:val="00BB458A"/>
    <w:rsid w:val="00BB5934"/>
    <w:rsid w:val="00BB7249"/>
    <w:rsid w:val="00BB732C"/>
    <w:rsid w:val="00BC27CD"/>
    <w:rsid w:val="00BC29DE"/>
    <w:rsid w:val="00BC2AF0"/>
    <w:rsid w:val="00BC4C35"/>
    <w:rsid w:val="00BC52A6"/>
    <w:rsid w:val="00BC52D7"/>
    <w:rsid w:val="00BD00D3"/>
    <w:rsid w:val="00BD0EB2"/>
    <w:rsid w:val="00BD150B"/>
    <w:rsid w:val="00BD1659"/>
    <w:rsid w:val="00BD173A"/>
    <w:rsid w:val="00BD1A76"/>
    <w:rsid w:val="00BD3AA9"/>
    <w:rsid w:val="00BD466B"/>
    <w:rsid w:val="00BD4A18"/>
    <w:rsid w:val="00BD66B9"/>
    <w:rsid w:val="00BD6A36"/>
    <w:rsid w:val="00BD6DB2"/>
    <w:rsid w:val="00BE0808"/>
    <w:rsid w:val="00BE0E3B"/>
    <w:rsid w:val="00BE0F89"/>
    <w:rsid w:val="00BE11CF"/>
    <w:rsid w:val="00BE21AB"/>
    <w:rsid w:val="00BE2AB4"/>
    <w:rsid w:val="00BE3A4D"/>
    <w:rsid w:val="00BE3FA2"/>
    <w:rsid w:val="00BE44AE"/>
    <w:rsid w:val="00BE55CB"/>
    <w:rsid w:val="00BF154D"/>
    <w:rsid w:val="00BF2244"/>
    <w:rsid w:val="00BF423F"/>
    <w:rsid w:val="00BF525E"/>
    <w:rsid w:val="00BF617A"/>
    <w:rsid w:val="00BF6D1A"/>
    <w:rsid w:val="00BF7708"/>
    <w:rsid w:val="00C01B80"/>
    <w:rsid w:val="00C0379D"/>
    <w:rsid w:val="00C03931"/>
    <w:rsid w:val="00C05FE3"/>
    <w:rsid w:val="00C0721E"/>
    <w:rsid w:val="00C1154A"/>
    <w:rsid w:val="00C11E4C"/>
    <w:rsid w:val="00C13A1B"/>
    <w:rsid w:val="00C13DBB"/>
    <w:rsid w:val="00C15CCF"/>
    <w:rsid w:val="00C16C9A"/>
    <w:rsid w:val="00C20332"/>
    <w:rsid w:val="00C2136D"/>
    <w:rsid w:val="00C214EE"/>
    <w:rsid w:val="00C215D4"/>
    <w:rsid w:val="00C2225D"/>
    <w:rsid w:val="00C22B51"/>
    <w:rsid w:val="00C22FF4"/>
    <w:rsid w:val="00C2314B"/>
    <w:rsid w:val="00C238F5"/>
    <w:rsid w:val="00C24971"/>
    <w:rsid w:val="00C26BE5"/>
    <w:rsid w:val="00C26E4D"/>
    <w:rsid w:val="00C27909"/>
    <w:rsid w:val="00C27B03"/>
    <w:rsid w:val="00C30B91"/>
    <w:rsid w:val="00C314E1"/>
    <w:rsid w:val="00C33E6D"/>
    <w:rsid w:val="00C34247"/>
    <w:rsid w:val="00C34355"/>
    <w:rsid w:val="00C34397"/>
    <w:rsid w:val="00C34B82"/>
    <w:rsid w:val="00C35B81"/>
    <w:rsid w:val="00C3683D"/>
    <w:rsid w:val="00C37D87"/>
    <w:rsid w:val="00C408E5"/>
    <w:rsid w:val="00C4095D"/>
    <w:rsid w:val="00C42CE3"/>
    <w:rsid w:val="00C4445F"/>
    <w:rsid w:val="00C45566"/>
    <w:rsid w:val="00C51A3A"/>
    <w:rsid w:val="00C52986"/>
    <w:rsid w:val="00C53257"/>
    <w:rsid w:val="00C55BEB"/>
    <w:rsid w:val="00C601D2"/>
    <w:rsid w:val="00C617D4"/>
    <w:rsid w:val="00C6284D"/>
    <w:rsid w:val="00C642F4"/>
    <w:rsid w:val="00C65BCC"/>
    <w:rsid w:val="00C65EB3"/>
    <w:rsid w:val="00C660E4"/>
    <w:rsid w:val="00C66152"/>
    <w:rsid w:val="00C66265"/>
    <w:rsid w:val="00C666B4"/>
    <w:rsid w:val="00C66970"/>
    <w:rsid w:val="00C7032D"/>
    <w:rsid w:val="00C70BC1"/>
    <w:rsid w:val="00C72098"/>
    <w:rsid w:val="00C72A00"/>
    <w:rsid w:val="00C72C4B"/>
    <w:rsid w:val="00C72FC7"/>
    <w:rsid w:val="00C763FC"/>
    <w:rsid w:val="00C77D22"/>
    <w:rsid w:val="00C77DA4"/>
    <w:rsid w:val="00C80EC8"/>
    <w:rsid w:val="00C8222F"/>
    <w:rsid w:val="00C83AD4"/>
    <w:rsid w:val="00C856CB"/>
    <w:rsid w:val="00C8691C"/>
    <w:rsid w:val="00C87C3E"/>
    <w:rsid w:val="00C9124F"/>
    <w:rsid w:val="00C91C06"/>
    <w:rsid w:val="00C94ADB"/>
    <w:rsid w:val="00C94D04"/>
    <w:rsid w:val="00C954A0"/>
    <w:rsid w:val="00C963EB"/>
    <w:rsid w:val="00C96FE2"/>
    <w:rsid w:val="00CA168A"/>
    <w:rsid w:val="00CA1775"/>
    <w:rsid w:val="00CA351D"/>
    <w:rsid w:val="00CA357E"/>
    <w:rsid w:val="00CA44F9"/>
    <w:rsid w:val="00CA4A69"/>
    <w:rsid w:val="00CA54BF"/>
    <w:rsid w:val="00CA562B"/>
    <w:rsid w:val="00CA6DEB"/>
    <w:rsid w:val="00CA77FB"/>
    <w:rsid w:val="00CA7ED2"/>
    <w:rsid w:val="00CB175E"/>
    <w:rsid w:val="00CB2D67"/>
    <w:rsid w:val="00CB35F3"/>
    <w:rsid w:val="00CB47BF"/>
    <w:rsid w:val="00CB553C"/>
    <w:rsid w:val="00CC1430"/>
    <w:rsid w:val="00CC1F6F"/>
    <w:rsid w:val="00CC2270"/>
    <w:rsid w:val="00CC282B"/>
    <w:rsid w:val="00CC3018"/>
    <w:rsid w:val="00CC3E0C"/>
    <w:rsid w:val="00CC49AA"/>
    <w:rsid w:val="00CC58D3"/>
    <w:rsid w:val="00CC6F64"/>
    <w:rsid w:val="00CC784D"/>
    <w:rsid w:val="00CD3434"/>
    <w:rsid w:val="00CD3464"/>
    <w:rsid w:val="00CD4292"/>
    <w:rsid w:val="00CD4795"/>
    <w:rsid w:val="00CD4B63"/>
    <w:rsid w:val="00CD4C61"/>
    <w:rsid w:val="00CD5AE3"/>
    <w:rsid w:val="00CD67F0"/>
    <w:rsid w:val="00CD6E24"/>
    <w:rsid w:val="00CD79E4"/>
    <w:rsid w:val="00CD7ACD"/>
    <w:rsid w:val="00CE0A65"/>
    <w:rsid w:val="00CE157A"/>
    <w:rsid w:val="00CE2CD5"/>
    <w:rsid w:val="00CE30B8"/>
    <w:rsid w:val="00CE5F2D"/>
    <w:rsid w:val="00CE600A"/>
    <w:rsid w:val="00CE72FF"/>
    <w:rsid w:val="00CE7321"/>
    <w:rsid w:val="00CE7F70"/>
    <w:rsid w:val="00CF0DB8"/>
    <w:rsid w:val="00CF4C4F"/>
    <w:rsid w:val="00CF67EE"/>
    <w:rsid w:val="00D01B3B"/>
    <w:rsid w:val="00D01D69"/>
    <w:rsid w:val="00D0337B"/>
    <w:rsid w:val="00D03DB2"/>
    <w:rsid w:val="00D05CD8"/>
    <w:rsid w:val="00D06C36"/>
    <w:rsid w:val="00D079B2"/>
    <w:rsid w:val="00D10F2A"/>
    <w:rsid w:val="00D114E9"/>
    <w:rsid w:val="00D1242E"/>
    <w:rsid w:val="00D14847"/>
    <w:rsid w:val="00D150AD"/>
    <w:rsid w:val="00D15BDA"/>
    <w:rsid w:val="00D16BBF"/>
    <w:rsid w:val="00D17B87"/>
    <w:rsid w:val="00D213B8"/>
    <w:rsid w:val="00D217EB"/>
    <w:rsid w:val="00D22806"/>
    <w:rsid w:val="00D22FC0"/>
    <w:rsid w:val="00D22FEC"/>
    <w:rsid w:val="00D237F0"/>
    <w:rsid w:val="00D25482"/>
    <w:rsid w:val="00D30C59"/>
    <w:rsid w:val="00D31C09"/>
    <w:rsid w:val="00D3210D"/>
    <w:rsid w:val="00D33197"/>
    <w:rsid w:val="00D34059"/>
    <w:rsid w:val="00D34A4A"/>
    <w:rsid w:val="00D35434"/>
    <w:rsid w:val="00D35540"/>
    <w:rsid w:val="00D36C98"/>
    <w:rsid w:val="00D4034E"/>
    <w:rsid w:val="00D40DF2"/>
    <w:rsid w:val="00D41BBF"/>
    <w:rsid w:val="00D429C6"/>
    <w:rsid w:val="00D46C21"/>
    <w:rsid w:val="00D47748"/>
    <w:rsid w:val="00D508EB"/>
    <w:rsid w:val="00D51F9A"/>
    <w:rsid w:val="00D52BB8"/>
    <w:rsid w:val="00D54CC3"/>
    <w:rsid w:val="00D56F93"/>
    <w:rsid w:val="00D6041A"/>
    <w:rsid w:val="00D610B0"/>
    <w:rsid w:val="00D612C9"/>
    <w:rsid w:val="00D6152F"/>
    <w:rsid w:val="00D61E80"/>
    <w:rsid w:val="00D633EB"/>
    <w:rsid w:val="00D64854"/>
    <w:rsid w:val="00D6751E"/>
    <w:rsid w:val="00D6793D"/>
    <w:rsid w:val="00D67DBB"/>
    <w:rsid w:val="00D71E89"/>
    <w:rsid w:val="00D72783"/>
    <w:rsid w:val="00D72D02"/>
    <w:rsid w:val="00D7372B"/>
    <w:rsid w:val="00D73DD9"/>
    <w:rsid w:val="00D7424E"/>
    <w:rsid w:val="00D74B4D"/>
    <w:rsid w:val="00D75124"/>
    <w:rsid w:val="00D75814"/>
    <w:rsid w:val="00D75E9E"/>
    <w:rsid w:val="00D7669F"/>
    <w:rsid w:val="00D8055E"/>
    <w:rsid w:val="00D80770"/>
    <w:rsid w:val="00D80816"/>
    <w:rsid w:val="00D82FF7"/>
    <w:rsid w:val="00D83E81"/>
    <w:rsid w:val="00D847FE"/>
    <w:rsid w:val="00D8678A"/>
    <w:rsid w:val="00D868BF"/>
    <w:rsid w:val="00D900D1"/>
    <w:rsid w:val="00D938DB"/>
    <w:rsid w:val="00D93F6A"/>
    <w:rsid w:val="00D964EA"/>
    <w:rsid w:val="00D966D0"/>
    <w:rsid w:val="00DA0C59"/>
    <w:rsid w:val="00DA30B3"/>
    <w:rsid w:val="00DA3991"/>
    <w:rsid w:val="00DA493D"/>
    <w:rsid w:val="00DA52CC"/>
    <w:rsid w:val="00DA569C"/>
    <w:rsid w:val="00DA5879"/>
    <w:rsid w:val="00DA6010"/>
    <w:rsid w:val="00DA7045"/>
    <w:rsid w:val="00DB20BF"/>
    <w:rsid w:val="00DB2412"/>
    <w:rsid w:val="00DB3551"/>
    <w:rsid w:val="00DB49DB"/>
    <w:rsid w:val="00DB4C32"/>
    <w:rsid w:val="00DB54C2"/>
    <w:rsid w:val="00DB667F"/>
    <w:rsid w:val="00DB75EA"/>
    <w:rsid w:val="00DB7E6C"/>
    <w:rsid w:val="00DC0130"/>
    <w:rsid w:val="00DC02C4"/>
    <w:rsid w:val="00DC0607"/>
    <w:rsid w:val="00DC0A86"/>
    <w:rsid w:val="00DC5284"/>
    <w:rsid w:val="00DC5E71"/>
    <w:rsid w:val="00DC7A1E"/>
    <w:rsid w:val="00DD0CDD"/>
    <w:rsid w:val="00DD11B0"/>
    <w:rsid w:val="00DD1A13"/>
    <w:rsid w:val="00DD2316"/>
    <w:rsid w:val="00DD5A29"/>
    <w:rsid w:val="00DD5D9D"/>
    <w:rsid w:val="00DD7E5D"/>
    <w:rsid w:val="00DE134F"/>
    <w:rsid w:val="00DE1442"/>
    <w:rsid w:val="00DE2B31"/>
    <w:rsid w:val="00DE3340"/>
    <w:rsid w:val="00DE3598"/>
    <w:rsid w:val="00DE35CB"/>
    <w:rsid w:val="00DE5044"/>
    <w:rsid w:val="00DE5D83"/>
    <w:rsid w:val="00DE666B"/>
    <w:rsid w:val="00DE7661"/>
    <w:rsid w:val="00DE7F9D"/>
    <w:rsid w:val="00DF100E"/>
    <w:rsid w:val="00DF122D"/>
    <w:rsid w:val="00DF21E9"/>
    <w:rsid w:val="00DF2DB8"/>
    <w:rsid w:val="00DF3902"/>
    <w:rsid w:val="00DF3F19"/>
    <w:rsid w:val="00DF40DA"/>
    <w:rsid w:val="00DF42AF"/>
    <w:rsid w:val="00DF5F48"/>
    <w:rsid w:val="00DF6DF9"/>
    <w:rsid w:val="00DF7765"/>
    <w:rsid w:val="00E007DC"/>
    <w:rsid w:val="00E00F14"/>
    <w:rsid w:val="00E0396C"/>
    <w:rsid w:val="00E04DFC"/>
    <w:rsid w:val="00E06386"/>
    <w:rsid w:val="00E06870"/>
    <w:rsid w:val="00E118AC"/>
    <w:rsid w:val="00E11A79"/>
    <w:rsid w:val="00E14C6C"/>
    <w:rsid w:val="00E14D3E"/>
    <w:rsid w:val="00E1546F"/>
    <w:rsid w:val="00E1778F"/>
    <w:rsid w:val="00E21382"/>
    <w:rsid w:val="00E22208"/>
    <w:rsid w:val="00E24EB4"/>
    <w:rsid w:val="00E27E55"/>
    <w:rsid w:val="00E320ED"/>
    <w:rsid w:val="00E33917"/>
    <w:rsid w:val="00E33AFB"/>
    <w:rsid w:val="00E34218"/>
    <w:rsid w:val="00E344B1"/>
    <w:rsid w:val="00E36EE0"/>
    <w:rsid w:val="00E377CE"/>
    <w:rsid w:val="00E42D32"/>
    <w:rsid w:val="00E45FEB"/>
    <w:rsid w:val="00E46282"/>
    <w:rsid w:val="00E46C24"/>
    <w:rsid w:val="00E46EC2"/>
    <w:rsid w:val="00E5216E"/>
    <w:rsid w:val="00E52476"/>
    <w:rsid w:val="00E5457F"/>
    <w:rsid w:val="00E55A85"/>
    <w:rsid w:val="00E56750"/>
    <w:rsid w:val="00E57912"/>
    <w:rsid w:val="00E60914"/>
    <w:rsid w:val="00E6432B"/>
    <w:rsid w:val="00E67513"/>
    <w:rsid w:val="00E67AA6"/>
    <w:rsid w:val="00E73798"/>
    <w:rsid w:val="00E7442F"/>
    <w:rsid w:val="00E74826"/>
    <w:rsid w:val="00E75A35"/>
    <w:rsid w:val="00E80040"/>
    <w:rsid w:val="00E813E7"/>
    <w:rsid w:val="00E82344"/>
    <w:rsid w:val="00E82F47"/>
    <w:rsid w:val="00E83EE1"/>
    <w:rsid w:val="00E84C82"/>
    <w:rsid w:val="00E84D64"/>
    <w:rsid w:val="00E852E0"/>
    <w:rsid w:val="00E85339"/>
    <w:rsid w:val="00E8547E"/>
    <w:rsid w:val="00E8571A"/>
    <w:rsid w:val="00E87408"/>
    <w:rsid w:val="00E87BD9"/>
    <w:rsid w:val="00E914C4"/>
    <w:rsid w:val="00E92334"/>
    <w:rsid w:val="00E934F5"/>
    <w:rsid w:val="00E95413"/>
    <w:rsid w:val="00E96961"/>
    <w:rsid w:val="00E97145"/>
    <w:rsid w:val="00E97F16"/>
    <w:rsid w:val="00EA03A5"/>
    <w:rsid w:val="00EA0DCA"/>
    <w:rsid w:val="00EA195E"/>
    <w:rsid w:val="00EA3AEE"/>
    <w:rsid w:val="00EA579D"/>
    <w:rsid w:val="00EA6284"/>
    <w:rsid w:val="00EA64DC"/>
    <w:rsid w:val="00EA70D6"/>
    <w:rsid w:val="00EA72EC"/>
    <w:rsid w:val="00EA7B2C"/>
    <w:rsid w:val="00EB1045"/>
    <w:rsid w:val="00EB11CB"/>
    <w:rsid w:val="00EB275A"/>
    <w:rsid w:val="00EB2AD8"/>
    <w:rsid w:val="00EB4324"/>
    <w:rsid w:val="00EB5A8D"/>
    <w:rsid w:val="00EB6D01"/>
    <w:rsid w:val="00EB786A"/>
    <w:rsid w:val="00EC0871"/>
    <w:rsid w:val="00EC1578"/>
    <w:rsid w:val="00EC1A45"/>
    <w:rsid w:val="00EC1C72"/>
    <w:rsid w:val="00EC2E7D"/>
    <w:rsid w:val="00EC3CC9"/>
    <w:rsid w:val="00EC3DFA"/>
    <w:rsid w:val="00EC680A"/>
    <w:rsid w:val="00EC77F8"/>
    <w:rsid w:val="00EC78F4"/>
    <w:rsid w:val="00ED1190"/>
    <w:rsid w:val="00ED22F5"/>
    <w:rsid w:val="00ED3884"/>
    <w:rsid w:val="00ED4825"/>
    <w:rsid w:val="00ED4FAE"/>
    <w:rsid w:val="00ED6CCA"/>
    <w:rsid w:val="00EE1299"/>
    <w:rsid w:val="00EE1FFB"/>
    <w:rsid w:val="00EE2311"/>
    <w:rsid w:val="00EE23AA"/>
    <w:rsid w:val="00EE2639"/>
    <w:rsid w:val="00EE2BED"/>
    <w:rsid w:val="00EE31E6"/>
    <w:rsid w:val="00EE374B"/>
    <w:rsid w:val="00EE4DBA"/>
    <w:rsid w:val="00EE6D3F"/>
    <w:rsid w:val="00EE6F67"/>
    <w:rsid w:val="00EE78BF"/>
    <w:rsid w:val="00EF1612"/>
    <w:rsid w:val="00EF2187"/>
    <w:rsid w:val="00EF61FF"/>
    <w:rsid w:val="00EF7220"/>
    <w:rsid w:val="00EF78FF"/>
    <w:rsid w:val="00EF7E89"/>
    <w:rsid w:val="00F039FB"/>
    <w:rsid w:val="00F04C09"/>
    <w:rsid w:val="00F05D25"/>
    <w:rsid w:val="00F05F7D"/>
    <w:rsid w:val="00F0640A"/>
    <w:rsid w:val="00F06BCF"/>
    <w:rsid w:val="00F075D1"/>
    <w:rsid w:val="00F11139"/>
    <w:rsid w:val="00F11296"/>
    <w:rsid w:val="00F11BB5"/>
    <w:rsid w:val="00F122E2"/>
    <w:rsid w:val="00F12353"/>
    <w:rsid w:val="00F13830"/>
    <w:rsid w:val="00F1417B"/>
    <w:rsid w:val="00F14911"/>
    <w:rsid w:val="00F14963"/>
    <w:rsid w:val="00F15DA5"/>
    <w:rsid w:val="00F17F07"/>
    <w:rsid w:val="00F2047A"/>
    <w:rsid w:val="00F205C4"/>
    <w:rsid w:val="00F217FF"/>
    <w:rsid w:val="00F2255B"/>
    <w:rsid w:val="00F22F83"/>
    <w:rsid w:val="00F236C3"/>
    <w:rsid w:val="00F23812"/>
    <w:rsid w:val="00F26639"/>
    <w:rsid w:val="00F300BE"/>
    <w:rsid w:val="00F311D6"/>
    <w:rsid w:val="00F31697"/>
    <w:rsid w:val="00F31E06"/>
    <w:rsid w:val="00F32989"/>
    <w:rsid w:val="00F32DA5"/>
    <w:rsid w:val="00F34959"/>
    <w:rsid w:val="00F34B99"/>
    <w:rsid w:val="00F3641B"/>
    <w:rsid w:val="00F40008"/>
    <w:rsid w:val="00F43594"/>
    <w:rsid w:val="00F4425B"/>
    <w:rsid w:val="00F470A3"/>
    <w:rsid w:val="00F47C6D"/>
    <w:rsid w:val="00F50075"/>
    <w:rsid w:val="00F51E47"/>
    <w:rsid w:val="00F52602"/>
    <w:rsid w:val="00F52DAB"/>
    <w:rsid w:val="00F52FF5"/>
    <w:rsid w:val="00F53072"/>
    <w:rsid w:val="00F543F0"/>
    <w:rsid w:val="00F6175A"/>
    <w:rsid w:val="00F71A6A"/>
    <w:rsid w:val="00F72220"/>
    <w:rsid w:val="00F72534"/>
    <w:rsid w:val="00F7341C"/>
    <w:rsid w:val="00F77877"/>
    <w:rsid w:val="00F80367"/>
    <w:rsid w:val="00F8106B"/>
    <w:rsid w:val="00F81D29"/>
    <w:rsid w:val="00F827E2"/>
    <w:rsid w:val="00F83ED5"/>
    <w:rsid w:val="00F85B1F"/>
    <w:rsid w:val="00F8664B"/>
    <w:rsid w:val="00F86ABA"/>
    <w:rsid w:val="00F87117"/>
    <w:rsid w:val="00F87F7D"/>
    <w:rsid w:val="00F91C4D"/>
    <w:rsid w:val="00F92771"/>
    <w:rsid w:val="00F92FD9"/>
    <w:rsid w:val="00F94BFD"/>
    <w:rsid w:val="00F9525C"/>
    <w:rsid w:val="00F973FD"/>
    <w:rsid w:val="00FA44D0"/>
    <w:rsid w:val="00FA5385"/>
    <w:rsid w:val="00FA603B"/>
    <w:rsid w:val="00FA6684"/>
    <w:rsid w:val="00FA731E"/>
    <w:rsid w:val="00FB05C3"/>
    <w:rsid w:val="00FB2B38"/>
    <w:rsid w:val="00FB2ED2"/>
    <w:rsid w:val="00FB3BF3"/>
    <w:rsid w:val="00FB6656"/>
    <w:rsid w:val="00FC0BD9"/>
    <w:rsid w:val="00FC1CCE"/>
    <w:rsid w:val="00FC23E1"/>
    <w:rsid w:val="00FC3AC5"/>
    <w:rsid w:val="00FC41B8"/>
    <w:rsid w:val="00FC4BCF"/>
    <w:rsid w:val="00FC5983"/>
    <w:rsid w:val="00FC60AC"/>
    <w:rsid w:val="00FC6358"/>
    <w:rsid w:val="00FC68B7"/>
    <w:rsid w:val="00FC7F52"/>
    <w:rsid w:val="00FD0123"/>
    <w:rsid w:val="00FD320D"/>
    <w:rsid w:val="00FD356E"/>
    <w:rsid w:val="00FD36EE"/>
    <w:rsid w:val="00FD3C97"/>
    <w:rsid w:val="00FD4D67"/>
    <w:rsid w:val="00FD548C"/>
    <w:rsid w:val="00FD76BE"/>
    <w:rsid w:val="00FD7A2E"/>
    <w:rsid w:val="00FE0151"/>
    <w:rsid w:val="00FE1900"/>
    <w:rsid w:val="00FE2331"/>
    <w:rsid w:val="00FE23DE"/>
    <w:rsid w:val="00FE2F68"/>
    <w:rsid w:val="00FE3797"/>
    <w:rsid w:val="00FE3A08"/>
    <w:rsid w:val="00FE517E"/>
    <w:rsid w:val="00FF0CE1"/>
    <w:rsid w:val="00FF0CE2"/>
    <w:rsid w:val="00FF15CC"/>
    <w:rsid w:val="00FF166D"/>
    <w:rsid w:val="00FF1CBB"/>
    <w:rsid w:val="00FF1F9C"/>
    <w:rsid w:val="00FF49A5"/>
    <w:rsid w:val="00FF6868"/>
    <w:rsid w:val="01927D66"/>
    <w:rsid w:val="01AC3A93"/>
    <w:rsid w:val="02057360"/>
    <w:rsid w:val="02626557"/>
    <w:rsid w:val="026E651E"/>
    <w:rsid w:val="02DA1673"/>
    <w:rsid w:val="03EB77C0"/>
    <w:rsid w:val="03F9277D"/>
    <w:rsid w:val="042E630D"/>
    <w:rsid w:val="047459CF"/>
    <w:rsid w:val="0537491E"/>
    <w:rsid w:val="057B5C57"/>
    <w:rsid w:val="060774EA"/>
    <w:rsid w:val="066162C0"/>
    <w:rsid w:val="06EB3D51"/>
    <w:rsid w:val="07634114"/>
    <w:rsid w:val="07D4164E"/>
    <w:rsid w:val="083D0E5B"/>
    <w:rsid w:val="08966B4A"/>
    <w:rsid w:val="08F63AE4"/>
    <w:rsid w:val="094B2BCC"/>
    <w:rsid w:val="095E6352"/>
    <w:rsid w:val="09D01CF6"/>
    <w:rsid w:val="0AA14B1F"/>
    <w:rsid w:val="0AE4604C"/>
    <w:rsid w:val="0B026DDC"/>
    <w:rsid w:val="0C122745"/>
    <w:rsid w:val="0C8D427D"/>
    <w:rsid w:val="0CC7751C"/>
    <w:rsid w:val="0CD342B6"/>
    <w:rsid w:val="0D6A7E17"/>
    <w:rsid w:val="0DA9093F"/>
    <w:rsid w:val="0E290DBD"/>
    <w:rsid w:val="0E4D4CDF"/>
    <w:rsid w:val="0E9B6AB7"/>
    <w:rsid w:val="0EB75EDE"/>
    <w:rsid w:val="0FB926D7"/>
    <w:rsid w:val="100E1475"/>
    <w:rsid w:val="10F07A96"/>
    <w:rsid w:val="1132553A"/>
    <w:rsid w:val="119500A0"/>
    <w:rsid w:val="11E37C04"/>
    <w:rsid w:val="11EF2883"/>
    <w:rsid w:val="12512550"/>
    <w:rsid w:val="125A6BF4"/>
    <w:rsid w:val="12C86253"/>
    <w:rsid w:val="12CF6372"/>
    <w:rsid w:val="13042DDB"/>
    <w:rsid w:val="139B5716"/>
    <w:rsid w:val="1436325E"/>
    <w:rsid w:val="148D41AD"/>
    <w:rsid w:val="14CF174C"/>
    <w:rsid w:val="153C0D7C"/>
    <w:rsid w:val="15483208"/>
    <w:rsid w:val="15505DDD"/>
    <w:rsid w:val="158D7AE3"/>
    <w:rsid w:val="159B1B8F"/>
    <w:rsid w:val="16F84A8E"/>
    <w:rsid w:val="173B6C95"/>
    <w:rsid w:val="178D48F7"/>
    <w:rsid w:val="196E7664"/>
    <w:rsid w:val="19D4303C"/>
    <w:rsid w:val="1A6A4539"/>
    <w:rsid w:val="1B063DBD"/>
    <w:rsid w:val="1B740D26"/>
    <w:rsid w:val="1C994529"/>
    <w:rsid w:val="1D297145"/>
    <w:rsid w:val="1D3C4772"/>
    <w:rsid w:val="1E3C2C0B"/>
    <w:rsid w:val="1E3F091B"/>
    <w:rsid w:val="1E434ACA"/>
    <w:rsid w:val="1EB81FDE"/>
    <w:rsid w:val="1EF32FF2"/>
    <w:rsid w:val="1F3A7C37"/>
    <w:rsid w:val="20022AF0"/>
    <w:rsid w:val="202A7BF8"/>
    <w:rsid w:val="20C242E2"/>
    <w:rsid w:val="20DF41FE"/>
    <w:rsid w:val="212E7BC9"/>
    <w:rsid w:val="2144119B"/>
    <w:rsid w:val="217D7697"/>
    <w:rsid w:val="22061A13"/>
    <w:rsid w:val="222800C3"/>
    <w:rsid w:val="228026A7"/>
    <w:rsid w:val="237D604C"/>
    <w:rsid w:val="23FE39BD"/>
    <w:rsid w:val="245F4818"/>
    <w:rsid w:val="24786C81"/>
    <w:rsid w:val="255D282B"/>
    <w:rsid w:val="256A59C8"/>
    <w:rsid w:val="267E4497"/>
    <w:rsid w:val="268E3C87"/>
    <w:rsid w:val="27AD772F"/>
    <w:rsid w:val="27B564C5"/>
    <w:rsid w:val="27D551EF"/>
    <w:rsid w:val="2802590C"/>
    <w:rsid w:val="28A16ED3"/>
    <w:rsid w:val="29236BB2"/>
    <w:rsid w:val="29287901"/>
    <w:rsid w:val="2935321D"/>
    <w:rsid w:val="2A677F6B"/>
    <w:rsid w:val="2BBA5A9A"/>
    <w:rsid w:val="2C386CC9"/>
    <w:rsid w:val="2CE00993"/>
    <w:rsid w:val="2D830B39"/>
    <w:rsid w:val="2E257B1B"/>
    <w:rsid w:val="2E677AE4"/>
    <w:rsid w:val="2F4635EA"/>
    <w:rsid w:val="2FD87AD3"/>
    <w:rsid w:val="30CA5BDB"/>
    <w:rsid w:val="30E86825"/>
    <w:rsid w:val="311961A0"/>
    <w:rsid w:val="326655EE"/>
    <w:rsid w:val="327B69E7"/>
    <w:rsid w:val="33C34EFC"/>
    <w:rsid w:val="34366F6E"/>
    <w:rsid w:val="344F3C87"/>
    <w:rsid w:val="35AB7232"/>
    <w:rsid w:val="35D61655"/>
    <w:rsid w:val="361A2073"/>
    <w:rsid w:val="362A1092"/>
    <w:rsid w:val="36461B5D"/>
    <w:rsid w:val="3690287C"/>
    <w:rsid w:val="36AD56C5"/>
    <w:rsid w:val="36DC5408"/>
    <w:rsid w:val="37905325"/>
    <w:rsid w:val="37BA0B09"/>
    <w:rsid w:val="386364AA"/>
    <w:rsid w:val="38822CFA"/>
    <w:rsid w:val="388554EB"/>
    <w:rsid w:val="38C83DE7"/>
    <w:rsid w:val="3923202B"/>
    <w:rsid w:val="393B7239"/>
    <w:rsid w:val="39DA644F"/>
    <w:rsid w:val="3A744447"/>
    <w:rsid w:val="3AAF1923"/>
    <w:rsid w:val="3AC950C9"/>
    <w:rsid w:val="3B0C28D2"/>
    <w:rsid w:val="3B3011F7"/>
    <w:rsid w:val="3B963D3A"/>
    <w:rsid w:val="3D8739B6"/>
    <w:rsid w:val="3F0E0FB1"/>
    <w:rsid w:val="3F575F4A"/>
    <w:rsid w:val="40624A0E"/>
    <w:rsid w:val="40657ACF"/>
    <w:rsid w:val="41BF5866"/>
    <w:rsid w:val="41D4737F"/>
    <w:rsid w:val="41EE70DB"/>
    <w:rsid w:val="41F16D17"/>
    <w:rsid w:val="42397461"/>
    <w:rsid w:val="42943327"/>
    <w:rsid w:val="431F3CCE"/>
    <w:rsid w:val="4476626D"/>
    <w:rsid w:val="44A361F7"/>
    <w:rsid w:val="45126EB0"/>
    <w:rsid w:val="4539127E"/>
    <w:rsid w:val="4571647E"/>
    <w:rsid w:val="465D414E"/>
    <w:rsid w:val="46641814"/>
    <w:rsid w:val="47303087"/>
    <w:rsid w:val="4770243A"/>
    <w:rsid w:val="47A27D2C"/>
    <w:rsid w:val="48120A86"/>
    <w:rsid w:val="48895562"/>
    <w:rsid w:val="48A028AB"/>
    <w:rsid w:val="49187E48"/>
    <w:rsid w:val="49D514FA"/>
    <w:rsid w:val="49F66C27"/>
    <w:rsid w:val="4A742353"/>
    <w:rsid w:val="4A9F67FA"/>
    <w:rsid w:val="4AB8769B"/>
    <w:rsid w:val="4ADD58CC"/>
    <w:rsid w:val="4AFA44F5"/>
    <w:rsid w:val="4BDA60D4"/>
    <w:rsid w:val="4BE6053A"/>
    <w:rsid w:val="4C362B3D"/>
    <w:rsid w:val="4CA47D11"/>
    <w:rsid w:val="4CE600FB"/>
    <w:rsid w:val="4CED47CD"/>
    <w:rsid w:val="4CF219AF"/>
    <w:rsid w:val="4D065771"/>
    <w:rsid w:val="4D190D53"/>
    <w:rsid w:val="4D4C78BC"/>
    <w:rsid w:val="4DD3727F"/>
    <w:rsid w:val="4DE052E3"/>
    <w:rsid w:val="4DE337D5"/>
    <w:rsid w:val="4E700F79"/>
    <w:rsid w:val="4EE07EA5"/>
    <w:rsid w:val="4F1D47D7"/>
    <w:rsid w:val="4F2F0767"/>
    <w:rsid w:val="4F6221DE"/>
    <w:rsid w:val="4F93291E"/>
    <w:rsid w:val="4FAE1D52"/>
    <w:rsid w:val="4FC0715B"/>
    <w:rsid w:val="50DD469C"/>
    <w:rsid w:val="51A67184"/>
    <w:rsid w:val="521450B8"/>
    <w:rsid w:val="527C727C"/>
    <w:rsid w:val="52C17D91"/>
    <w:rsid w:val="53B37335"/>
    <w:rsid w:val="53EC3BAC"/>
    <w:rsid w:val="549A6186"/>
    <w:rsid w:val="55281DAF"/>
    <w:rsid w:val="55FD7055"/>
    <w:rsid w:val="56014794"/>
    <w:rsid w:val="568B0C91"/>
    <w:rsid w:val="56C500AD"/>
    <w:rsid w:val="56DC7EC7"/>
    <w:rsid w:val="570975B4"/>
    <w:rsid w:val="576222A2"/>
    <w:rsid w:val="578F7888"/>
    <w:rsid w:val="57EE097D"/>
    <w:rsid w:val="583166A5"/>
    <w:rsid w:val="58B60ACC"/>
    <w:rsid w:val="58D05DE7"/>
    <w:rsid w:val="592316E9"/>
    <w:rsid w:val="59E0617E"/>
    <w:rsid w:val="59FE7432"/>
    <w:rsid w:val="5A790E13"/>
    <w:rsid w:val="5A9329EF"/>
    <w:rsid w:val="5B076365"/>
    <w:rsid w:val="5BD72D72"/>
    <w:rsid w:val="5C10118B"/>
    <w:rsid w:val="5C2A169D"/>
    <w:rsid w:val="5CA05EB7"/>
    <w:rsid w:val="5E381B59"/>
    <w:rsid w:val="5E6C7D00"/>
    <w:rsid w:val="5EBE1A6C"/>
    <w:rsid w:val="5F8D65FE"/>
    <w:rsid w:val="5FC36A67"/>
    <w:rsid w:val="5FF64B64"/>
    <w:rsid w:val="615A7643"/>
    <w:rsid w:val="61846885"/>
    <w:rsid w:val="61F4714D"/>
    <w:rsid w:val="6298186E"/>
    <w:rsid w:val="62D559AF"/>
    <w:rsid w:val="63136946"/>
    <w:rsid w:val="634E0BFD"/>
    <w:rsid w:val="639C78BD"/>
    <w:rsid w:val="645D37AF"/>
    <w:rsid w:val="64BE00A4"/>
    <w:rsid w:val="64CE3BD1"/>
    <w:rsid w:val="65144950"/>
    <w:rsid w:val="65422D4F"/>
    <w:rsid w:val="656C6332"/>
    <w:rsid w:val="65B86EE6"/>
    <w:rsid w:val="66C85109"/>
    <w:rsid w:val="66E11A66"/>
    <w:rsid w:val="67AE2497"/>
    <w:rsid w:val="67C41CBB"/>
    <w:rsid w:val="681A56C2"/>
    <w:rsid w:val="684318AA"/>
    <w:rsid w:val="6A516F28"/>
    <w:rsid w:val="6A802926"/>
    <w:rsid w:val="6A88563D"/>
    <w:rsid w:val="6AB9187F"/>
    <w:rsid w:val="6AF13796"/>
    <w:rsid w:val="6B965E5B"/>
    <w:rsid w:val="6C33740F"/>
    <w:rsid w:val="6C9A5295"/>
    <w:rsid w:val="6CDE34BF"/>
    <w:rsid w:val="6D572222"/>
    <w:rsid w:val="6D6A6E60"/>
    <w:rsid w:val="6D8A711B"/>
    <w:rsid w:val="6EB54BA2"/>
    <w:rsid w:val="6EBB4295"/>
    <w:rsid w:val="6F7915DC"/>
    <w:rsid w:val="6FBE05E9"/>
    <w:rsid w:val="70112588"/>
    <w:rsid w:val="7045716D"/>
    <w:rsid w:val="704B617C"/>
    <w:rsid w:val="704C5591"/>
    <w:rsid w:val="705966B7"/>
    <w:rsid w:val="706E1D17"/>
    <w:rsid w:val="70702484"/>
    <w:rsid w:val="70B10931"/>
    <w:rsid w:val="718E48CE"/>
    <w:rsid w:val="72576487"/>
    <w:rsid w:val="72F17C4C"/>
    <w:rsid w:val="73272C99"/>
    <w:rsid w:val="732857F3"/>
    <w:rsid w:val="73547F49"/>
    <w:rsid w:val="73D47B1B"/>
    <w:rsid w:val="743D4B16"/>
    <w:rsid w:val="7524023C"/>
    <w:rsid w:val="75605DEF"/>
    <w:rsid w:val="75F705EE"/>
    <w:rsid w:val="76276979"/>
    <w:rsid w:val="767173B7"/>
    <w:rsid w:val="76A74C81"/>
    <w:rsid w:val="76AC5DF9"/>
    <w:rsid w:val="77F17B85"/>
    <w:rsid w:val="78202F3D"/>
    <w:rsid w:val="784813C5"/>
    <w:rsid w:val="786C45B6"/>
    <w:rsid w:val="78A07E1A"/>
    <w:rsid w:val="78AB3FAF"/>
    <w:rsid w:val="790F4618"/>
    <w:rsid w:val="795456E5"/>
    <w:rsid w:val="79C25BC5"/>
    <w:rsid w:val="79DF5F38"/>
    <w:rsid w:val="7A86111E"/>
    <w:rsid w:val="7B223D6B"/>
    <w:rsid w:val="7C260CFC"/>
    <w:rsid w:val="7C413482"/>
    <w:rsid w:val="7C6605B8"/>
    <w:rsid w:val="7CD90CCA"/>
    <w:rsid w:val="7D453845"/>
    <w:rsid w:val="7D754A9C"/>
    <w:rsid w:val="7DE44C08"/>
    <w:rsid w:val="7E082795"/>
    <w:rsid w:val="7F413E4E"/>
    <w:rsid w:val="7F637BB3"/>
    <w:rsid w:val="7F8A52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qFormat="1" w:unhideWhenUsed="0" w:uiPriority="0" w:name="annotation reference"/>
    <w:lsdException w:unhideWhenUsed="0" w:uiPriority="0" w:semiHidden="0" w:name="line number"/>
    <w:lsdException w:qFormat="1" w:unhideWhenUsed="0" w:uiPriority="0" w:semiHidden="0" w:name="page number"/>
    <w:lsdException w:qFormat="1" w:unhideWhenUsed="0" w:uiPriority="0" w:name="endnote reference"/>
    <w:lsdException w:qFormat="1" w:unhideWhenUsed="0" w:uiPriority="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99"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paragraph" w:styleId="7">
    <w:name w:val="heading 6"/>
    <w:basedOn w:val="1"/>
    <w:next w:val="1"/>
    <w:link w:val="165"/>
    <w:autoRedefine/>
    <w:semiHidden/>
    <w:unhideWhenUsed/>
    <w:qFormat/>
    <w:uiPriority w:val="0"/>
    <w:pPr>
      <w:keepNext/>
      <w:keepLines/>
      <w:spacing w:before="240" w:after="64" w:line="320" w:lineRule="auto"/>
      <w:outlineLvl w:val="5"/>
    </w:pPr>
    <w:rPr>
      <w:rFonts w:ascii="等线 Light" w:hAnsi="等线 Light" w:eastAsia="等线 Light"/>
      <w:b/>
      <w:bCs/>
      <w:sz w:val="24"/>
    </w:rPr>
  </w:style>
  <w:style w:type="character" w:default="1" w:styleId="43">
    <w:name w:val="Default Paragraph Font"/>
    <w:autoRedefine/>
    <w:semiHidden/>
    <w:unhideWhenUsed/>
    <w:qFormat/>
    <w:uiPriority w:val="1"/>
  </w:style>
  <w:style w:type="table" w:default="1" w:styleId="41">
    <w:name w:val="Normal Table"/>
    <w:autoRedefine/>
    <w:semiHidden/>
    <w:unhideWhenUsed/>
    <w:qFormat/>
    <w:uiPriority w:val="99"/>
    <w:tblPr>
      <w:tblCellMar>
        <w:top w:w="0" w:type="dxa"/>
        <w:left w:w="108" w:type="dxa"/>
        <w:bottom w:w="0" w:type="dxa"/>
        <w:right w:w="108" w:type="dxa"/>
      </w:tblCellMar>
    </w:tblPr>
  </w:style>
  <w:style w:type="paragraph" w:styleId="8">
    <w:name w:val="toc 7"/>
    <w:basedOn w:val="1"/>
    <w:next w:val="1"/>
    <w:autoRedefine/>
    <w:semiHidden/>
    <w:qFormat/>
    <w:uiPriority w:val="0"/>
    <w:pPr>
      <w:tabs>
        <w:tab w:val="right" w:leader="dot" w:pos="9242"/>
      </w:tabs>
      <w:ind w:firstLine="6259" w:firstLineChars="500"/>
      <w:jc w:val="left"/>
    </w:pPr>
    <w:rPr>
      <w:rFonts w:ascii="宋体"/>
      <w:szCs w:val="21"/>
    </w:rPr>
  </w:style>
  <w:style w:type="paragraph" w:styleId="9">
    <w:name w:val="index 8"/>
    <w:basedOn w:val="1"/>
    <w:next w:val="1"/>
    <w:autoRedefine/>
    <w:qFormat/>
    <w:uiPriority w:val="0"/>
    <w:pPr>
      <w:ind w:left="1680" w:hanging="210"/>
      <w:jc w:val="left"/>
    </w:pPr>
    <w:rPr>
      <w:rFonts w:ascii="Calibri" w:hAnsi="Calibri"/>
      <w:sz w:val="20"/>
      <w:szCs w:val="20"/>
    </w:rPr>
  </w:style>
  <w:style w:type="paragraph" w:styleId="10">
    <w:name w:val="caption"/>
    <w:basedOn w:val="1"/>
    <w:next w:val="1"/>
    <w:autoRedefine/>
    <w:qFormat/>
    <w:uiPriority w:val="0"/>
    <w:pPr>
      <w:spacing w:before="152" w:after="160"/>
    </w:pPr>
    <w:rPr>
      <w:rFonts w:ascii="Arial" w:hAnsi="Arial" w:eastAsia="黑体" w:cs="Arial"/>
      <w:sz w:val="20"/>
      <w:szCs w:val="20"/>
    </w:rPr>
  </w:style>
  <w:style w:type="paragraph" w:styleId="11">
    <w:name w:val="index 5"/>
    <w:basedOn w:val="1"/>
    <w:next w:val="1"/>
    <w:autoRedefine/>
    <w:qFormat/>
    <w:uiPriority w:val="0"/>
    <w:pPr>
      <w:ind w:left="1050" w:hanging="210"/>
      <w:jc w:val="left"/>
    </w:pPr>
    <w:rPr>
      <w:rFonts w:ascii="Calibri" w:hAnsi="Calibri"/>
      <w:sz w:val="20"/>
      <w:szCs w:val="20"/>
    </w:rPr>
  </w:style>
  <w:style w:type="paragraph" w:styleId="12">
    <w:name w:val="Document Map"/>
    <w:basedOn w:val="1"/>
    <w:autoRedefine/>
    <w:semiHidden/>
    <w:qFormat/>
    <w:uiPriority w:val="0"/>
    <w:pPr>
      <w:shd w:val="clear" w:color="auto" w:fill="000080"/>
    </w:pPr>
  </w:style>
  <w:style w:type="paragraph" w:styleId="13">
    <w:name w:val="annotation text"/>
    <w:basedOn w:val="1"/>
    <w:autoRedefine/>
    <w:qFormat/>
    <w:uiPriority w:val="0"/>
    <w:pPr>
      <w:jc w:val="left"/>
    </w:pPr>
  </w:style>
  <w:style w:type="paragraph" w:styleId="14">
    <w:name w:val="index 6"/>
    <w:basedOn w:val="1"/>
    <w:next w:val="1"/>
    <w:autoRedefine/>
    <w:qFormat/>
    <w:uiPriority w:val="0"/>
    <w:pPr>
      <w:ind w:left="1260" w:hanging="210"/>
      <w:jc w:val="left"/>
    </w:pPr>
    <w:rPr>
      <w:rFonts w:ascii="Calibri" w:hAnsi="Calibri"/>
      <w:sz w:val="20"/>
      <w:szCs w:val="20"/>
    </w:rPr>
  </w:style>
  <w:style w:type="paragraph" w:styleId="15">
    <w:name w:val="Body Text"/>
    <w:basedOn w:val="1"/>
    <w:autoRedefine/>
    <w:semiHidden/>
    <w:unhideWhenUsed/>
    <w:qFormat/>
    <w:uiPriority w:val="99"/>
    <w:pPr>
      <w:spacing w:after="120"/>
    </w:pPr>
  </w:style>
  <w:style w:type="paragraph" w:styleId="16">
    <w:name w:val="index 4"/>
    <w:basedOn w:val="1"/>
    <w:next w:val="1"/>
    <w:autoRedefine/>
    <w:qFormat/>
    <w:uiPriority w:val="0"/>
    <w:pPr>
      <w:ind w:left="840" w:hanging="210"/>
      <w:jc w:val="left"/>
    </w:pPr>
    <w:rPr>
      <w:rFonts w:ascii="Calibri" w:hAnsi="Calibri"/>
      <w:sz w:val="20"/>
      <w:szCs w:val="20"/>
    </w:rPr>
  </w:style>
  <w:style w:type="paragraph" w:styleId="17">
    <w:name w:val="toc 5"/>
    <w:basedOn w:val="1"/>
    <w:next w:val="1"/>
    <w:autoRedefine/>
    <w:semiHidden/>
    <w:qFormat/>
    <w:uiPriority w:val="0"/>
    <w:pPr>
      <w:tabs>
        <w:tab w:val="right" w:leader="dot" w:pos="9242"/>
      </w:tabs>
      <w:ind w:firstLine="3755" w:firstLineChars="300"/>
      <w:jc w:val="left"/>
    </w:pPr>
    <w:rPr>
      <w:rFonts w:ascii="宋体"/>
      <w:szCs w:val="21"/>
    </w:rPr>
  </w:style>
  <w:style w:type="paragraph" w:styleId="18">
    <w:name w:val="toc 3"/>
    <w:basedOn w:val="1"/>
    <w:next w:val="1"/>
    <w:autoRedefine/>
    <w:qFormat/>
    <w:uiPriority w:val="39"/>
    <w:pPr>
      <w:tabs>
        <w:tab w:val="right" w:leader="dot" w:pos="9242"/>
      </w:tabs>
      <w:ind w:firstLine="1252" w:firstLineChars="100"/>
      <w:jc w:val="left"/>
    </w:pPr>
    <w:rPr>
      <w:rFonts w:ascii="宋体"/>
      <w:szCs w:val="21"/>
    </w:rPr>
  </w:style>
  <w:style w:type="paragraph" w:styleId="19">
    <w:name w:val="toc 8"/>
    <w:basedOn w:val="1"/>
    <w:next w:val="1"/>
    <w:autoRedefine/>
    <w:semiHidden/>
    <w:qFormat/>
    <w:uiPriority w:val="0"/>
    <w:pPr>
      <w:tabs>
        <w:tab w:val="right" w:leader="dot" w:pos="9242"/>
      </w:tabs>
      <w:ind w:firstLine="7511" w:firstLineChars="600"/>
      <w:jc w:val="left"/>
    </w:pPr>
    <w:rPr>
      <w:rFonts w:ascii="宋体"/>
      <w:szCs w:val="21"/>
    </w:rPr>
  </w:style>
  <w:style w:type="paragraph" w:styleId="20">
    <w:name w:val="index 3"/>
    <w:basedOn w:val="1"/>
    <w:next w:val="1"/>
    <w:autoRedefine/>
    <w:qFormat/>
    <w:uiPriority w:val="0"/>
    <w:pPr>
      <w:ind w:left="630" w:hanging="210"/>
      <w:jc w:val="left"/>
    </w:pPr>
    <w:rPr>
      <w:rFonts w:ascii="Calibri" w:hAnsi="Calibri"/>
      <w:sz w:val="20"/>
      <w:szCs w:val="20"/>
    </w:rPr>
  </w:style>
  <w:style w:type="paragraph" w:styleId="21">
    <w:name w:val="Body Text Indent 2"/>
    <w:basedOn w:val="1"/>
    <w:link w:val="168"/>
    <w:autoRedefine/>
    <w:unhideWhenUsed/>
    <w:qFormat/>
    <w:uiPriority w:val="99"/>
    <w:pPr>
      <w:spacing w:after="120" w:line="480" w:lineRule="auto"/>
      <w:ind w:left="420" w:leftChars="200"/>
      <w:jc w:val="left"/>
    </w:pPr>
    <w:rPr>
      <w:rFonts w:eastAsia="PMingLiU"/>
      <w:sz w:val="24"/>
      <w:lang w:eastAsia="zh-TW"/>
    </w:rPr>
  </w:style>
  <w:style w:type="paragraph" w:styleId="22">
    <w:name w:val="endnote text"/>
    <w:basedOn w:val="1"/>
    <w:autoRedefine/>
    <w:semiHidden/>
    <w:qFormat/>
    <w:uiPriority w:val="0"/>
    <w:pPr>
      <w:snapToGrid w:val="0"/>
      <w:jc w:val="left"/>
    </w:pPr>
  </w:style>
  <w:style w:type="paragraph" w:styleId="23">
    <w:name w:val="Balloon Text"/>
    <w:basedOn w:val="1"/>
    <w:autoRedefine/>
    <w:semiHidden/>
    <w:qFormat/>
    <w:uiPriority w:val="0"/>
    <w:rPr>
      <w:sz w:val="18"/>
      <w:szCs w:val="18"/>
    </w:rPr>
  </w:style>
  <w:style w:type="paragraph" w:styleId="24">
    <w:name w:val="footer"/>
    <w:basedOn w:val="1"/>
    <w:link w:val="166"/>
    <w:autoRedefine/>
    <w:qFormat/>
    <w:uiPriority w:val="99"/>
    <w:pPr>
      <w:snapToGrid w:val="0"/>
      <w:ind w:right="210" w:rightChars="100"/>
      <w:jc w:val="right"/>
    </w:pPr>
    <w:rPr>
      <w:sz w:val="18"/>
      <w:szCs w:val="18"/>
    </w:rPr>
  </w:style>
  <w:style w:type="paragraph" w:styleId="25">
    <w:name w:val="header"/>
    <w:basedOn w:val="1"/>
    <w:link w:val="63"/>
    <w:autoRedefine/>
    <w:qFormat/>
    <w:uiPriority w:val="99"/>
    <w:pPr>
      <w:snapToGrid w:val="0"/>
      <w:jc w:val="left"/>
    </w:pPr>
    <w:rPr>
      <w:sz w:val="18"/>
      <w:szCs w:val="18"/>
    </w:rPr>
  </w:style>
  <w:style w:type="paragraph" w:styleId="26">
    <w:name w:val="toc 1"/>
    <w:basedOn w:val="1"/>
    <w:next w:val="1"/>
    <w:autoRedefine/>
    <w:qFormat/>
    <w:uiPriority w:val="39"/>
    <w:pPr>
      <w:tabs>
        <w:tab w:val="right" w:leader="dot" w:pos="9242"/>
      </w:tabs>
      <w:spacing w:beforeLines="25" w:afterLines="25"/>
      <w:jc w:val="left"/>
    </w:pPr>
    <w:rPr>
      <w:rFonts w:ascii="宋体"/>
      <w:szCs w:val="21"/>
    </w:rPr>
  </w:style>
  <w:style w:type="paragraph" w:styleId="27">
    <w:name w:val="toc 4"/>
    <w:basedOn w:val="1"/>
    <w:next w:val="1"/>
    <w:autoRedefine/>
    <w:semiHidden/>
    <w:qFormat/>
    <w:uiPriority w:val="0"/>
    <w:pPr>
      <w:tabs>
        <w:tab w:val="right" w:leader="dot" w:pos="9242"/>
      </w:tabs>
      <w:ind w:firstLine="2504" w:firstLineChars="200"/>
      <w:jc w:val="left"/>
    </w:pPr>
    <w:rPr>
      <w:rFonts w:ascii="宋体"/>
      <w:szCs w:val="21"/>
    </w:rPr>
  </w:style>
  <w:style w:type="paragraph" w:styleId="28">
    <w:name w:val="index heading"/>
    <w:basedOn w:val="1"/>
    <w:next w:val="29"/>
    <w:autoRedefine/>
    <w:qFormat/>
    <w:uiPriority w:val="0"/>
    <w:pPr>
      <w:spacing w:before="120" w:after="120"/>
      <w:jc w:val="center"/>
    </w:pPr>
    <w:rPr>
      <w:rFonts w:ascii="Calibri" w:hAnsi="Calibri"/>
      <w:b/>
      <w:bCs/>
      <w:iCs/>
      <w:szCs w:val="20"/>
    </w:rPr>
  </w:style>
  <w:style w:type="paragraph" w:styleId="29">
    <w:name w:val="index 1"/>
    <w:basedOn w:val="1"/>
    <w:next w:val="30"/>
    <w:autoRedefine/>
    <w:qFormat/>
    <w:uiPriority w:val="0"/>
    <w:pPr>
      <w:tabs>
        <w:tab w:val="right" w:leader="dot" w:pos="9299"/>
      </w:tabs>
      <w:jc w:val="left"/>
    </w:pPr>
    <w:rPr>
      <w:rFonts w:ascii="宋体"/>
      <w:szCs w:val="21"/>
    </w:rPr>
  </w:style>
  <w:style w:type="paragraph" w:customStyle="1" w:styleId="30">
    <w:name w:val="段"/>
    <w:link w:val="68"/>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styleId="31">
    <w:name w:val="footnote text"/>
    <w:basedOn w:val="1"/>
    <w:autoRedefine/>
    <w:qFormat/>
    <w:uiPriority w:val="0"/>
    <w:pPr>
      <w:numPr>
        <w:ilvl w:val="0"/>
        <w:numId w:val="1"/>
      </w:numPr>
      <w:snapToGrid w:val="0"/>
      <w:jc w:val="left"/>
    </w:pPr>
    <w:rPr>
      <w:rFonts w:ascii="宋体"/>
      <w:sz w:val="18"/>
      <w:szCs w:val="18"/>
    </w:rPr>
  </w:style>
  <w:style w:type="paragraph" w:styleId="32">
    <w:name w:val="toc 6"/>
    <w:basedOn w:val="1"/>
    <w:next w:val="1"/>
    <w:autoRedefine/>
    <w:semiHidden/>
    <w:qFormat/>
    <w:uiPriority w:val="0"/>
    <w:pPr>
      <w:tabs>
        <w:tab w:val="right" w:leader="dot" w:pos="9242"/>
      </w:tabs>
      <w:ind w:firstLine="5007" w:firstLineChars="400"/>
      <w:jc w:val="left"/>
    </w:pPr>
    <w:rPr>
      <w:rFonts w:ascii="宋体"/>
      <w:szCs w:val="21"/>
    </w:rPr>
  </w:style>
  <w:style w:type="paragraph" w:styleId="33">
    <w:name w:val="index 7"/>
    <w:basedOn w:val="1"/>
    <w:next w:val="1"/>
    <w:autoRedefine/>
    <w:qFormat/>
    <w:uiPriority w:val="0"/>
    <w:pPr>
      <w:ind w:left="1470" w:hanging="210"/>
      <w:jc w:val="left"/>
    </w:pPr>
    <w:rPr>
      <w:rFonts w:ascii="Calibri" w:hAnsi="Calibri"/>
      <w:sz w:val="20"/>
      <w:szCs w:val="20"/>
    </w:rPr>
  </w:style>
  <w:style w:type="paragraph" w:styleId="34">
    <w:name w:val="index 9"/>
    <w:basedOn w:val="1"/>
    <w:next w:val="1"/>
    <w:autoRedefine/>
    <w:qFormat/>
    <w:uiPriority w:val="0"/>
    <w:pPr>
      <w:ind w:left="1890" w:hanging="210"/>
      <w:jc w:val="left"/>
    </w:pPr>
    <w:rPr>
      <w:rFonts w:ascii="Calibri" w:hAnsi="Calibri"/>
      <w:sz w:val="20"/>
      <w:szCs w:val="20"/>
    </w:rPr>
  </w:style>
  <w:style w:type="paragraph" w:styleId="35">
    <w:name w:val="toc 2"/>
    <w:basedOn w:val="1"/>
    <w:next w:val="1"/>
    <w:autoRedefine/>
    <w:qFormat/>
    <w:uiPriority w:val="39"/>
    <w:pPr>
      <w:tabs>
        <w:tab w:val="right" w:leader="dot" w:pos="9242"/>
      </w:tabs>
    </w:pPr>
    <w:rPr>
      <w:rFonts w:ascii="宋体"/>
      <w:szCs w:val="21"/>
    </w:rPr>
  </w:style>
  <w:style w:type="paragraph" w:styleId="36">
    <w:name w:val="toc 9"/>
    <w:basedOn w:val="1"/>
    <w:next w:val="1"/>
    <w:autoRedefine/>
    <w:semiHidden/>
    <w:qFormat/>
    <w:uiPriority w:val="0"/>
    <w:pPr>
      <w:ind w:left="1470"/>
      <w:jc w:val="left"/>
    </w:pPr>
    <w:rPr>
      <w:sz w:val="20"/>
      <w:szCs w:val="20"/>
    </w:rPr>
  </w:style>
  <w:style w:type="paragraph" w:styleId="37">
    <w:name w:val="Normal (Web)"/>
    <w:basedOn w:val="1"/>
    <w:autoRedefine/>
    <w:qFormat/>
    <w:uiPriority w:val="0"/>
    <w:pPr>
      <w:spacing w:beforeAutospacing="1" w:afterAutospacing="1"/>
      <w:jc w:val="left"/>
    </w:pPr>
    <w:rPr>
      <w:kern w:val="0"/>
      <w:sz w:val="24"/>
    </w:rPr>
  </w:style>
  <w:style w:type="paragraph" w:styleId="38">
    <w:name w:val="index 2"/>
    <w:basedOn w:val="1"/>
    <w:next w:val="1"/>
    <w:autoRedefine/>
    <w:qFormat/>
    <w:uiPriority w:val="0"/>
    <w:pPr>
      <w:ind w:left="420" w:hanging="210"/>
      <w:jc w:val="left"/>
    </w:pPr>
    <w:rPr>
      <w:rFonts w:ascii="Calibri" w:hAnsi="Calibri"/>
      <w:sz w:val="20"/>
      <w:szCs w:val="20"/>
    </w:rPr>
  </w:style>
  <w:style w:type="paragraph" w:styleId="39">
    <w:name w:val="annotation subject"/>
    <w:basedOn w:val="13"/>
    <w:next w:val="13"/>
    <w:autoRedefine/>
    <w:semiHidden/>
    <w:qFormat/>
    <w:uiPriority w:val="0"/>
    <w:rPr>
      <w:b/>
      <w:bCs/>
    </w:rPr>
  </w:style>
  <w:style w:type="paragraph" w:styleId="40">
    <w:name w:val="Body Text First Indent"/>
    <w:basedOn w:val="15"/>
    <w:autoRedefine/>
    <w:qFormat/>
    <w:uiPriority w:val="0"/>
    <w:pPr>
      <w:ind w:firstLine="420" w:firstLineChars="100"/>
    </w:pPr>
  </w:style>
  <w:style w:type="table" w:styleId="42">
    <w:name w:val="Table Grid"/>
    <w:basedOn w:val="41"/>
    <w:autoRedefine/>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44">
    <w:name w:val="Strong"/>
    <w:basedOn w:val="43"/>
    <w:autoRedefine/>
    <w:qFormat/>
    <w:uiPriority w:val="0"/>
    <w:rPr>
      <w:b/>
    </w:rPr>
  </w:style>
  <w:style w:type="character" w:styleId="45">
    <w:name w:val="endnote reference"/>
    <w:autoRedefine/>
    <w:semiHidden/>
    <w:qFormat/>
    <w:uiPriority w:val="0"/>
    <w:rPr>
      <w:vertAlign w:val="superscript"/>
    </w:rPr>
  </w:style>
  <w:style w:type="character" w:styleId="46">
    <w:name w:val="page number"/>
    <w:autoRedefine/>
    <w:qFormat/>
    <w:uiPriority w:val="0"/>
    <w:rPr>
      <w:rFonts w:ascii="Times New Roman" w:hAnsi="Times New Roman" w:eastAsia="宋体"/>
      <w:sz w:val="18"/>
    </w:rPr>
  </w:style>
  <w:style w:type="character" w:styleId="47">
    <w:name w:val="FollowedHyperlink"/>
    <w:autoRedefine/>
    <w:qFormat/>
    <w:uiPriority w:val="0"/>
    <w:rPr>
      <w:color w:val="800080"/>
      <w:u w:val="single"/>
    </w:rPr>
  </w:style>
  <w:style w:type="character" w:styleId="48">
    <w:name w:val="Emphasis"/>
    <w:autoRedefine/>
    <w:qFormat/>
    <w:uiPriority w:val="20"/>
    <w:rPr>
      <w:i/>
      <w:iCs/>
    </w:rPr>
  </w:style>
  <w:style w:type="character" w:styleId="49">
    <w:name w:val="Hyperlink"/>
    <w:autoRedefine/>
    <w:qFormat/>
    <w:uiPriority w:val="99"/>
    <w:rPr>
      <w:color w:val="0000FF"/>
      <w:spacing w:val="0"/>
      <w:w w:val="100"/>
      <w:szCs w:val="21"/>
      <w:u w:val="single"/>
    </w:rPr>
  </w:style>
  <w:style w:type="character" w:styleId="50">
    <w:name w:val="annotation reference"/>
    <w:autoRedefine/>
    <w:semiHidden/>
    <w:qFormat/>
    <w:uiPriority w:val="0"/>
    <w:rPr>
      <w:sz w:val="21"/>
      <w:szCs w:val="21"/>
    </w:rPr>
  </w:style>
  <w:style w:type="character" w:styleId="51">
    <w:name w:val="footnote reference"/>
    <w:autoRedefine/>
    <w:semiHidden/>
    <w:qFormat/>
    <w:uiPriority w:val="0"/>
    <w:rPr>
      <w:vertAlign w:val="superscript"/>
    </w:rPr>
  </w:style>
  <w:style w:type="paragraph" w:styleId="52">
    <w:name w:val="List Paragraph"/>
    <w:basedOn w:val="1"/>
    <w:autoRedefine/>
    <w:qFormat/>
    <w:uiPriority w:val="34"/>
    <w:pPr>
      <w:ind w:firstLine="420" w:firstLineChars="200"/>
    </w:pPr>
  </w:style>
  <w:style w:type="character" w:styleId="53">
    <w:name w:val="Placeholder Text"/>
    <w:autoRedefine/>
    <w:semiHidden/>
    <w:qFormat/>
    <w:uiPriority w:val="99"/>
    <w:rPr>
      <w:color w:val="808080"/>
    </w:rPr>
  </w:style>
  <w:style w:type="character" w:customStyle="1" w:styleId="54">
    <w:name w:val="font531"/>
    <w:autoRedefine/>
    <w:qFormat/>
    <w:uiPriority w:val="0"/>
    <w:rPr>
      <w:rFonts w:hint="default" w:ascii="Arial" w:hAnsi="Arial" w:cs="Arial"/>
      <w:color w:val="000000"/>
      <w:sz w:val="24"/>
      <w:szCs w:val="24"/>
      <w:u w:val="none"/>
    </w:rPr>
  </w:style>
  <w:style w:type="character" w:customStyle="1" w:styleId="55">
    <w:name w:val="首示例 Char"/>
    <w:link w:val="56"/>
    <w:autoRedefine/>
    <w:qFormat/>
    <w:uiPriority w:val="0"/>
    <w:rPr>
      <w:rFonts w:ascii="宋体" w:hAnsi="宋体"/>
      <w:kern w:val="2"/>
      <w:sz w:val="18"/>
      <w:szCs w:val="18"/>
      <w:lang w:val="en-US" w:eastAsia="zh-CN" w:bidi="ar-SA"/>
    </w:rPr>
  </w:style>
  <w:style w:type="paragraph" w:customStyle="1" w:styleId="56">
    <w:name w:val="首示例"/>
    <w:next w:val="30"/>
    <w:link w:val="55"/>
    <w:autoRedefine/>
    <w:qFormat/>
    <w:uiPriority w:val="0"/>
    <w:pPr>
      <w:tabs>
        <w:tab w:val="left" w:pos="360"/>
      </w:tabs>
    </w:pPr>
    <w:rPr>
      <w:rFonts w:ascii="宋体" w:hAnsi="宋体" w:eastAsia="宋体" w:cs="Times New Roman"/>
      <w:kern w:val="2"/>
      <w:sz w:val="18"/>
      <w:szCs w:val="18"/>
      <w:lang w:val="en-US" w:eastAsia="zh-CN" w:bidi="ar-SA"/>
    </w:rPr>
  </w:style>
  <w:style w:type="character" w:customStyle="1" w:styleId="57">
    <w:name w:val="font451"/>
    <w:autoRedefine/>
    <w:qFormat/>
    <w:uiPriority w:val="0"/>
    <w:rPr>
      <w:rFonts w:hint="eastAsia" w:ascii="等线" w:hAnsi="等线" w:eastAsia="等线"/>
      <w:color w:val="000000"/>
      <w:sz w:val="22"/>
      <w:szCs w:val="22"/>
      <w:u w:val="none"/>
    </w:rPr>
  </w:style>
  <w:style w:type="character" w:customStyle="1" w:styleId="58">
    <w:name w:val="二级条标题 Char"/>
    <w:link w:val="59"/>
    <w:autoRedefine/>
    <w:qFormat/>
    <w:locked/>
    <w:uiPriority w:val="0"/>
    <w:rPr>
      <w:rFonts w:ascii="黑体" w:eastAsia="黑体"/>
      <w:sz w:val="21"/>
      <w:szCs w:val="21"/>
    </w:rPr>
  </w:style>
  <w:style w:type="paragraph" w:customStyle="1" w:styleId="59">
    <w:name w:val="二级条标题"/>
    <w:basedOn w:val="60"/>
    <w:next w:val="30"/>
    <w:link w:val="58"/>
    <w:autoRedefine/>
    <w:qFormat/>
    <w:uiPriority w:val="0"/>
    <w:pPr>
      <w:numPr>
        <w:ilvl w:val="2"/>
      </w:numPr>
      <w:spacing w:before="50" w:after="50"/>
      <w:ind w:left="1843"/>
      <w:outlineLvl w:val="3"/>
    </w:pPr>
  </w:style>
  <w:style w:type="paragraph" w:customStyle="1" w:styleId="60">
    <w:name w:val="一级条标题"/>
    <w:next w:val="30"/>
    <w:autoRedefine/>
    <w:qFormat/>
    <w:uiPriority w:val="0"/>
    <w:pPr>
      <w:numPr>
        <w:ilvl w:val="1"/>
        <w:numId w:val="2"/>
      </w:numPr>
      <w:spacing w:beforeLines="50" w:afterLines="50"/>
      <w:outlineLvl w:val="2"/>
    </w:pPr>
    <w:rPr>
      <w:rFonts w:ascii="黑体" w:hAnsi="Times New Roman" w:eastAsia="黑体" w:cs="Times New Roman"/>
      <w:sz w:val="21"/>
      <w:szCs w:val="21"/>
      <w:lang w:val="en-US" w:eastAsia="zh-CN" w:bidi="ar-SA"/>
    </w:rPr>
  </w:style>
  <w:style w:type="character" w:customStyle="1" w:styleId="61">
    <w:name w:val="三级条标题 Char"/>
    <w:link w:val="62"/>
    <w:autoRedefine/>
    <w:qFormat/>
    <w:uiPriority w:val="0"/>
    <w:rPr>
      <w:rFonts w:ascii="黑体" w:eastAsia="黑体"/>
      <w:sz w:val="21"/>
      <w:szCs w:val="21"/>
    </w:rPr>
  </w:style>
  <w:style w:type="paragraph" w:customStyle="1" w:styleId="62">
    <w:name w:val="三级条标题"/>
    <w:basedOn w:val="59"/>
    <w:next w:val="30"/>
    <w:link w:val="61"/>
    <w:autoRedefine/>
    <w:qFormat/>
    <w:uiPriority w:val="0"/>
    <w:pPr>
      <w:numPr>
        <w:ilvl w:val="3"/>
      </w:numPr>
      <w:outlineLvl w:val="4"/>
    </w:pPr>
  </w:style>
  <w:style w:type="character" w:customStyle="1" w:styleId="63">
    <w:name w:val="页眉 字符"/>
    <w:link w:val="25"/>
    <w:autoRedefine/>
    <w:qFormat/>
    <w:uiPriority w:val="99"/>
    <w:rPr>
      <w:kern w:val="2"/>
      <w:sz w:val="18"/>
      <w:szCs w:val="18"/>
    </w:rPr>
  </w:style>
  <w:style w:type="character" w:customStyle="1" w:styleId="64">
    <w:name w:val="样式1 字符"/>
    <w:link w:val="65"/>
    <w:autoRedefine/>
    <w:qFormat/>
    <w:uiPriority w:val="0"/>
    <w:rPr>
      <w:rFonts w:ascii="Cambria Math" w:hAnsi="Cambria Math"/>
      <w:i/>
      <w:sz w:val="28"/>
      <w:szCs w:val="28"/>
      <w:lang w:val="en-US" w:eastAsia="zh-CN" w:bidi="ar-SA"/>
    </w:rPr>
  </w:style>
  <w:style w:type="paragraph" w:customStyle="1" w:styleId="65">
    <w:name w:val="样式1"/>
    <w:basedOn w:val="66"/>
    <w:link w:val="64"/>
    <w:autoRedefine/>
    <w:qFormat/>
    <w:uiPriority w:val="0"/>
    <w:pPr>
      <w:tabs>
        <w:tab w:val="center" w:pos="4201"/>
        <w:tab w:val="right" w:leader="dot" w:pos="9298"/>
      </w:tabs>
      <w:spacing w:beforeLines="50" w:afterLines="50"/>
      <w:ind w:firstLine="200"/>
    </w:pPr>
    <w:rPr>
      <w:rFonts w:ascii="Cambria Math" w:hAnsi="Cambria Math"/>
      <w:i/>
      <w:sz w:val="28"/>
      <w:szCs w:val="28"/>
    </w:rPr>
  </w:style>
  <w:style w:type="paragraph" w:customStyle="1" w:styleId="66">
    <w:name w:val="附录公式"/>
    <w:basedOn w:val="30"/>
    <w:next w:val="30"/>
    <w:link w:val="67"/>
    <w:autoRedefine/>
    <w:qFormat/>
    <w:uiPriority w:val="0"/>
  </w:style>
  <w:style w:type="character" w:customStyle="1" w:styleId="67">
    <w:name w:val="附录公式 Char"/>
    <w:link w:val="66"/>
    <w:autoRedefine/>
    <w:qFormat/>
    <w:uiPriority w:val="0"/>
    <w:rPr>
      <w:rFonts w:ascii="宋体"/>
      <w:sz w:val="21"/>
      <w:lang w:val="en-US" w:eastAsia="zh-CN" w:bidi="ar-SA"/>
    </w:rPr>
  </w:style>
  <w:style w:type="character" w:customStyle="1" w:styleId="68">
    <w:name w:val="段 Char"/>
    <w:link w:val="30"/>
    <w:autoRedefine/>
    <w:qFormat/>
    <w:uiPriority w:val="0"/>
    <w:rPr>
      <w:rFonts w:ascii="宋体"/>
      <w:sz w:val="21"/>
      <w:lang w:val="en-US" w:eastAsia="zh-CN" w:bidi="ar-SA"/>
    </w:rPr>
  </w:style>
  <w:style w:type="character" w:customStyle="1" w:styleId="69">
    <w:name w:val="font441"/>
    <w:autoRedefine/>
    <w:qFormat/>
    <w:uiPriority w:val="0"/>
    <w:rPr>
      <w:rFonts w:hint="eastAsia" w:ascii="等线" w:hAnsi="等线" w:eastAsia="等线"/>
      <w:color w:val="000000"/>
      <w:sz w:val="24"/>
      <w:szCs w:val="24"/>
      <w:u w:val="none"/>
    </w:rPr>
  </w:style>
  <w:style w:type="character" w:customStyle="1" w:styleId="70">
    <w:name w:val="font541"/>
    <w:autoRedefine/>
    <w:qFormat/>
    <w:uiPriority w:val="0"/>
    <w:rPr>
      <w:rFonts w:hint="default" w:ascii="Arial" w:hAnsi="Arial" w:cs="Arial"/>
      <w:color w:val="000000"/>
      <w:sz w:val="22"/>
      <w:szCs w:val="22"/>
      <w:u w:val="none"/>
    </w:rPr>
  </w:style>
  <w:style w:type="character" w:customStyle="1" w:styleId="71">
    <w:name w:val="发布"/>
    <w:autoRedefine/>
    <w:qFormat/>
    <w:uiPriority w:val="0"/>
    <w:rPr>
      <w:rFonts w:ascii="黑体" w:eastAsia="黑体"/>
      <w:spacing w:val="85"/>
      <w:w w:val="100"/>
      <w:position w:val="3"/>
      <w:sz w:val="28"/>
      <w:szCs w:val="28"/>
    </w:rPr>
  </w:style>
  <w:style w:type="character" w:customStyle="1" w:styleId="72">
    <w:name w:val="apple-style-span"/>
    <w:autoRedefine/>
    <w:qFormat/>
    <w:uiPriority w:val="0"/>
  </w:style>
  <w:style w:type="paragraph" w:customStyle="1" w:styleId="73">
    <w:name w:val="注×："/>
    <w:autoRedefine/>
    <w:qFormat/>
    <w:uiPriority w:val="0"/>
    <w:pPr>
      <w:widowControl w:val="0"/>
      <w:autoSpaceDE w:val="0"/>
      <w:autoSpaceDN w:val="0"/>
      <w:ind w:left="811" w:hanging="448"/>
      <w:jc w:val="both"/>
    </w:pPr>
    <w:rPr>
      <w:rFonts w:ascii="宋体" w:hAnsi="Times New Roman" w:eastAsia="宋体" w:cs="Times New Roman"/>
      <w:sz w:val="18"/>
      <w:szCs w:val="18"/>
      <w:lang w:val="en-US" w:eastAsia="zh-CN" w:bidi="ar-SA"/>
    </w:rPr>
  </w:style>
  <w:style w:type="paragraph" w:customStyle="1" w:styleId="74">
    <w:name w:val="参考文献"/>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75">
    <w:name w:val="附录五级无"/>
    <w:basedOn w:val="76"/>
    <w:autoRedefine/>
    <w:qFormat/>
    <w:uiPriority w:val="0"/>
    <w:pPr>
      <w:spacing w:beforeLines="0" w:afterLines="0"/>
    </w:pPr>
    <w:rPr>
      <w:rFonts w:ascii="宋体" w:eastAsia="宋体"/>
      <w:szCs w:val="21"/>
    </w:rPr>
  </w:style>
  <w:style w:type="paragraph" w:customStyle="1" w:styleId="76">
    <w:name w:val="附录五级条标题"/>
    <w:basedOn w:val="77"/>
    <w:next w:val="30"/>
    <w:autoRedefine/>
    <w:qFormat/>
    <w:uiPriority w:val="0"/>
    <w:pPr>
      <w:outlineLvl w:val="6"/>
    </w:pPr>
  </w:style>
  <w:style w:type="paragraph" w:customStyle="1" w:styleId="77">
    <w:name w:val="附录四级条标题"/>
    <w:basedOn w:val="78"/>
    <w:next w:val="30"/>
    <w:autoRedefine/>
    <w:qFormat/>
    <w:uiPriority w:val="0"/>
    <w:pPr>
      <w:outlineLvl w:val="5"/>
    </w:pPr>
  </w:style>
  <w:style w:type="paragraph" w:customStyle="1" w:styleId="78">
    <w:name w:val="附录三级条标题"/>
    <w:basedOn w:val="79"/>
    <w:next w:val="30"/>
    <w:autoRedefine/>
    <w:qFormat/>
    <w:uiPriority w:val="0"/>
    <w:pPr>
      <w:outlineLvl w:val="4"/>
    </w:pPr>
  </w:style>
  <w:style w:type="paragraph" w:customStyle="1" w:styleId="79">
    <w:name w:val="附录二级条标题"/>
    <w:basedOn w:val="1"/>
    <w:next w:val="30"/>
    <w:autoRedefine/>
    <w:qFormat/>
    <w:uiPriority w:val="0"/>
    <w:pPr>
      <w:widowControl/>
      <w:wordWrap w:val="0"/>
      <w:overflowPunct w:val="0"/>
      <w:autoSpaceDE w:val="0"/>
      <w:autoSpaceDN w:val="0"/>
      <w:spacing w:beforeLines="50" w:afterLines="50"/>
      <w:textAlignment w:val="baseline"/>
      <w:outlineLvl w:val="3"/>
    </w:pPr>
    <w:rPr>
      <w:rFonts w:ascii="黑体" w:eastAsia="黑体"/>
      <w:kern w:val="21"/>
      <w:szCs w:val="20"/>
    </w:rPr>
  </w:style>
  <w:style w:type="paragraph" w:customStyle="1" w:styleId="80">
    <w:name w:val="附录标题"/>
    <w:basedOn w:val="30"/>
    <w:next w:val="30"/>
    <w:autoRedefine/>
    <w:qFormat/>
    <w:uiPriority w:val="0"/>
    <w:pPr>
      <w:ind w:firstLine="0" w:firstLineChars="0"/>
      <w:jc w:val="center"/>
    </w:pPr>
    <w:rPr>
      <w:rFonts w:ascii="黑体" w:eastAsia="黑体"/>
    </w:rPr>
  </w:style>
  <w:style w:type="paragraph" w:customStyle="1" w:styleId="81">
    <w:name w:val="注：（正文）"/>
    <w:basedOn w:val="82"/>
    <w:next w:val="30"/>
    <w:autoRedefine/>
    <w:qFormat/>
    <w:uiPriority w:val="0"/>
  </w:style>
  <w:style w:type="paragraph" w:customStyle="1" w:styleId="82">
    <w:name w:val="注："/>
    <w:next w:val="30"/>
    <w:autoRedefine/>
    <w:qFormat/>
    <w:uiPriority w:val="0"/>
    <w:pPr>
      <w:widowControl w:val="0"/>
      <w:autoSpaceDE w:val="0"/>
      <w:autoSpaceDN w:val="0"/>
      <w:ind w:left="726" w:hanging="363"/>
      <w:jc w:val="both"/>
    </w:pPr>
    <w:rPr>
      <w:rFonts w:ascii="宋体" w:hAnsi="Times New Roman" w:eastAsia="宋体" w:cs="Times New Roman"/>
      <w:sz w:val="18"/>
      <w:szCs w:val="18"/>
      <w:lang w:val="en-US" w:eastAsia="zh-CN" w:bidi="ar-SA"/>
    </w:rPr>
  </w:style>
  <w:style w:type="paragraph" w:customStyle="1" w:styleId="83">
    <w:name w:val="封面标准名称"/>
    <w:autoRedefine/>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84">
    <w:name w:val="附录一级无"/>
    <w:basedOn w:val="85"/>
    <w:autoRedefine/>
    <w:qFormat/>
    <w:uiPriority w:val="0"/>
    <w:pPr>
      <w:spacing w:beforeLines="0" w:afterLines="0"/>
    </w:pPr>
    <w:rPr>
      <w:rFonts w:ascii="宋体" w:eastAsia="宋体"/>
      <w:szCs w:val="21"/>
    </w:rPr>
  </w:style>
  <w:style w:type="paragraph" w:customStyle="1" w:styleId="85">
    <w:name w:val="附录一级条标题"/>
    <w:basedOn w:val="86"/>
    <w:next w:val="30"/>
    <w:autoRedefine/>
    <w:qFormat/>
    <w:uiPriority w:val="0"/>
    <w:pPr>
      <w:numPr>
        <w:ilvl w:val="0"/>
        <w:numId w:val="0"/>
      </w:numPr>
      <w:autoSpaceDN w:val="0"/>
      <w:spacing w:beforeLines="50" w:afterLines="50"/>
      <w:outlineLvl w:val="2"/>
    </w:pPr>
  </w:style>
  <w:style w:type="paragraph" w:customStyle="1" w:styleId="86">
    <w:name w:val="附录章标题"/>
    <w:next w:val="30"/>
    <w:autoRedefine/>
    <w:qFormat/>
    <w:uiPriority w:val="0"/>
    <w:pPr>
      <w:numPr>
        <w:ilvl w:val="1"/>
        <w:numId w:val="3"/>
      </w:numPr>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87">
    <w:name w:val="附录三级无"/>
    <w:basedOn w:val="78"/>
    <w:autoRedefine/>
    <w:qFormat/>
    <w:uiPriority w:val="0"/>
    <w:pPr>
      <w:spacing w:beforeLines="0" w:afterLines="0"/>
    </w:pPr>
    <w:rPr>
      <w:rFonts w:ascii="宋体" w:eastAsia="宋体"/>
      <w:szCs w:val="21"/>
    </w:rPr>
  </w:style>
  <w:style w:type="paragraph" w:customStyle="1" w:styleId="88">
    <w:name w:val="文献分类号"/>
    <w:autoRedefine/>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89">
    <w:name w:val="附录数字编号列项（二级）"/>
    <w:autoRedefine/>
    <w:qFormat/>
    <w:uiPriority w:val="0"/>
    <w:pPr>
      <w:numPr>
        <w:ilvl w:val="1"/>
        <w:numId w:val="4"/>
      </w:numPr>
    </w:pPr>
    <w:rPr>
      <w:rFonts w:ascii="宋体" w:hAnsi="Times New Roman" w:eastAsia="宋体" w:cs="Times New Roman"/>
      <w:sz w:val="21"/>
      <w:lang w:val="en-US" w:eastAsia="zh-CN" w:bidi="ar-SA"/>
    </w:rPr>
  </w:style>
  <w:style w:type="paragraph" w:customStyle="1" w:styleId="90">
    <w:name w:val="标准书眉_偶数页"/>
    <w:basedOn w:val="91"/>
    <w:next w:val="1"/>
    <w:autoRedefine/>
    <w:qFormat/>
    <w:uiPriority w:val="0"/>
    <w:pPr>
      <w:tabs>
        <w:tab w:val="center" w:pos="4154"/>
        <w:tab w:val="right" w:pos="8306"/>
      </w:tabs>
      <w:jc w:val="left"/>
    </w:pPr>
  </w:style>
  <w:style w:type="paragraph" w:customStyle="1" w:styleId="91">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92">
    <w:name w:val="发布部门"/>
    <w:next w:val="30"/>
    <w:autoRedefine/>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93">
    <w:name w:val="五级无"/>
    <w:basedOn w:val="94"/>
    <w:autoRedefine/>
    <w:qFormat/>
    <w:uiPriority w:val="0"/>
    <w:pPr>
      <w:spacing w:beforeLines="0" w:afterLines="0"/>
    </w:pPr>
    <w:rPr>
      <w:rFonts w:ascii="宋体" w:eastAsia="宋体"/>
    </w:rPr>
  </w:style>
  <w:style w:type="paragraph" w:customStyle="1" w:styleId="94">
    <w:name w:val="五级条标题"/>
    <w:basedOn w:val="95"/>
    <w:next w:val="30"/>
    <w:autoRedefine/>
    <w:qFormat/>
    <w:uiPriority w:val="0"/>
    <w:pPr>
      <w:numPr>
        <w:ilvl w:val="0"/>
        <w:numId w:val="0"/>
      </w:numPr>
      <w:outlineLvl w:val="6"/>
    </w:pPr>
  </w:style>
  <w:style w:type="paragraph" w:customStyle="1" w:styleId="95">
    <w:name w:val="四级条标题"/>
    <w:basedOn w:val="62"/>
    <w:next w:val="30"/>
    <w:autoRedefine/>
    <w:qFormat/>
    <w:uiPriority w:val="0"/>
    <w:pPr>
      <w:numPr>
        <w:ilvl w:val="4"/>
      </w:numPr>
      <w:outlineLvl w:val="5"/>
    </w:pPr>
  </w:style>
  <w:style w:type="paragraph" w:customStyle="1" w:styleId="96">
    <w:name w:val="封面一致性程度标识"/>
    <w:basedOn w:val="97"/>
    <w:autoRedefine/>
    <w:qFormat/>
    <w:uiPriority w:val="0"/>
    <w:pPr>
      <w:framePr w:wrap="around"/>
      <w:spacing w:before="440"/>
    </w:pPr>
    <w:rPr>
      <w:rFonts w:ascii="宋体" w:eastAsia="宋体"/>
    </w:rPr>
  </w:style>
  <w:style w:type="paragraph" w:customStyle="1" w:styleId="97">
    <w:name w:val="封面标准英文名称"/>
    <w:basedOn w:val="83"/>
    <w:autoRedefine/>
    <w:qFormat/>
    <w:uiPriority w:val="0"/>
    <w:pPr>
      <w:framePr w:wrap="around"/>
      <w:spacing w:before="370" w:line="400" w:lineRule="exact"/>
    </w:pPr>
    <w:rPr>
      <w:rFonts w:ascii="Times New Roman"/>
      <w:sz w:val="28"/>
      <w:szCs w:val="28"/>
    </w:rPr>
  </w:style>
  <w:style w:type="paragraph" w:customStyle="1" w:styleId="98">
    <w:name w:val="其他发布部门"/>
    <w:basedOn w:val="92"/>
    <w:autoRedefine/>
    <w:qFormat/>
    <w:uiPriority w:val="0"/>
    <w:pPr>
      <w:framePr w:wrap="around" w:y="15310"/>
      <w:spacing w:line="0" w:lineRule="atLeast"/>
    </w:pPr>
    <w:rPr>
      <w:rFonts w:ascii="黑体" w:eastAsia="黑体"/>
      <w:b w:val="0"/>
    </w:rPr>
  </w:style>
  <w:style w:type="paragraph" w:customStyle="1" w:styleId="99">
    <w:name w:val="目次、标准名称标题"/>
    <w:basedOn w:val="1"/>
    <w:next w:val="30"/>
    <w:autoRedefine/>
    <w:qFormat/>
    <w:uiPriority w:val="0"/>
    <w:pPr>
      <w:keepNext/>
      <w:pageBreakBefore/>
      <w:widowControl/>
      <w:shd w:val="clear" w:color="FFFFFF" w:fill="FFFFFF"/>
      <w:spacing w:before="640" w:after="560" w:line="460" w:lineRule="exact"/>
      <w:jc w:val="center"/>
      <w:outlineLvl w:val="0"/>
    </w:pPr>
    <w:rPr>
      <w:rFonts w:ascii="黑体" w:eastAsia="黑体"/>
      <w:kern w:val="0"/>
      <w:sz w:val="32"/>
      <w:szCs w:val="20"/>
    </w:rPr>
  </w:style>
  <w:style w:type="paragraph" w:customStyle="1" w:styleId="100">
    <w:name w:val="附录图标号"/>
    <w:basedOn w:val="1"/>
    <w:autoRedefine/>
    <w:qFormat/>
    <w:uiPriority w:val="0"/>
    <w:pPr>
      <w:keepNext/>
      <w:pageBreakBefore/>
      <w:widowControl/>
      <w:numPr>
        <w:ilvl w:val="0"/>
        <w:numId w:val="5"/>
      </w:numPr>
      <w:spacing w:line="14" w:lineRule="exact"/>
      <w:jc w:val="center"/>
      <w:outlineLvl w:val="0"/>
    </w:pPr>
    <w:rPr>
      <w:color w:val="FFFFFF"/>
    </w:rPr>
  </w:style>
  <w:style w:type="paragraph" w:customStyle="1" w:styleId="101">
    <w:name w:val="附录表标题"/>
    <w:basedOn w:val="1"/>
    <w:next w:val="30"/>
    <w:autoRedefine/>
    <w:qFormat/>
    <w:uiPriority w:val="0"/>
    <w:pPr>
      <w:numPr>
        <w:ilvl w:val="1"/>
        <w:numId w:val="6"/>
      </w:numPr>
      <w:spacing w:beforeLines="50" w:afterLines="50"/>
      <w:jc w:val="center"/>
    </w:pPr>
    <w:rPr>
      <w:rFonts w:ascii="黑体" w:eastAsia="黑体"/>
      <w:szCs w:val="21"/>
    </w:rPr>
  </w:style>
  <w:style w:type="paragraph" w:customStyle="1" w:styleId="102">
    <w:name w:val="附录公式编号制表符"/>
    <w:basedOn w:val="1"/>
    <w:next w:val="30"/>
    <w:autoRedefine/>
    <w:qFormat/>
    <w:uiPriority w:val="0"/>
    <w:pPr>
      <w:widowControl/>
      <w:tabs>
        <w:tab w:val="center" w:pos="4201"/>
        <w:tab w:val="right" w:leader="dot" w:pos="9298"/>
      </w:tabs>
      <w:autoSpaceDE w:val="0"/>
      <w:autoSpaceDN w:val="0"/>
    </w:pPr>
    <w:rPr>
      <w:rFonts w:ascii="宋体"/>
      <w:kern w:val="0"/>
      <w:szCs w:val="20"/>
    </w:rPr>
  </w:style>
  <w:style w:type="paragraph" w:customStyle="1" w:styleId="103">
    <w:name w:val="标准书脚_奇数页"/>
    <w:autoRedefine/>
    <w:qFormat/>
    <w:uiPriority w:val="0"/>
    <w:pPr>
      <w:spacing w:before="120"/>
      <w:ind w:right="198"/>
      <w:jc w:val="right"/>
    </w:pPr>
    <w:rPr>
      <w:rFonts w:ascii="宋体" w:hAnsi="Times New Roman" w:eastAsia="宋体" w:cs="Times New Roman"/>
      <w:sz w:val="18"/>
      <w:szCs w:val="18"/>
      <w:lang w:val="en-US" w:eastAsia="zh-CN" w:bidi="ar-SA"/>
    </w:rPr>
  </w:style>
  <w:style w:type="paragraph" w:customStyle="1" w:styleId="104">
    <w:name w:val="附录标识"/>
    <w:basedOn w:val="1"/>
    <w:next w:val="30"/>
    <w:autoRedefine/>
    <w:qFormat/>
    <w:uiPriority w:val="0"/>
    <w:pPr>
      <w:keepNext/>
      <w:widowControl/>
      <w:numPr>
        <w:ilvl w:val="0"/>
        <w:numId w:val="3"/>
      </w:numPr>
      <w:shd w:val="clear" w:color="FFFFFF" w:fill="FFFFFF"/>
      <w:tabs>
        <w:tab w:val="left" w:pos="6405"/>
      </w:tabs>
      <w:spacing w:before="640" w:after="280"/>
      <w:jc w:val="center"/>
      <w:outlineLvl w:val="0"/>
    </w:pPr>
    <w:rPr>
      <w:rFonts w:ascii="黑体" w:eastAsia="黑体"/>
      <w:kern w:val="0"/>
      <w:szCs w:val="20"/>
    </w:rPr>
  </w:style>
  <w:style w:type="paragraph" w:customStyle="1" w:styleId="105">
    <w:name w:val="注×：（正文）"/>
    <w:autoRedefine/>
    <w:qFormat/>
    <w:uiPriority w:val="0"/>
    <w:pPr>
      <w:numPr>
        <w:ilvl w:val="0"/>
        <w:numId w:val="7"/>
      </w:numPr>
      <w:jc w:val="both"/>
    </w:pPr>
    <w:rPr>
      <w:rFonts w:ascii="宋体" w:hAnsi="Times New Roman" w:eastAsia="宋体" w:cs="Times New Roman"/>
      <w:sz w:val="18"/>
      <w:szCs w:val="18"/>
      <w:lang w:val="en-US" w:eastAsia="zh-CN" w:bidi="ar-SA"/>
    </w:rPr>
  </w:style>
  <w:style w:type="paragraph" w:customStyle="1" w:styleId="106">
    <w:name w:val="封面标准文稿编辑信息"/>
    <w:basedOn w:val="107"/>
    <w:autoRedefine/>
    <w:qFormat/>
    <w:uiPriority w:val="0"/>
    <w:pPr>
      <w:framePr w:wrap="around"/>
      <w:spacing w:before="180" w:line="180" w:lineRule="exact"/>
    </w:pPr>
    <w:rPr>
      <w:sz w:val="21"/>
    </w:rPr>
  </w:style>
  <w:style w:type="paragraph" w:customStyle="1" w:styleId="107">
    <w:name w:val="封面标准文稿类别"/>
    <w:basedOn w:val="96"/>
    <w:autoRedefine/>
    <w:qFormat/>
    <w:uiPriority w:val="0"/>
    <w:pPr>
      <w:framePr w:wrap="around"/>
      <w:spacing w:after="160" w:line="240" w:lineRule="auto"/>
    </w:pPr>
    <w:rPr>
      <w:sz w:val="24"/>
    </w:rPr>
  </w:style>
  <w:style w:type="paragraph" w:customStyle="1" w:styleId="108">
    <w:name w:val="目次、索引正文"/>
    <w:autoRedefine/>
    <w:qFormat/>
    <w:uiPriority w:val="0"/>
    <w:pPr>
      <w:spacing w:line="320" w:lineRule="exact"/>
      <w:jc w:val="both"/>
    </w:pPr>
    <w:rPr>
      <w:rFonts w:ascii="宋体" w:hAnsi="Times New Roman" w:eastAsia="宋体" w:cs="Times New Roman"/>
      <w:sz w:val="21"/>
      <w:lang w:val="en-US" w:eastAsia="zh-CN" w:bidi="ar-SA"/>
    </w:rPr>
  </w:style>
  <w:style w:type="paragraph" w:customStyle="1" w:styleId="109">
    <w:name w:val="列项◆（三级）"/>
    <w:basedOn w:val="1"/>
    <w:autoRedefine/>
    <w:qFormat/>
    <w:uiPriority w:val="0"/>
    <w:pPr>
      <w:numPr>
        <w:ilvl w:val="2"/>
        <w:numId w:val="8"/>
      </w:numPr>
    </w:pPr>
    <w:rPr>
      <w:rFonts w:ascii="宋体"/>
      <w:szCs w:val="21"/>
    </w:rPr>
  </w:style>
  <w:style w:type="paragraph" w:customStyle="1" w:styleId="110">
    <w:name w:val="其他标准称谓"/>
    <w:next w:val="1"/>
    <w:autoRedefine/>
    <w:qFormat/>
    <w:uiPriority w:val="0"/>
    <w:pPr>
      <w:framePr w:hSpace="181" w:vSpace="181" w:wrap="around" w:vAnchor="page" w:hAnchor="page" w:x="1419" w:y="2286" w:anchorLock="1"/>
      <w:spacing w:line="0" w:lineRule="atLeast"/>
      <w:jc w:val="distribute"/>
    </w:pPr>
    <w:rPr>
      <w:rFonts w:ascii="黑体" w:hAnsi="宋体" w:eastAsia="黑体" w:cs="Times New Roman"/>
      <w:spacing w:val="-40"/>
      <w:sz w:val="48"/>
      <w:szCs w:val="52"/>
      <w:lang w:val="en-US" w:eastAsia="zh-CN" w:bidi="ar-SA"/>
    </w:rPr>
  </w:style>
  <w:style w:type="paragraph" w:customStyle="1" w:styleId="111">
    <w:name w:val="附录二级无"/>
    <w:basedOn w:val="79"/>
    <w:autoRedefine/>
    <w:qFormat/>
    <w:uiPriority w:val="0"/>
    <w:pPr>
      <w:spacing w:beforeLines="0" w:afterLines="0"/>
    </w:pPr>
    <w:rPr>
      <w:rFonts w:ascii="宋体" w:eastAsia="宋体"/>
      <w:szCs w:val="21"/>
    </w:rPr>
  </w:style>
  <w:style w:type="paragraph" w:customStyle="1" w:styleId="112">
    <w:name w:val="实施日期"/>
    <w:basedOn w:val="113"/>
    <w:autoRedefine/>
    <w:qFormat/>
    <w:uiPriority w:val="0"/>
    <w:pPr>
      <w:framePr w:wrap="around" w:vAnchor="page" w:hAnchor="text"/>
      <w:jc w:val="right"/>
    </w:pPr>
  </w:style>
  <w:style w:type="paragraph" w:customStyle="1" w:styleId="113">
    <w:name w:val="发布日期"/>
    <w:autoRedefine/>
    <w:qFormat/>
    <w:uiPriority w:val="0"/>
    <w:pPr>
      <w:framePr w:w="3997" w:h="471" w:hRule="exact" w:vSpace="181" w:wrap="around" w:vAnchor="margin" w:hAnchor="page" w:x="7089" w:y="14097" w:anchorLock="1"/>
    </w:pPr>
    <w:rPr>
      <w:rFonts w:ascii="Times New Roman" w:hAnsi="Times New Roman" w:eastAsia="黑体" w:cs="Times New Roman"/>
      <w:sz w:val="28"/>
      <w:lang w:val="en-US" w:eastAsia="zh-CN" w:bidi="ar-SA"/>
    </w:rPr>
  </w:style>
  <w:style w:type="paragraph" w:customStyle="1" w:styleId="114">
    <w:name w:val="列项说明"/>
    <w:basedOn w:val="1"/>
    <w:autoRedefine/>
    <w:qFormat/>
    <w:uiPriority w:val="0"/>
    <w:pPr>
      <w:adjustRightInd w:val="0"/>
      <w:spacing w:line="320" w:lineRule="exact"/>
      <w:ind w:left="400" w:leftChars="200" w:hanging="200" w:hangingChars="200"/>
      <w:jc w:val="left"/>
      <w:textAlignment w:val="baseline"/>
    </w:pPr>
    <w:rPr>
      <w:rFonts w:ascii="宋体"/>
      <w:kern w:val="0"/>
      <w:szCs w:val="20"/>
    </w:rPr>
  </w:style>
  <w:style w:type="paragraph" w:customStyle="1" w:styleId="115">
    <w:name w:val="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paragraph" w:customStyle="1" w:styleId="116">
    <w:name w:val="数字编号列项（二级）"/>
    <w:autoRedefine/>
    <w:qFormat/>
    <w:uiPriority w:val="0"/>
    <w:pPr>
      <w:numPr>
        <w:ilvl w:val="1"/>
        <w:numId w:val="9"/>
      </w:numPr>
      <w:jc w:val="both"/>
    </w:pPr>
    <w:rPr>
      <w:rFonts w:ascii="宋体" w:hAnsi="Times New Roman" w:eastAsia="宋体" w:cs="Times New Roman"/>
      <w:sz w:val="21"/>
      <w:lang w:val="en-US" w:eastAsia="zh-CN" w:bidi="ar-SA"/>
    </w:rPr>
  </w:style>
  <w:style w:type="paragraph" w:customStyle="1" w:styleId="117">
    <w:name w:val="图表脚注说明"/>
    <w:basedOn w:val="1"/>
    <w:autoRedefine/>
    <w:qFormat/>
    <w:uiPriority w:val="0"/>
    <w:pPr>
      <w:ind w:left="544" w:hanging="181"/>
    </w:pPr>
    <w:rPr>
      <w:rFonts w:ascii="宋体"/>
      <w:sz w:val="18"/>
      <w:szCs w:val="18"/>
    </w:rPr>
  </w:style>
  <w:style w:type="paragraph" w:customStyle="1" w:styleId="118">
    <w:name w:val="列项●（二级）"/>
    <w:autoRedefine/>
    <w:qFormat/>
    <w:uiPriority w:val="0"/>
    <w:pPr>
      <w:numPr>
        <w:ilvl w:val="1"/>
        <w:numId w:val="8"/>
      </w:numPr>
      <w:tabs>
        <w:tab w:val="left" w:pos="840"/>
      </w:tabs>
      <w:jc w:val="both"/>
    </w:pPr>
    <w:rPr>
      <w:rFonts w:ascii="宋体" w:hAnsi="Times New Roman" w:eastAsia="宋体" w:cs="Times New Roman"/>
      <w:sz w:val="21"/>
      <w:lang w:val="en-US" w:eastAsia="zh-CN" w:bidi="ar-SA"/>
    </w:rPr>
  </w:style>
  <w:style w:type="paragraph" w:customStyle="1" w:styleId="119">
    <w:name w:val="示例"/>
    <w:next w:val="120"/>
    <w:autoRedefine/>
    <w:qFormat/>
    <w:uiPriority w:val="0"/>
    <w:pPr>
      <w:widowControl w:val="0"/>
      <w:ind w:firstLine="363"/>
      <w:jc w:val="both"/>
    </w:pPr>
    <w:rPr>
      <w:rFonts w:ascii="宋体" w:hAnsi="Times New Roman" w:eastAsia="宋体" w:cs="Times New Roman"/>
      <w:sz w:val="18"/>
      <w:szCs w:val="18"/>
      <w:lang w:val="en-US" w:eastAsia="zh-CN" w:bidi="ar-SA"/>
    </w:rPr>
  </w:style>
  <w:style w:type="paragraph" w:customStyle="1" w:styleId="120">
    <w:name w:val="示例内容"/>
    <w:autoRedefine/>
    <w:qFormat/>
    <w:uiPriority w:val="0"/>
    <w:pPr>
      <w:ind w:firstLine="200" w:firstLineChars="200"/>
    </w:pPr>
    <w:rPr>
      <w:rFonts w:ascii="宋体" w:hAnsi="Times New Roman" w:eastAsia="宋体" w:cs="Times New Roman"/>
      <w:sz w:val="18"/>
      <w:szCs w:val="18"/>
      <w:lang w:val="en-US" w:eastAsia="zh-CN" w:bidi="ar-SA"/>
    </w:rPr>
  </w:style>
  <w:style w:type="paragraph" w:customStyle="1" w:styleId="121">
    <w:name w:val="Char Char"/>
    <w:basedOn w:val="1"/>
    <w:autoRedefine/>
    <w:qFormat/>
    <w:uiPriority w:val="0"/>
    <w:rPr>
      <w:rFonts w:ascii="黑体" w:eastAsia="黑体"/>
      <w:sz w:val="36"/>
      <w:szCs w:val="36"/>
    </w:rPr>
  </w:style>
  <w:style w:type="paragraph" w:customStyle="1" w:styleId="122">
    <w:name w:val="Char Char1"/>
    <w:basedOn w:val="1"/>
    <w:autoRedefine/>
    <w:qFormat/>
    <w:uiPriority w:val="0"/>
    <w:rPr>
      <w:rFonts w:ascii="黑体" w:eastAsia="黑体"/>
      <w:sz w:val="36"/>
      <w:szCs w:val="36"/>
    </w:rPr>
  </w:style>
  <w:style w:type="paragraph" w:customStyle="1" w:styleId="123">
    <w:name w:val="参考文献、索引标题"/>
    <w:basedOn w:val="1"/>
    <w:next w:val="30"/>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124">
    <w:name w:val="正文表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25">
    <w:name w:val="二级无"/>
    <w:basedOn w:val="59"/>
    <w:autoRedefine/>
    <w:qFormat/>
    <w:uiPriority w:val="0"/>
    <w:pPr>
      <w:spacing w:beforeLines="0" w:afterLines="0"/>
      <w:ind w:left="0"/>
    </w:pPr>
    <w:rPr>
      <w:rFonts w:ascii="宋体" w:eastAsia="宋体"/>
    </w:rPr>
  </w:style>
  <w:style w:type="paragraph" w:customStyle="1" w:styleId="126">
    <w:name w:val="图标脚注说明"/>
    <w:basedOn w:val="30"/>
    <w:autoRedefine/>
    <w:qFormat/>
    <w:uiPriority w:val="0"/>
    <w:pPr>
      <w:ind w:left="840" w:hanging="420" w:firstLineChars="0"/>
    </w:pPr>
    <w:rPr>
      <w:sz w:val="18"/>
      <w:szCs w:val="18"/>
    </w:rPr>
  </w:style>
  <w:style w:type="paragraph" w:customStyle="1" w:styleId="127">
    <w:name w:val="其他标准标志"/>
    <w:basedOn w:val="128"/>
    <w:autoRedefine/>
    <w:qFormat/>
    <w:uiPriority w:val="0"/>
    <w:pPr>
      <w:framePr w:w="6101" w:wrap="around" w:vAnchor="page" w:hAnchor="page" w:x="4673" w:y="942"/>
    </w:pPr>
    <w:rPr>
      <w:w w:val="130"/>
    </w:rPr>
  </w:style>
  <w:style w:type="paragraph" w:customStyle="1" w:styleId="128">
    <w:name w:val="标准标志"/>
    <w:next w:val="1"/>
    <w:autoRedefine/>
    <w:qFormat/>
    <w:uiPriority w:val="0"/>
    <w:pPr>
      <w:framePr w:w="2546" w:h="1389" w:hRule="exact" w:hSpace="181" w:vSpace="181" w:wrap="around" w:vAnchor="margin" w:hAnchor="margin" w:x="6522" w:y="398" w:anchorLock="1"/>
      <w:shd w:val="solid" w:color="FFFFFF" w:fill="FFFFFF"/>
      <w:spacing w:line="0" w:lineRule="atLeast"/>
      <w:jc w:val="right"/>
    </w:pPr>
    <w:rPr>
      <w:rFonts w:ascii="Times New Roman" w:hAnsi="Times New Roman" w:eastAsia="宋体" w:cs="Times New Roman"/>
      <w:b/>
      <w:w w:val="170"/>
      <w:sz w:val="96"/>
      <w:szCs w:val="96"/>
      <w:lang w:val="en-US" w:eastAsia="zh-CN" w:bidi="ar-SA"/>
    </w:rPr>
  </w:style>
  <w:style w:type="paragraph" w:customStyle="1" w:styleId="129">
    <w:name w:val="封面一致性程度标识2"/>
    <w:basedOn w:val="96"/>
    <w:autoRedefine/>
    <w:qFormat/>
    <w:uiPriority w:val="0"/>
    <w:pPr>
      <w:framePr w:wrap="around" w:y="4469"/>
    </w:pPr>
  </w:style>
  <w:style w:type="paragraph" w:customStyle="1" w:styleId="130">
    <w:name w:val="标准书眉一"/>
    <w:autoRedefine/>
    <w:qFormat/>
    <w:uiPriority w:val="0"/>
    <w:pPr>
      <w:jc w:val="both"/>
    </w:pPr>
    <w:rPr>
      <w:rFonts w:ascii="Times New Roman" w:hAnsi="Times New Roman" w:eastAsia="宋体" w:cs="Times New Roman"/>
      <w:lang w:val="en-US" w:eastAsia="zh-CN" w:bidi="ar-SA"/>
    </w:rPr>
  </w:style>
  <w:style w:type="paragraph" w:customStyle="1" w:styleId="131">
    <w:name w:val="封面正文"/>
    <w:autoRedefine/>
    <w:qFormat/>
    <w:uiPriority w:val="0"/>
    <w:pPr>
      <w:jc w:val="both"/>
    </w:pPr>
    <w:rPr>
      <w:rFonts w:ascii="Times New Roman" w:hAnsi="Times New Roman" w:eastAsia="宋体" w:cs="Times New Roman"/>
      <w:lang w:val="en-US" w:eastAsia="zh-CN" w:bidi="ar-SA"/>
    </w:rPr>
  </w:style>
  <w:style w:type="paragraph" w:customStyle="1" w:styleId="132">
    <w:name w:val="样式 标题 1 + 非加粗"/>
    <w:basedOn w:val="2"/>
    <w:autoRedefine/>
    <w:qFormat/>
    <w:uiPriority w:val="0"/>
    <w:pPr>
      <w:spacing w:beforeLines="100" w:afterLines="100" w:line="240" w:lineRule="auto"/>
    </w:pPr>
    <w:rPr>
      <w:rFonts w:eastAsia="黑体"/>
      <w:b w:val="0"/>
      <w:bCs w:val="0"/>
      <w:sz w:val="21"/>
    </w:rPr>
  </w:style>
  <w:style w:type="paragraph" w:customStyle="1" w:styleId="133">
    <w:name w:val="附录字母编号列项（一级）"/>
    <w:autoRedefine/>
    <w:qFormat/>
    <w:uiPriority w:val="0"/>
    <w:pPr>
      <w:numPr>
        <w:ilvl w:val="0"/>
        <w:numId w:val="4"/>
      </w:numPr>
    </w:pPr>
    <w:rPr>
      <w:rFonts w:ascii="宋体" w:hAnsi="Times New Roman" w:eastAsia="宋体" w:cs="Times New Roman"/>
      <w:sz w:val="21"/>
      <w:lang w:val="en-US" w:eastAsia="zh-CN" w:bidi="ar-SA"/>
    </w:rPr>
  </w:style>
  <w:style w:type="paragraph" w:customStyle="1" w:styleId="134">
    <w:name w:val="编号列项（三级）"/>
    <w:autoRedefine/>
    <w:qFormat/>
    <w:uiPriority w:val="0"/>
    <w:pPr>
      <w:numPr>
        <w:ilvl w:val="2"/>
        <w:numId w:val="9"/>
      </w:numPr>
    </w:pPr>
    <w:rPr>
      <w:rFonts w:ascii="宋体" w:hAnsi="Times New Roman" w:eastAsia="宋体" w:cs="Times New Roman"/>
      <w:sz w:val="21"/>
      <w:lang w:val="en-US" w:eastAsia="zh-CN" w:bidi="ar-SA"/>
    </w:rPr>
  </w:style>
  <w:style w:type="paragraph" w:customStyle="1" w:styleId="135">
    <w:name w:val="正文公式编号制表符"/>
    <w:basedOn w:val="30"/>
    <w:next w:val="30"/>
    <w:autoRedefine/>
    <w:qFormat/>
    <w:uiPriority w:val="0"/>
    <w:pPr>
      <w:ind w:firstLine="0" w:firstLineChars="0"/>
    </w:pPr>
  </w:style>
  <w:style w:type="paragraph" w:customStyle="1" w:styleId="136">
    <w:name w:val="列项——（一级）"/>
    <w:autoRedefine/>
    <w:qFormat/>
    <w:uiPriority w:val="0"/>
    <w:pPr>
      <w:widowControl w:val="0"/>
      <w:numPr>
        <w:ilvl w:val="0"/>
        <w:numId w:val="8"/>
      </w:numPr>
      <w:jc w:val="both"/>
    </w:pPr>
    <w:rPr>
      <w:rFonts w:ascii="宋体" w:hAnsi="Times New Roman" w:eastAsia="宋体" w:cs="Times New Roman"/>
      <w:sz w:val="21"/>
      <w:lang w:val="en-US" w:eastAsia="zh-CN" w:bidi="ar-SA"/>
    </w:rPr>
  </w:style>
  <w:style w:type="paragraph" w:customStyle="1" w:styleId="137">
    <w:name w:val="四级无"/>
    <w:basedOn w:val="95"/>
    <w:autoRedefine/>
    <w:qFormat/>
    <w:uiPriority w:val="0"/>
    <w:pPr>
      <w:spacing w:beforeLines="0" w:afterLines="0"/>
    </w:pPr>
    <w:rPr>
      <w:rFonts w:ascii="宋体" w:eastAsia="宋体"/>
    </w:rPr>
  </w:style>
  <w:style w:type="paragraph" w:customStyle="1" w:styleId="138">
    <w:name w:val="封面标准号2"/>
    <w:autoRedefine/>
    <w:qFormat/>
    <w:uiPriority w:val="0"/>
    <w:pPr>
      <w:framePr w:w="9140" w:h="1242" w:hRule="exact" w:hSpace="284" w:wrap="around" w:vAnchor="page" w:hAnchor="page" w:x="1645" w:y="2910" w:anchorLock="1"/>
      <w:spacing w:before="357" w:line="280" w:lineRule="exact"/>
      <w:jc w:val="right"/>
    </w:pPr>
    <w:rPr>
      <w:rFonts w:ascii="黑体" w:hAnsi="Times New Roman" w:eastAsia="黑体" w:cs="Times New Roman"/>
      <w:sz w:val="28"/>
      <w:szCs w:val="28"/>
      <w:lang w:val="en-US" w:eastAsia="zh-CN" w:bidi="ar-SA"/>
    </w:rPr>
  </w:style>
  <w:style w:type="paragraph" w:customStyle="1" w:styleId="139">
    <w:name w:val="附录四级无"/>
    <w:basedOn w:val="77"/>
    <w:autoRedefine/>
    <w:qFormat/>
    <w:uiPriority w:val="0"/>
    <w:pPr>
      <w:spacing w:beforeLines="0" w:afterLines="0"/>
    </w:pPr>
    <w:rPr>
      <w:rFonts w:ascii="宋体" w:eastAsia="宋体"/>
      <w:szCs w:val="21"/>
    </w:rPr>
  </w:style>
  <w:style w:type="paragraph" w:customStyle="1" w:styleId="140">
    <w:name w:val="封面标准英文名称2"/>
    <w:basedOn w:val="97"/>
    <w:autoRedefine/>
    <w:qFormat/>
    <w:uiPriority w:val="0"/>
    <w:pPr>
      <w:framePr w:wrap="around" w:y="4469"/>
    </w:pPr>
  </w:style>
  <w:style w:type="paragraph" w:customStyle="1" w:styleId="141">
    <w:name w:val="封面标准文稿类别2"/>
    <w:basedOn w:val="107"/>
    <w:autoRedefine/>
    <w:qFormat/>
    <w:uiPriority w:val="0"/>
    <w:pPr>
      <w:framePr w:wrap="around" w:y="4469"/>
    </w:pPr>
  </w:style>
  <w:style w:type="paragraph" w:customStyle="1" w:styleId="142">
    <w:name w:val="示例×："/>
    <w:basedOn w:val="143"/>
    <w:autoRedefine/>
    <w:qFormat/>
    <w:uiPriority w:val="0"/>
    <w:pPr>
      <w:numPr>
        <w:numId w:val="0"/>
      </w:numPr>
      <w:spacing w:beforeLines="0" w:afterLines="0"/>
      <w:ind w:firstLine="363"/>
      <w:outlineLvl w:val="9"/>
    </w:pPr>
    <w:rPr>
      <w:rFonts w:ascii="宋体" w:eastAsia="宋体"/>
      <w:sz w:val="18"/>
      <w:szCs w:val="18"/>
    </w:rPr>
  </w:style>
  <w:style w:type="paragraph" w:customStyle="1" w:styleId="143">
    <w:name w:val="章标题"/>
    <w:next w:val="30"/>
    <w:autoRedefine/>
    <w:qFormat/>
    <w:uiPriority w:val="0"/>
    <w:pPr>
      <w:numPr>
        <w:ilvl w:val="0"/>
        <w:numId w:val="2"/>
      </w:numPr>
      <w:spacing w:beforeLines="100" w:afterLines="100"/>
      <w:jc w:val="both"/>
      <w:outlineLvl w:val="1"/>
    </w:pPr>
    <w:rPr>
      <w:rFonts w:ascii="黑体" w:hAnsi="Times New Roman" w:eastAsia="黑体" w:cs="Times New Roman"/>
      <w:sz w:val="21"/>
      <w:lang w:val="en-US" w:eastAsia="zh-CN" w:bidi="ar-SA"/>
    </w:rPr>
  </w:style>
  <w:style w:type="paragraph" w:customStyle="1" w:styleId="144">
    <w:name w:val="封面标准号1"/>
    <w:autoRedefine/>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lang w:val="en-US" w:eastAsia="zh-CN" w:bidi="ar-SA"/>
    </w:rPr>
  </w:style>
  <w:style w:type="paragraph" w:customStyle="1" w:styleId="145">
    <w:name w:val="附录图标题"/>
    <w:basedOn w:val="1"/>
    <w:next w:val="30"/>
    <w:autoRedefine/>
    <w:qFormat/>
    <w:uiPriority w:val="0"/>
    <w:pPr>
      <w:numPr>
        <w:ilvl w:val="1"/>
        <w:numId w:val="5"/>
      </w:numPr>
      <w:spacing w:beforeLines="50" w:afterLines="50"/>
      <w:jc w:val="center"/>
    </w:pPr>
    <w:rPr>
      <w:rFonts w:ascii="黑体" w:eastAsia="黑体"/>
      <w:szCs w:val="21"/>
    </w:rPr>
  </w:style>
  <w:style w:type="paragraph" w:customStyle="1" w:styleId="146">
    <w:name w:val="其他实施日期"/>
    <w:basedOn w:val="112"/>
    <w:autoRedefine/>
    <w:qFormat/>
    <w:uiPriority w:val="0"/>
    <w:pPr>
      <w:framePr w:wrap="around" w:vAnchor="margin" w:hAnchor="page"/>
    </w:pPr>
  </w:style>
  <w:style w:type="paragraph" w:customStyle="1" w:styleId="147">
    <w:name w:val="三级无"/>
    <w:basedOn w:val="62"/>
    <w:autoRedefine/>
    <w:qFormat/>
    <w:uiPriority w:val="0"/>
    <w:pPr>
      <w:spacing w:beforeLines="0" w:afterLines="0"/>
    </w:pPr>
    <w:rPr>
      <w:rFonts w:ascii="宋体" w:eastAsia="宋体"/>
    </w:rPr>
  </w:style>
  <w:style w:type="paragraph" w:customStyle="1" w:styleId="148">
    <w:name w:val="封面标准名称2"/>
    <w:basedOn w:val="83"/>
    <w:autoRedefine/>
    <w:qFormat/>
    <w:uiPriority w:val="0"/>
    <w:pPr>
      <w:framePr w:wrap="around" w:y="4469"/>
      <w:spacing w:beforeLines="630"/>
    </w:pPr>
  </w:style>
  <w:style w:type="paragraph" w:customStyle="1" w:styleId="149">
    <w:name w:val="正文图标题"/>
    <w:next w:val="30"/>
    <w:autoRedefine/>
    <w:qFormat/>
    <w:uiPriority w:val="0"/>
    <w:pPr>
      <w:tabs>
        <w:tab w:val="left" w:pos="360"/>
      </w:tabs>
      <w:spacing w:beforeLines="50" w:afterLines="50"/>
      <w:jc w:val="center"/>
    </w:pPr>
    <w:rPr>
      <w:rFonts w:ascii="黑体" w:hAnsi="Times New Roman" w:eastAsia="黑体" w:cs="Times New Roman"/>
      <w:sz w:val="21"/>
      <w:lang w:val="en-US" w:eastAsia="zh-CN" w:bidi="ar-SA"/>
    </w:rPr>
  </w:style>
  <w:style w:type="paragraph" w:customStyle="1" w:styleId="150">
    <w:name w:val="示例后文字"/>
    <w:basedOn w:val="30"/>
    <w:next w:val="30"/>
    <w:autoRedefine/>
    <w:qFormat/>
    <w:uiPriority w:val="0"/>
    <w:pPr>
      <w:ind w:firstLine="360"/>
    </w:pPr>
    <w:rPr>
      <w:sz w:val="18"/>
    </w:rPr>
  </w:style>
  <w:style w:type="paragraph" w:customStyle="1" w:styleId="151">
    <w:name w:val="其他发布日期"/>
    <w:basedOn w:val="113"/>
    <w:autoRedefine/>
    <w:qFormat/>
    <w:uiPriority w:val="0"/>
    <w:pPr>
      <w:framePr w:wrap="around" w:vAnchor="page" w:hAnchor="text" w:x="1419"/>
    </w:pPr>
  </w:style>
  <w:style w:type="paragraph" w:customStyle="1" w:styleId="152">
    <w:name w:val="封面标准文稿编辑信息2"/>
    <w:basedOn w:val="106"/>
    <w:autoRedefine/>
    <w:qFormat/>
    <w:uiPriority w:val="0"/>
    <w:pPr>
      <w:framePr w:wrap="around" w:y="4469"/>
    </w:pPr>
  </w:style>
  <w:style w:type="paragraph" w:customStyle="1" w:styleId="153">
    <w:name w:val="一级无"/>
    <w:basedOn w:val="60"/>
    <w:autoRedefine/>
    <w:qFormat/>
    <w:uiPriority w:val="0"/>
    <w:pPr>
      <w:spacing w:before="156" w:after="156"/>
    </w:pPr>
    <w:rPr>
      <w:rFonts w:ascii="Times New Roman" w:eastAsia="宋体"/>
      <w:color w:val="000000"/>
    </w:rPr>
  </w:style>
  <w:style w:type="paragraph" w:customStyle="1" w:styleId="154">
    <w:name w:val="TOC 标题1"/>
    <w:basedOn w:val="2"/>
    <w:next w:val="1"/>
    <w:autoRedefine/>
    <w:unhideWhenUsed/>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55">
    <w:name w:val="封面标准代替信息"/>
    <w:autoRedefine/>
    <w:qFormat/>
    <w:uiPriority w:val="0"/>
    <w:pPr>
      <w:framePr w:w="9140" w:h="1242" w:hRule="exact" w:hSpace="284" w:wrap="around" w:vAnchor="page" w:hAnchor="page" w:x="1645" w:y="2910" w:anchorLock="1"/>
      <w:spacing w:before="57" w:line="280" w:lineRule="exact"/>
      <w:jc w:val="right"/>
    </w:pPr>
    <w:rPr>
      <w:rFonts w:ascii="宋体" w:hAnsi="Times New Roman" w:eastAsia="宋体" w:cs="Times New Roman"/>
      <w:sz w:val="21"/>
      <w:szCs w:val="21"/>
      <w:lang w:val="en-US" w:eastAsia="zh-CN" w:bidi="ar-SA"/>
    </w:rPr>
  </w:style>
  <w:style w:type="paragraph" w:customStyle="1" w:styleId="156">
    <w:name w:val="附录表标号"/>
    <w:basedOn w:val="1"/>
    <w:next w:val="30"/>
    <w:autoRedefine/>
    <w:qFormat/>
    <w:uiPriority w:val="0"/>
    <w:pPr>
      <w:numPr>
        <w:ilvl w:val="0"/>
        <w:numId w:val="6"/>
      </w:numPr>
      <w:spacing w:line="14" w:lineRule="exact"/>
      <w:jc w:val="center"/>
      <w:outlineLvl w:val="0"/>
    </w:pPr>
    <w:rPr>
      <w:color w:val="FFFFFF"/>
    </w:rPr>
  </w:style>
  <w:style w:type="paragraph" w:customStyle="1" w:styleId="157">
    <w:name w:val="标准称谓"/>
    <w:next w:val="1"/>
    <w:autoRedefine/>
    <w:qFormat/>
    <w:uiPriority w:val="0"/>
    <w:pPr>
      <w:framePr w:w="9639" w:h="624" w:hRule="exact" w:hSpace="181" w:vSpace="181" w:wrap="around" w:vAnchor="page" w:hAnchor="page" w:x="1419" w:y="2286" w:anchorLock="1"/>
      <w:widowControl w:val="0"/>
      <w:kinsoku w:val="0"/>
      <w:overflowPunct w:val="0"/>
      <w:autoSpaceDE w:val="0"/>
      <w:autoSpaceDN w:val="0"/>
      <w:spacing w:line="0" w:lineRule="atLeast"/>
      <w:jc w:val="distribute"/>
    </w:pPr>
    <w:rPr>
      <w:rFonts w:ascii="宋体" w:hAnsi="Times New Roman" w:eastAsia="宋体" w:cs="Times New Roman"/>
      <w:b/>
      <w:bCs/>
      <w:spacing w:val="20"/>
      <w:w w:val="148"/>
      <w:sz w:val="48"/>
      <w:lang w:val="en-US" w:eastAsia="zh-CN" w:bidi="ar-SA"/>
    </w:rPr>
  </w:style>
  <w:style w:type="paragraph" w:customStyle="1" w:styleId="158">
    <w:name w:val="标准书脚_偶数页"/>
    <w:autoRedefine/>
    <w:qFormat/>
    <w:uiPriority w:val="0"/>
    <w:pPr>
      <w:spacing w:before="120"/>
      <w:ind w:left="221"/>
    </w:pPr>
    <w:rPr>
      <w:rFonts w:ascii="宋体" w:hAnsi="Times New Roman" w:eastAsia="宋体" w:cs="Times New Roman"/>
      <w:sz w:val="18"/>
      <w:szCs w:val="18"/>
      <w:lang w:val="en-US" w:eastAsia="zh-CN" w:bidi="ar-SA"/>
    </w:rPr>
  </w:style>
  <w:style w:type="paragraph" w:customStyle="1" w:styleId="159">
    <w:name w:val="条文脚注"/>
    <w:basedOn w:val="31"/>
    <w:autoRedefine/>
    <w:qFormat/>
    <w:uiPriority w:val="0"/>
    <w:pPr>
      <w:numPr>
        <w:numId w:val="0"/>
      </w:numPr>
      <w:jc w:val="both"/>
    </w:pPr>
  </w:style>
  <w:style w:type="paragraph" w:customStyle="1" w:styleId="160">
    <w:name w:val="列项说明数字编号"/>
    <w:autoRedefine/>
    <w:qFormat/>
    <w:uiPriority w:val="0"/>
    <w:pPr>
      <w:ind w:left="600" w:leftChars="400" w:hanging="200" w:hangingChars="200"/>
    </w:pPr>
    <w:rPr>
      <w:rFonts w:ascii="宋体" w:hAnsi="Times New Roman" w:eastAsia="宋体" w:cs="Times New Roman"/>
      <w:sz w:val="21"/>
      <w:lang w:val="en-US" w:eastAsia="zh-CN" w:bidi="ar-SA"/>
    </w:rPr>
  </w:style>
  <w:style w:type="paragraph" w:customStyle="1" w:styleId="161">
    <w:name w:val="终结线"/>
    <w:basedOn w:val="1"/>
    <w:autoRedefine/>
    <w:qFormat/>
    <w:uiPriority w:val="0"/>
    <w:pPr>
      <w:framePr w:hSpace="181" w:vSpace="181" w:wrap="around" w:vAnchor="text" w:hAnchor="margin" w:xAlign="center" w:y="285"/>
    </w:pPr>
  </w:style>
  <w:style w:type="paragraph" w:customStyle="1" w:styleId="162">
    <w:name w:val="前言、引言标题"/>
    <w:next w:val="30"/>
    <w:autoRedefine/>
    <w:qFormat/>
    <w:uiPriority w:val="0"/>
    <w:pPr>
      <w:keepNext/>
      <w:pageBreakBefore/>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163">
    <w:name w:val="图的脚注"/>
    <w:next w:val="30"/>
    <w:autoRedefine/>
    <w:qFormat/>
    <w:uiPriority w:val="0"/>
    <w:pPr>
      <w:widowControl w:val="0"/>
      <w:ind w:left="840" w:leftChars="200" w:hanging="420" w:hangingChars="200"/>
      <w:jc w:val="both"/>
    </w:pPr>
    <w:rPr>
      <w:rFonts w:ascii="宋体" w:hAnsi="Times New Roman" w:eastAsia="宋体" w:cs="Times New Roman"/>
      <w:sz w:val="18"/>
      <w:lang w:val="en-US" w:eastAsia="zh-CN" w:bidi="ar-SA"/>
    </w:rPr>
  </w:style>
  <w:style w:type="paragraph" w:customStyle="1" w:styleId="164">
    <w:name w:val="Default"/>
    <w:autoRedefine/>
    <w:unhideWhenUsed/>
    <w:qFormat/>
    <w:uiPriority w:val="99"/>
    <w:pPr>
      <w:widowControl w:val="0"/>
      <w:autoSpaceDE w:val="0"/>
      <w:autoSpaceDN w:val="0"/>
      <w:adjustRightInd w:val="0"/>
    </w:pPr>
    <w:rPr>
      <w:rFonts w:ascii="仿宋" w:hAnsi="仿宋" w:eastAsia="仿宋" w:cs="Times New Roman"/>
      <w:color w:val="000000"/>
      <w:sz w:val="24"/>
      <w:lang w:val="en-US" w:eastAsia="zh-CN" w:bidi="ar-SA"/>
    </w:rPr>
  </w:style>
  <w:style w:type="character" w:customStyle="1" w:styleId="165">
    <w:name w:val="标题 6 字符"/>
    <w:link w:val="7"/>
    <w:autoRedefine/>
    <w:semiHidden/>
    <w:qFormat/>
    <w:uiPriority w:val="0"/>
    <w:rPr>
      <w:rFonts w:ascii="等线 Light" w:hAnsi="等线 Light" w:eastAsia="等线 Light" w:cs="Times New Roman"/>
      <w:b/>
      <w:bCs/>
      <w:kern w:val="2"/>
      <w:sz w:val="24"/>
      <w:szCs w:val="24"/>
    </w:rPr>
  </w:style>
  <w:style w:type="character" w:customStyle="1" w:styleId="166">
    <w:name w:val="页脚 字符"/>
    <w:link w:val="24"/>
    <w:autoRedefine/>
    <w:qFormat/>
    <w:uiPriority w:val="99"/>
    <w:rPr>
      <w:kern w:val="2"/>
      <w:sz w:val="18"/>
      <w:szCs w:val="18"/>
    </w:rPr>
  </w:style>
  <w:style w:type="paragraph" w:customStyle="1" w:styleId="167">
    <w:name w:val="TOC 标题2"/>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597" w:themeColor="accent1" w:themeShade="BF"/>
      <w:kern w:val="0"/>
      <w:sz w:val="32"/>
      <w:szCs w:val="32"/>
    </w:rPr>
  </w:style>
  <w:style w:type="character" w:customStyle="1" w:styleId="168">
    <w:name w:val="正文文本缩进 2 字符"/>
    <w:basedOn w:val="43"/>
    <w:link w:val="21"/>
    <w:autoRedefine/>
    <w:qFormat/>
    <w:uiPriority w:val="99"/>
    <w:rPr>
      <w:rFonts w:eastAsia="PMingLiU"/>
      <w:kern w:val="2"/>
      <w:sz w:val="24"/>
      <w:szCs w:val="24"/>
      <w:lang w:eastAsia="zh-TW"/>
    </w:rPr>
  </w:style>
  <w:style w:type="paragraph" w:customStyle="1" w:styleId="169">
    <w:name w:val="标准文件_段"/>
    <w:autoRedefine/>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70">
    <w:name w:val="标准文件_术语条一"/>
    <w:basedOn w:val="171"/>
    <w:next w:val="169"/>
    <w:autoRedefine/>
    <w:qFormat/>
    <w:uiPriority w:val="0"/>
  </w:style>
  <w:style w:type="paragraph" w:customStyle="1" w:styleId="171">
    <w:name w:val="标准文件_一级无标题"/>
    <w:basedOn w:val="172"/>
    <w:autoRedefine/>
    <w:qFormat/>
    <w:uiPriority w:val="0"/>
    <w:pPr>
      <w:spacing w:before="0" w:beforeLines="0" w:after="0" w:afterLines="0"/>
      <w:outlineLvl w:val="9"/>
    </w:pPr>
    <w:rPr>
      <w:rFonts w:ascii="宋体" w:eastAsia="宋体"/>
    </w:rPr>
  </w:style>
  <w:style w:type="paragraph" w:customStyle="1" w:styleId="172">
    <w:name w:val="标准文件_一级条标题"/>
    <w:basedOn w:val="173"/>
    <w:next w:val="169"/>
    <w:autoRedefine/>
    <w:qFormat/>
    <w:uiPriority w:val="0"/>
    <w:pPr>
      <w:numPr>
        <w:ilvl w:val="2"/>
      </w:numPr>
      <w:spacing w:before="50" w:beforeLines="50" w:after="50" w:afterLines="50"/>
      <w:outlineLvl w:val="1"/>
    </w:pPr>
  </w:style>
  <w:style w:type="paragraph" w:customStyle="1" w:styleId="173">
    <w:name w:val="标准文件_章标题"/>
    <w:next w:val="169"/>
    <w:autoRedefine/>
    <w:qFormat/>
    <w:uiPriority w:val="0"/>
    <w:pPr>
      <w:numPr>
        <w:ilvl w:val="1"/>
        <w:numId w:val="10"/>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174">
    <w:name w:val="标准文件_正文图标题"/>
    <w:next w:val="169"/>
    <w:autoRedefine/>
    <w:qFormat/>
    <w:uiPriority w:val="0"/>
    <w:pPr>
      <w:numPr>
        <w:ilvl w:val="0"/>
        <w:numId w:val="11"/>
      </w:numPr>
      <w:spacing w:before="50" w:beforeLines="50" w:after="50" w:afterLines="50"/>
      <w:jc w:val="center"/>
    </w:pPr>
    <w:rPr>
      <w:rFonts w:ascii="黑体" w:hAnsi="Times New Roman" w:eastAsia="黑体" w:cs="Times New Roman"/>
      <w:sz w:val="21"/>
      <w:lang w:val="en-US" w:eastAsia="zh-CN" w:bidi="ar-SA"/>
    </w:rPr>
  </w:style>
  <w:style w:type="paragraph" w:customStyle="1" w:styleId="175">
    <w:name w:val="标准文件_二级条标题"/>
    <w:next w:val="169"/>
    <w:autoRedefine/>
    <w:qFormat/>
    <w:uiPriority w:val="0"/>
    <w:pPr>
      <w:widowControl w:val="0"/>
      <w:numPr>
        <w:ilvl w:val="3"/>
        <w:numId w:val="10"/>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76">
    <w:name w:val="标准文件_正文表标题"/>
    <w:next w:val="169"/>
    <w:autoRedefine/>
    <w:qFormat/>
    <w:uiPriority w:val="0"/>
    <w:pPr>
      <w:numPr>
        <w:ilvl w:val="0"/>
        <w:numId w:val="1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177">
    <w:name w:val="标准文件_表格"/>
    <w:basedOn w:val="169"/>
    <w:autoRedefine/>
    <w:qFormat/>
    <w:uiPriority w:val="0"/>
    <w:pPr>
      <w:ind w:firstLine="0" w:firstLineChars="0"/>
      <w:jc w:val="center"/>
    </w:pPr>
    <w:rPr>
      <w:sz w:val="18"/>
    </w:rPr>
  </w:style>
  <w:style w:type="paragraph" w:customStyle="1" w:styleId="178">
    <w:name w:val="标准文件_三级条标题"/>
    <w:basedOn w:val="175"/>
    <w:next w:val="169"/>
    <w:autoRedefine/>
    <w:qFormat/>
    <w:uiPriority w:val="0"/>
    <w:pPr>
      <w:widowControl/>
      <w:numPr>
        <w:ilvl w:val="4"/>
      </w:numPr>
      <w:outlineLvl w:val="3"/>
    </w:pPr>
  </w:style>
  <w:style w:type="paragraph" w:customStyle="1" w:styleId="179">
    <w:name w:val="标准文件_二级无标题"/>
    <w:basedOn w:val="175"/>
    <w:autoRedefine/>
    <w:qFormat/>
    <w:uiPriority w:val="0"/>
    <w:pPr>
      <w:spacing w:before="0" w:beforeLines="0" w:after="0" w:afterLines="0"/>
      <w:outlineLvl w:val="9"/>
    </w:pPr>
    <w:rPr>
      <w:rFonts w:ascii="宋体" w:eastAsia="宋体"/>
    </w:rPr>
  </w:style>
  <w:style w:type="paragraph" w:customStyle="1" w:styleId="180">
    <w:name w:val="标准文件_字母编号列项（一级）"/>
    <w:autoRedefine/>
    <w:qFormat/>
    <w:uiPriority w:val="0"/>
    <w:pPr>
      <w:numPr>
        <w:ilvl w:val="0"/>
        <w:numId w:val="9"/>
      </w:numPr>
      <w:jc w:val="both"/>
    </w:pPr>
    <w:rPr>
      <w:rFonts w:ascii="宋体" w:hAnsi="Times New Roman" w:eastAsia="宋体" w:cs="Times New Roman"/>
      <w:sz w:val="21"/>
      <w:lang w:val="en-US" w:eastAsia="zh-CN" w:bidi="ar-SA"/>
    </w:rPr>
  </w:style>
  <w:style w:type="table" w:customStyle="1" w:styleId="181">
    <w:name w:val="Table Normal"/>
    <w:basedOn w:val="41"/>
    <w:autoRedefine/>
    <w:qFormat/>
    <w:uiPriority w:val="0"/>
    <w:rPr>
      <w:rFonts w:eastAsia="Times New Roman"/>
    </w:rPr>
    <w:tblPr>
      <w:tblCellMar>
        <w:left w:w="0" w:type="dxa"/>
        <w:right w:w="0" w:type="dxa"/>
      </w:tblCellMar>
    </w:tblPr>
  </w:style>
  <w:style w:type="character" w:customStyle="1" w:styleId="182">
    <w:name w:val="15"/>
    <w:basedOn w:val="43"/>
    <w:autoRedefine/>
    <w:qFormat/>
    <w:uiPriority w:val="0"/>
    <w:rPr>
      <w:rFonts w:hint="eastAsia" w:ascii="等线" w:hAnsi="等线" w:eastAsia="等线"/>
      <w:sz w:val="21"/>
      <w:szCs w:val="21"/>
    </w:rPr>
  </w:style>
  <w:style w:type="paragraph" w:customStyle="1" w:styleId="183">
    <w:name w:val="标准文件_附录图标号"/>
    <w:basedOn w:val="169"/>
    <w:next w:val="169"/>
    <w:autoRedefine/>
    <w:qFormat/>
    <w:uiPriority w:val="0"/>
    <w:pPr>
      <w:numPr>
        <w:ilvl w:val="0"/>
        <w:numId w:val="13"/>
      </w:numPr>
      <w:spacing w:line="14" w:lineRule="exact"/>
      <w:ind w:firstLine="0" w:firstLineChars="0"/>
      <w:jc w:val="center"/>
    </w:pPr>
    <w:rPr>
      <w:rFonts w:ascii="黑体" w:hAnsi="黑体" w:eastAsia="黑体"/>
      <w:vanish/>
      <w:sz w:val="2"/>
      <w:szCs w:val="21"/>
    </w:rPr>
  </w:style>
  <w:style w:type="paragraph" w:customStyle="1" w:styleId="184">
    <w:name w:val="标准文件_附录表标号"/>
    <w:basedOn w:val="169"/>
    <w:next w:val="169"/>
    <w:autoRedefine/>
    <w:qFormat/>
    <w:uiPriority w:val="0"/>
    <w:pPr>
      <w:numPr>
        <w:ilvl w:val="0"/>
        <w:numId w:val="14"/>
      </w:numPr>
      <w:spacing w:line="14" w:lineRule="exact"/>
      <w:ind w:firstLine="0" w:firstLineChars="0"/>
      <w:jc w:val="center"/>
    </w:pPr>
    <w:rPr>
      <w:rFonts w:eastAsia="黑体"/>
      <w:vanish/>
      <w:sz w:val="2"/>
    </w:rPr>
  </w:style>
  <w:style w:type="paragraph" w:customStyle="1" w:styleId="185">
    <w:name w:val="标准文件_附录标识"/>
    <w:next w:val="169"/>
    <w:autoRedefine/>
    <w:qFormat/>
    <w:uiPriority w:val="0"/>
    <w:pPr>
      <w:numPr>
        <w:ilvl w:val="0"/>
        <w:numId w:val="3"/>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186">
    <w:name w:val="标准文件_附录一级条标题"/>
    <w:next w:val="169"/>
    <w:autoRedefine/>
    <w:qFormat/>
    <w:uiPriority w:val="0"/>
    <w:pPr>
      <w:widowControl w:val="0"/>
      <w:numPr>
        <w:ilvl w:val="1"/>
        <w:numId w:val="3"/>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87">
    <w:name w:val="标准文件_附录二级条标题"/>
    <w:basedOn w:val="186"/>
    <w:next w:val="169"/>
    <w:autoRedefine/>
    <w:qFormat/>
    <w:uiPriority w:val="0"/>
    <w:pPr>
      <w:widowControl/>
      <w:numPr>
        <w:ilvl w:val="2"/>
      </w:numPr>
      <w:wordWrap w:val="0"/>
      <w:overflowPunct w:val="0"/>
      <w:autoSpaceDE w:val="0"/>
      <w:autoSpaceDN w:val="0"/>
      <w:textAlignment w:val="baseline"/>
      <w:outlineLvl w:val="3"/>
    </w:pPr>
  </w:style>
  <w:style w:type="paragraph" w:customStyle="1" w:styleId="188">
    <w:name w:val="列表段落1"/>
    <w:basedOn w:val="1"/>
    <w:autoRedefine/>
    <w:qFormat/>
    <w:uiPriority w:val="0"/>
    <w:pPr>
      <w:adjustRightInd/>
      <w:spacing w:line="240" w:lineRule="auto"/>
      <w:ind w:firstLine="420" w:firstLineChars="200"/>
    </w:pPr>
  </w:style>
  <w:style w:type="paragraph" w:customStyle="1" w:styleId="189">
    <w:name w:val="Table Text"/>
    <w:basedOn w:val="1"/>
    <w:autoRedefine/>
    <w:semiHidden/>
    <w:qFormat/>
    <w:uiPriority w:val="0"/>
    <w:rPr>
      <w:rFonts w:ascii="宋体" w:hAnsi="宋体" w:eastAsia="宋体" w:cs="宋体"/>
      <w:sz w:val="21"/>
      <w:szCs w:val="21"/>
      <w:lang w:val="en-US" w:eastAsia="en-US" w:bidi="ar-SA"/>
    </w:rPr>
  </w:style>
  <w:style w:type="paragraph" w:customStyle="1" w:styleId="190">
    <w:name w:val="标准文件_一级项"/>
    <w:autoRedefine/>
    <w:qFormat/>
    <w:uiPriority w:val="0"/>
    <w:pPr>
      <w:numPr>
        <w:ilvl w:val="0"/>
        <w:numId w:val="8"/>
      </w:numPr>
    </w:pPr>
    <w:rPr>
      <w:rFonts w:ascii="宋体" w:hAnsi="Times New Roman" w:eastAsia="宋体" w:cs="Times New Roman"/>
      <w:sz w:val="21"/>
      <w:lang w:val="en-US" w:eastAsia="zh-CN" w:bidi="ar-SA"/>
    </w:rPr>
  </w:style>
  <w:style w:type="paragraph" w:customStyle="1" w:styleId="191">
    <w:name w:val="标准文件_三级无标题"/>
    <w:basedOn w:val="178"/>
    <w:autoRedefine/>
    <w:qFormat/>
    <w:uiPriority w:val="0"/>
    <w:pPr>
      <w:spacing w:before="0" w:beforeLines="0" w:after="0" w:afterLines="0"/>
      <w:outlineLvl w:val="9"/>
    </w:pPr>
    <w:rPr>
      <w:rFonts w:ascii="宋体" w:eastAsia="宋体"/>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23\Desktop\02_GZBD&#26631;&#20934;&#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97D57B-1FEB-4124-B8A9-DCBF421AB3D7}">
  <ds:schemaRefs/>
</ds:datastoreItem>
</file>

<file path=docProps/app.xml><?xml version="1.0" encoding="utf-8"?>
<Properties xmlns="http://schemas.openxmlformats.org/officeDocument/2006/extended-properties" xmlns:vt="http://schemas.openxmlformats.org/officeDocument/2006/docPropsVTypes">
  <Template>02_GZBD标准模板</Template>
  <Pages>4</Pages>
  <Words>1264</Words>
  <Characters>1324</Characters>
  <Lines>17</Lines>
  <Paragraphs>4</Paragraphs>
  <TotalTime>1</TotalTime>
  <ScaleCrop>false</ScaleCrop>
  <LinksUpToDate>false</LinksUpToDate>
  <CharactersWithSpaces>1336</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2020-10-14T08:16:00Z</dcterms:created>
  <cp:lastPrinted>2018-07-04T02:56:00Z</cp:lastPrinted>
  <dcterms:modified xsi:type="dcterms:W3CDTF">2026-07-21T09:42:41Z</dcterms:modified>
  <dc:title>标准名称</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48F8D66B2818452B8736D1CED4A5E137_13</vt:lpwstr>
  </property>
  <property fmtid="{D5CDD505-2E9C-101B-9397-08002B2CF9AE}" pid="4" name="KSOTemplateDocerSaveRecord">
    <vt:lpwstr>eyJoZGlkIjoiOWQ4ZGY3ZTZlYTg3MDY1ZDA4ZTQ3Y2RhYWYyZThkZDUiLCJ1c2VySWQiOiIzMjQ1OTgwNzkifQ==</vt:lpwstr>
  </property>
</Properties>
</file>